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EFE5">
      <w:pPr>
        <w:jc w:val="center"/>
        <w:rPr>
          <w:rFonts w:ascii="Times New Roman" w:hAnsi="Times New Roman" w:eastAsia="仿宋_GB2312"/>
          <w:sz w:val="32"/>
          <w:szCs w:val="32"/>
        </w:rPr>
      </w:pPr>
      <w:r>
        <w:rPr>
          <w:rFonts w:hint="eastAsia" w:ascii="Times New Roman" w:hAnsi="Times New Roman" w:eastAsia="方正小标宋简体"/>
          <w:sz w:val="44"/>
          <w:szCs w:val="44"/>
          <w:lang w:eastAsia="zh-CN"/>
        </w:rPr>
        <w:t>太仓市文体广电和旅游局</w:t>
      </w:r>
      <w:r>
        <w:rPr>
          <w:rFonts w:ascii="Times New Roman" w:hAnsi="Times New Roman" w:eastAsia="方正小标宋简体"/>
          <w:sz w:val="44"/>
          <w:szCs w:val="44"/>
        </w:rPr>
        <w:t>行政检查事项清单</w:t>
      </w:r>
    </w:p>
    <w:tbl>
      <w:tblPr>
        <w:tblStyle w:val="6"/>
        <w:tblW w:w="15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635"/>
        <w:gridCol w:w="929"/>
        <w:gridCol w:w="705"/>
        <w:gridCol w:w="795"/>
        <w:gridCol w:w="6150"/>
        <w:gridCol w:w="998"/>
        <w:gridCol w:w="1132"/>
        <w:gridCol w:w="1228"/>
        <w:gridCol w:w="1472"/>
      </w:tblGrid>
      <w:tr w14:paraId="34CF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80" w:type="dxa"/>
            <w:vMerge w:val="restart"/>
            <w:vAlign w:val="center"/>
          </w:tcPr>
          <w:p w14:paraId="2B337528">
            <w:pPr>
              <w:jc w:val="center"/>
              <w:rPr>
                <w:rFonts w:ascii="Times New Roman" w:hAnsi="Times New Roman" w:eastAsia="黑体"/>
                <w:kern w:val="0"/>
                <w:sz w:val="24"/>
              </w:rPr>
            </w:pPr>
            <w:r>
              <w:rPr>
                <w:rFonts w:ascii="Times New Roman" w:hAnsi="黑体" w:eastAsia="黑体"/>
                <w:kern w:val="0"/>
                <w:sz w:val="24"/>
              </w:rPr>
              <w:t>序号</w:t>
            </w:r>
          </w:p>
        </w:tc>
        <w:tc>
          <w:tcPr>
            <w:tcW w:w="1635" w:type="dxa"/>
            <w:vMerge w:val="restart"/>
            <w:vAlign w:val="center"/>
          </w:tcPr>
          <w:p w14:paraId="62E08706">
            <w:pPr>
              <w:jc w:val="center"/>
              <w:rPr>
                <w:rFonts w:ascii="Times New Roman" w:hAnsi="Times New Roman" w:eastAsia="黑体"/>
                <w:kern w:val="0"/>
                <w:sz w:val="24"/>
              </w:rPr>
            </w:pPr>
            <w:r>
              <w:rPr>
                <w:rFonts w:ascii="Times New Roman" w:hAnsi="黑体" w:eastAsia="黑体"/>
                <w:kern w:val="0"/>
                <w:sz w:val="24"/>
              </w:rPr>
              <w:t>检查事项</w:t>
            </w:r>
          </w:p>
        </w:tc>
        <w:tc>
          <w:tcPr>
            <w:tcW w:w="929" w:type="dxa"/>
            <w:vMerge w:val="restart"/>
            <w:vAlign w:val="center"/>
          </w:tcPr>
          <w:p w14:paraId="23DD3036">
            <w:pPr>
              <w:jc w:val="center"/>
              <w:rPr>
                <w:rFonts w:hint="eastAsia" w:ascii="Times New Roman" w:hAnsi="黑体" w:eastAsia="黑体"/>
                <w:kern w:val="0"/>
                <w:sz w:val="24"/>
                <w:lang w:eastAsia="zh-CN"/>
              </w:rPr>
            </w:pPr>
            <w:r>
              <w:rPr>
                <w:rFonts w:hint="eastAsia" w:ascii="Times New Roman" w:hAnsi="黑体" w:eastAsia="黑体"/>
                <w:kern w:val="0"/>
                <w:sz w:val="24"/>
                <w:lang w:eastAsia="zh-CN"/>
              </w:rPr>
              <w:t>检查主体</w:t>
            </w:r>
          </w:p>
        </w:tc>
        <w:tc>
          <w:tcPr>
            <w:tcW w:w="705" w:type="dxa"/>
            <w:vMerge w:val="restart"/>
            <w:vAlign w:val="center"/>
          </w:tcPr>
          <w:p w14:paraId="4EA52A3C">
            <w:pPr>
              <w:jc w:val="center"/>
              <w:rPr>
                <w:rFonts w:ascii="Times New Roman" w:hAnsi="Times New Roman" w:eastAsia="黑体"/>
                <w:kern w:val="0"/>
                <w:sz w:val="24"/>
              </w:rPr>
            </w:pPr>
            <w:r>
              <w:rPr>
                <w:rFonts w:ascii="Times New Roman" w:hAnsi="黑体" w:eastAsia="黑体"/>
                <w:kern w:val="0"/>
                <w:sz w:val="24"/>
              </w:rPr>
              <w:t>检查机构</w:t>
            </w:r>
          </w:p>
        </w:tc>
        <w:tc>
          <w:tcPr>
            <w:tcW w:w="795" w:type="dxa"/>
            <w:vMerge w:val="restart"/>
            <w:vAlign w:val="center"/>
          </w:tcPr>
          <w:p w14:paraId="6EA19045">
            <w:pPr>
              <w:jc w:val="center"/>
              <w:rPr>
                <w:rFonts w:ascii="Times New Roman" w:hAnsi="Times New Roman" w:eastAsia="黑体"/>
                <w:kern w:val="0"/>
                <w:sz w:val="24"/>
              </w:rPr>
            </w:pPr>
            <w:r>
              <w:rPr>
                <w:rFonts w:ascii="Times New Roman" w:hAnsi="黑体" w:eastAsia="黑体"/>
                <w:kern w:val="0"/>
                <w:sz w:val="24"/>
              </w:rPr>
              <w:t>检查对象</w:t>
            </w:r>
          </w:p>
        </w:tc>
        <w:tc>
          <w:tcPr>
            <w:tcW w:w="6150" w:type="dxa"/>
            <w:vMerge w:val="restart"/>
            <w:vAlign w:val="center"/>
          </w:tcPr>
          <w:p w14:paraId="70BB93A0">
            <w:pPr>
              <w:jc w:val="center"/>
              <w:rPr>
                <w:rFonts w:ascii="Times New Roman" w:hAnsi="Times New Roman" w:eastAsia="黑体"/>
                <w:kern w:val="0"/>
                <w:sz w:val="24"/>
              </w:rPr>
            </w:pPr>
            <w:r>
              <w:rPr>
                <w:rFonts w:ascii="Times New Roman" w:hAnsi="Times New Roman" w:eastAsia="黑体"/>
                <w:kern w:val="0"/>
                <w:sz w:val="24"/>
              </w:rPr>
              <w:t>检查依据</w:t>
            </w:r>
          </w:p>
        </w:tc>
        <w:tc>
          <w:tcPr>
            <w:tcW w:w="998" w:type="dxa"/>
            <w:vMerge w:val="restart"/>
            <w:vAlign w:val="center"/>
          </w:tcPr>
          <w:p w14:paraId="184482A7">
            <w:pPr>
              <w:jc w:val="center"/>
              <w:rPr>
                <w:rFonts w:ascii="Times New Roman" w:hAnsi="黑体" w:eastAsia="黑体"/>
                <w:kern w:val="0"/>
                <w:sz w:val="24"/>
              </w:rPr>
            </w:pPr>
            <w:r>
              <w:rPr>
                <w:rFonts w:ascii="Times New Roman" w:hAnsi="黑体" w:eastAsia="黑体"/>
                <w:kern w:val="0"/>
                <w:sz w:val="24"/>
              </w:rPr>
              <w:t>检查</w:t>
            </w:r>
          </w:p>
          <w:p w14:paraId="5AB32CB3">
            <w:pPr>
              <w:jc w:val="center"/>
              <w:rPr>
                <w:rFonts w:ascii="Times New Roman" w:hAnsi="Times New Roman" w:eastAsia="黑体"/>
                <w:kern w:val="0"/>
                <w:sz w:val="24"/>
              </w:rPr>
            </w:pPr>
            <w:r>
              <w:rPr>
                <w:rFonts w:ascii="Times New Roman" w:hAnsi="黑体" w:eastAsia="黑体"/>
                <w:kern w:val="0"/>
                <w:sz w:val="24"/>
              </w:rPr>
              <w:t>方式</w:t>
            </w:r>
          </w:p>
        </w:tc>
        <w:tc>
          <w:tcPr>
            <w:tcW w:w="1132" w:type="dxa"/>
            <w:vMerge w:val="restart"/>
            <w:vAlign w:val="center"/>
          </w:tcPr>
          <w:p w14:paraId="61E609A1">
            <w:pPr>
              <w:jc w:val="center"/>
              <w:rPr>
                <w:rFonts w:ascii="Times New Roman" w:hAnsi="黑体" w:eastAsia="黑体"/>
                <w:kern w:val="0"/>
                <w:sz w:val="24"/>
              </w:rPr>
            </w:pPr>
            <w:r>
              <w:rPr>
                <w:rFonts w:ascii="Times New Roman" w:hAnsi="黑体" w:eastAsia="黑体"/>
                <w:kern w:val="0"/>
                <w:sz w:val="24"/>
              </w:rPr>
              <w:t>检查</w:t>
            </w:r>
          </w:p>
          <w:p w14:paraId="53C83D06">
            <w:pPr>
              <w:jc w:val="center"/>
              <w:rPr>
                <w:rFonts w:ascii="Times New Roman" w:hAnsi="黑体" w:eastAsia="黑体"/>
                <w:kern w:val="0"/>
                <w:sz w:val="24"/>
              </w:rPr>
            </w:pPr>
            <w:r>
              <w:rPr>
                <w:rFonts w:ascii="Times New Roman" w:hAnsi="黑体" w:eastAsia="黑体"/>
                <w:kern w:val="0"/>
                <w:sz w:val="24"/>
              </w:rPr>
              <w:t>频次</w:t>
            </w:r>
          </w:p>
          <w:p w14:paraId="31E7CA3E">
            <w:pPr>
              <w:jc w:val="center"/>
              <w:rPr>
                <w:rFonts w:ascii="Times New Roman" w:hAnsi="Times New Roman" w:eastAsia="黑体"/>
                <w:kern w:val="0"/>
                <w:sz w:val="24"/>
              </w:rPr>
            </w:pPr>
            <w:r>
              <w:rPr>
                <w:rFonts w:ascii="Times New Roman" w:hAnsi="黑体" w:eastAsia="黑体"/>
                <w:kern w:val="0"/>
                <w:sz w:val="24"/>
              </w:rPr>
              <w:t>（时间）</w:t>
            </w:r>
          </w:p>
        </w:tc>
        <w:tc>
          <w:tcPr>
            <w:tcW w:w="2700" w:type="dxa"/>
            <w:gridSpan w:val="2"/>
            <w:vAlign w:val="center"/>
          </w:tcPr>
          <w:p w14:paraId="72612D28">
            <w:pPr>
              <w:jc w:val="center"/>
              <w:rPr>
                <w:rFonts w:ascii="Times New Roman" w:hAnsi="Times New Roman" w:eastAsia="黑体"/>
                <w:kern w:val="0"/>
                <w:sz w:val="24"/>
              </w:rPr>
            </w:pPr>
            <w:r>
              <w:rPr>
                <w:rFonts w:ascii="Times New Roman" w:hAnsi="黑体" w:eastAsia="黑体"/>
                <w:kern w:val="0"/>
                <w:sz w:val="24"/>
              </w:rPr>
              <w:t>对应的行政权力事项</w:t>
            </w:r>
          </w:p>
        </w:tc>
      </w:tr>
      <w:tr w14:paraId="4D1C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Merge w:val="continue"/>
            <w:vAlign w:val="center"/>
          </w:tcPr>
          <w:p w14:paraId="759E7F33">
            <w:pPr>
              <w:jc w:val="center"/>
              <w:rPr>
                <w:rFonts w:ascii="Times New Roman" w:hAnsi="Times New Roman" w:eastAsia="黑体"/>
                <w:kern w:val="0"/>
                <w:sz w:val="24"/>
              </w:rPr>
            </w:pPr>
          </w:p>
        </w:tc>
        <w:tc>
          <w:tcPr>
            <w:tcW w:w="1635" w:type="dxa"/>
            <w:vMerge w:val="continue"/>
            <w:vAlign w:val="center"/>
          </w:tcPr>
          <w:p w14:paraId="38057E36">
            <w:pPr>
              <w:jc w:val="center"/>
              <w:rPr>
                <w:rFonts w:ascii="Times New Roman" w:hAnsi="Times New Roman" w:eastAsia="黑体"/>
                <w:kern w:val="0"/>
                <w:sz w:val="24"/>
              </w:rPr>
            </w:pPr>
          </w:p>
        </w:tc>
        <w:tc>
          <w:tcPr>
            <w:tcW w:w="929" w:type="dxa"/>
            <w:vMerge w:val="continue"/>
            <w:vAlign w:val="center"/>
          </w:tcPr>
          <w:p w14:paraId="2E0DC261">
            <w:pPr>
              <w:jc w:val="center"/>
              <w:rPr>
                <w:rFonts w:ascii="Times New Roman" w:hAnsi="Times New Roman" w:eastAsia="黑体"/>
                <w:kern w:val="0"/>
                <w:sz w:val="24"/>
              </w:rPr>
            </w:pPr>
          </w:p>
        </w:tc>
        <w:tc>
          <w:tcPr>
            <w:tcW w:w="705" w:type="dxa"/>
            <w:vMerge w:val="continue"/>
            <w:vAlign w:val="center"/>
          </w:tcPr>
          <w:p w14:paraId="31FBAD6F">
            <w:pPr>
              <w:jc w:val="center"/>
              <w:rPr>
                <w:rFonts w:ascii="Times New Roman" w:hAnsi="Times New Roman" w:eastAsia="黑体"/>
                <w:kern w:val="0"/>
                <w:sz w:val="24"/>
              </w:rPr>
            </w:pPr>
          </w:p>
        </w:tc>
        <w:tc>
          <w:tcPr>
            <w:tcW w:w="795" w:type="dxa"/>
            <w:vMerge w:val="continue"/>
            <w:vAlign w:val="center"/>
          </w:tcPr>
          <w:p w14:paraId="52D86D53">
            <w:pPr>
              <w:jc w:val="center"/>
              <w:rPr>
                <w:rFonts w:ascii="Times New Roman" w:hAnsi="Times New Roman" w:eastAsia="黑体"/>
                <w:kern w:val="0"/>
                <w:sz w:val="24"/>
              </w:rPr>
            </w:pPr>
          </w:p>
        </w:tc>
        <w:tc>
          <w:tcPr>
            <w:tcW w:w="6150" w:type="dxa"/>
            <w:vMerge w:val="continue"/>
            <w:vAlign w:val="center"/>
          </w:tcPr>
          <w:p w14:paraId="588250BE">
            <w:pPr>
              <w:jc w:val="center"/>
              <w:rPr>
                <w:rFonts w:ascii="Times New Roman" w:hAnsi="Times New Roman" w:eastAsia="黑体"/>
                <w:kern w:val="0"/>
                <w:sz w:val="24"/>
              </w:rPr>
            </w:pPr>
          </w:p>
        </w:tc>
        <w:tc>
          <w:tcPr>
            <w:tcW w:w="998" w:type="dxa"/>
            <w:vMerge w:val="continue"/>
            <w:vAlign w:val="center"/>
          </w:tcPr>
          <w:p w14:paraId="75D7F39C">
            <w:pPr>
              <w:jc w:val="center"/>
              <w:rPr>
                <w:rFonts w:ascii="Times New Roman" w:hAnsi="Times New Roman" w:eastAsia="黑体"/>
                <w:kern w:val="0"/>
                <w:sz w:val="24"/>
              </w:rPr>
            </w:pPr>
          </w:p>
        </w:tc>
        <w:tc>
          <w:tcPr>
            <w:tcW w:w="1132" w:type="dxa"/>
            <w:vMerge w:val="continue"/>
            <w:vAlign w:val="center"/>
          </w:tcPr>
          <w:p w14:paraId="07D2B1CA">
            <w:pPr>
              <w:jc w:val="center"/>
              <w:rPr>
                <w:rFonts w:ascii="Times New Roman" w:hAnsi="Times New Roman" w:eastAsia="黑体"/>
                <w:kern w:val="0"/>
                <w:sz w:val="24"/>
              </w:rPr>
            </w:pPr>
          </w:p>
        </w:tc>
        <w:tc>
          <w:tcPr>
            <w:tcW w:w="1228" w:type="dxa"/>
            <w:vAlign w:val="center"/>
          </w:tcPr>
          <w:p w14:paraId="305B59A1">
            <w:pPr>
              <w:jc w:val="center"/>
              <w:rPr>
                <w:rFonts w:ascii="Times New Roman" w:hAnsi="Times New Roman" w:eastAsia="黑体"/>
                <w:kern w:val="0"/>
                <w:sz w:val="24"/>
              </w:rPr>
            </w:pPr>
            <w:r>
              <w:rPr>
                <w:rFonts w:ascii="Times New Roman" w:hAnsi="黑体" w:eastAsia="黑体"/>
                <w:kern w:val="0"/>
                <w:sz w:val="24"/>
              </w:rPr>
              <w:t>权力编码</w:t>
            </w:r>
          </w:p>
        </w:tc>
        <w:tc>
          <w:tcPr>
            <w:tcW w:w="1472" w:type="dxa"/>
            <w:vAlign w:val="center"/>
          </w:tcPr>
          <w:p w14:paraId="77E2DE73">
            <w:pPr>
              <w:jc w:val="center"/>
              <w:rPr>
                <w:rFonts w:ascii="Times New Roman" w:hAnsi="Times New Roman" w:eastAsia="黑体"/>
                <w:kern w:val="0"/>
                <w:sz w:val="24"/>
              </w:rPr>
            </w:pPr>
            <w:r>
              <w:rPr>
                <w:rFonts w:ascii="Times New Roman" w:hAnsi="黑体" w:eastAsia="黑体"/>
                <w:kern w:val="0"/>
                <w:sz w:val="24"/>
              </w:rPr>
              <w:t>权力名称</w:t>
            </w:r>
          </w:p>
        </w:tc>
      </w:tr>
      <w:tr w14:paraId="74F6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7C52267C">
            <w:pPr>
              <w:rPr>
                <w:rFonts w:hint="eastAsia" w:ascii="sans-serif" w:hAnsi="sans-serif" w:eastAsia="sans-serif" w:cs="sans-serif"/>
                <w:i w:val="0"/>
                <w:iCs w:val="0"/>
                <w:caps w:val="0"/>
                <w:color w:val="333333"/>
                <w:spacing w:val="0"/>
                <w:kern w:val="0"/>
                <w:sz w:val="24"/>
                <w:szCs w:val="24"/>
                <w:shd w:val="clear" w:fill="FFFFFF"/>
                <w:lang w:val="en-US" w:eastAsia="zh-CN" w:bidi="ar"/>
              </w:rPr>
            </w:pPr>
            <w:r>
              <w:rPr>
                <w:rFonts w:hint="eastAsia" w:ascii="sans-serif" w:hAnsi="sans-serif" w:eastAsia="sans-serif" w:cs="sans-serif"/>
                <w:i w:val="0"/>
                <w:iCs w:val="0"/>
                <w:caps w:val="0"/>
                <w:color w:val="333333"/>
                <w:spacing w:val="0"/>
                <w:kern w:val="0"/>
                <w:sz w:val="24"/>
                <w:szCs w:val="24"/>
                <w:shd w:val="clear" w:fill="FFFFFF"/>
                <w:lang w:val="en-US" w:eastAsia="zh-CN" w:bidi="ar"/>
              </w:rPr>
              <w:t>1</w:t>
            </w:r>
          </w:p>
        </w:tc>
        <w:tc>
          <w:tcPr>
            <w:tcW w:w="1635" w:type="dxa"/>
            <w:vAlign w:val="center"/>
          </w:tcPr>
          <w:p w14:paraId="0902ABAA">
            <w:pPr>
              <w:rPr>
                <w:rFonts w:hint="eastAsia" w:ascii="sans-serif" w:hAnsi="sans-serif" w:eastAsia="sans-serif" w:cs="sans-serif"/>
                <w:i w:val="0"/>
                <w:iCs w:val="0"/>
                <w:caps w:val="0"/>
                <w:color w:val="333333"/>
                <w:spacing w:val="0"/>
                <w:kern w:val="0"/>
                <w:sz w:val="24"/>
                <w:szCs w:val="24"/>
                <w:shd w:val="clear" w:fill="FFFFFF"/>
                <w:lang w:val="en-US" w:eastAsia="zh-CN" w:bidi="ar"/>
              </w:rPr>
            </w:pPr>
            <w:r>
              <w:rPr>
                <w:rFonts w:hint="eastAsia" w:ascii="Times New Roman" w:hAnsi="Times New Roman" w:eastAsia="宋体" w:cs="宋体"/>
                <w:color w:val="auto"/>
                <w:kern w:val="0"/>
                <w:sz w:val="18"/>
                <w:szCs w:val="18"/>
                <w:highlight w:val="none"/>
                <w:lang w:val="en-US" w:eastAsia="zh-CN"/>
              </w:rPr>
              <w:t>对享受低免补贴的公共体育设施单位是否按规定最低时限对公众开放的行政检查</w:t>
            </w:r>
          </w:p>
        </w:tc>
        <w:tc>
          <w:tcPr>
            <w:tcW w:w="929" w:type="dxa"/>
            <w:vAlign w:val="center"/>
          </w:tcPr>
          <w:p w14:paraId="1E5DE13A">
            <w:pPr>
              <w:widowControl/>
              <w:jc w:val="left"/>
              <w:rPr>
                <w:rFonts w:hint="eastAsia" w:ascii="sans-serif" w:hAnsi="sans-serif" w:eastAsia="sans-serif" w:cs="sans-serif"/>
                <w:i w:val="0"/>
                <w:iCs w:val="0"/>
                <w:caps w:val="0"/>
                <w:color w:val="333333"/>
                <w:spacing w:val="0"/>
                <w:kern w:val="0"/>
                <w:sz w:val="24"/>
                <w:szCs w:val="24"/>
                <w:shd w:val="clear" w:fill="FFFFFF"/>
                <w:lang w:val="en-US" w:eastAsia="zh-CN" w:bidi="ar"/>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014D83E1">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w:t>
            </w:r>
          </w:p>
        </w:tc>
        <w:tc>
          <w:tcPr>
            <w:tcW w:w="795" w:type="dxa"/>
            <w:vAlign w:val="center"/>
          </w:tcPr>
          <w:p w14:paraId="76066C60">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公共体育设施单位</w:t>
            </w:r>
          </w:p>
        </w:tc>
        <w:tc>
          <w:tcPr>
            <w:tcW w:w="6150" w:type="dxa"/>
            <w:vAlign w:val="center"/>
          </w:tcPr>
          <w:p w14:paraId="798F7B8A">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【法规】《公共文化体育设施条例》</w:t>
            </w:r>
          </w:p>
          <w:p w14:paraId="2243D26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第十七条 公共文化体育设施应当根据其功能、特点向公众开放，开放时间应当与当地公众的工作时间、学习时间适当错开。公共文化体育设施的开放时间，不得少于省、自治区、直辖市规定的最低时限。</w:t>
            </w:r>
          </w:p>
          <w:p w14:paraId="411E0DE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第二十条 公共文化体育设施管理单位提供服务可以适当收取费用，收费项目和标准应当经县级以上人民政府有关部门批准。</w:t>
            </w:r>
          </w:p>
          <w:p w14:paraId="22E9783A">
            <w:pPr>
              <w:rPr>
                <w:rFonts w:hint="eastAsia" w:ascii="Times New Roman" w:hAnsi="Times New Roman" w:eastAsia="宋体" w:cs="宋体"/>
                <w:color w:val="auto"/>
                <w:kern w:val="0"/>
                <w:sz w:val="18"/>
                <w:szCs w:val="18"/>
                <w:highlight w:val="none"/>
                <w:lang w:val="en-US" w:eastAsia="zh-CN"/>
              </w:rPr>
            </w:pPr>
          </w:p>
        </w:tc>
        <w:tc>
          <w:tcPr>
            <w:tcW w:w="998" w:type="dxa"/>
            <w:vAlign w:val="center"/>
          </w:tcPr>
          <w:p w14:paraId="1A44507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vAlign w:val="center"/>
          </w:tcPr>
          <w:p w14:paraId="21B5B081">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4F30DA75">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cs="宋体"/>
                <w:color w:val="auto"/>
                <w:kern w:val="0"/>
                <w:sz w:val="18"/>
                <w:szCs w:val="18"/>
                <w:highlight w:val="none"/>
                <w:lang w:val="en-US" w:eastAsia="zh-CN"/>
              </w:rPr>
              <w:t>（1-12月）</w:t>
            </w:r>
          </w:p>
        </w:tc>
        <w:tc>
          <w:tcPr>
            <w:tcW w:w="1228" w:type="dxa"/>
            <w:vAlign w:val="center"/>
          </w:tcPr>
          <w:p w14:paraId="767366B0">
            <w:pPr>
              <w:jc w:val="left"/>
              <w:rPr>
                <w:rFonts w:hint="eastAsia" w:ascii="sans-serif" w:hAnsi="sans-serif" w:eastAsia="sans-serif" w:cs="sans-serif"/>
                <w:i w:val="0"/>
                <w:iCs w:val="0"/>
                <w:caps w:val="0"/>
                <w:color w:val="333333"/>
                <w:spacing w:val="0"/>
                <w:kern w:val="0"/>
                <w:sz w:val="24"/>
                <w:szCs w:val="24"/>
                <w:shd w:val="clear" w:fill="FFFFFF"/>
                <w:lang w:val="en-US" w:eastAsia="zh-CN" w:bidi="ar"/>
              </w:rPr>
            </w:pPr>
          </w:p>
        </w:tc>
        <w:tc>
          <w:tcPr>
            <w:tcW w:w="1472" w:type="dxa"/>
            <w:vAlign w:val="center"/>
          </w:tcPr>
          <w:p w14:paraId="1938AAFF">
            <w:pPr>
              <w:rPr>
                <w:rFonts w:hint="eastAsia" w:ascii="sans-serif" w:hAnsi="sans-serif" w:eastAsia="sans-serif" w:cs="sans-serif"/>
                <w:i w:val="0"/>
                <w:iCs w:val="0"/>
                <w:caps w:val="0"/>
                <w:color w:val="333333"/>
                <w:spacing w:val="0"/>
                <w:kern w:val="0"/>
                <w:sz w:val="24"/>
                <w:szCs w:val="24"/>
                <w:shd w:val="clear" w:fill="FFFFFF"/>
                <w:lang w:val="en-US" w:eastAsia="zh-CN" w:bidi="ar"/>
              </w:rPr>
            </w:pPr>
          </w:p>
        </w:tc>
      </w:tr>
      <w:tr w14:paraId="68A2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3AAB5553">
            <w:pPr>
              <w:rPr>
                <w:rFonts w:hint="eastAsia" w:ascii="sans-serif" w:hAnsi="sans-serif" w:eastAsia="sans-serif" w:cs="sans-serif"/>
                <w:i w:val="0"/>
                <w:iCs w:val="0"/>
                <w:caps w:val="0"/>
                <w:color w:val="333333"/>
                <w:spacing w:val="0"/>
                <w:kern w:val="0"/>
                <w:sz w:val="24"/>
                <w:szCs w:val="24"/>
                <w:shd w:val="clear" w:fill="FFFFFF"/>
                <w:lang w:val="en-US" w:eastAsia="zh-CN" w:bidi="ar"/>
              </w:rPr>
            </w:pPr>
            <w:r>
              <w:rPr>
                <w:rFonts w:hint="eastAsia" w:ascii="sans-serif" w:hAnsi="sans-serif" w:eastAsia="sans-serif" w:cs="sans-serif"/>
                <w:i w:val="0"/>
                <w:iCs w:val="0"/>
                <w:caps w:val="0"/>
                <w:color w:val="333333"/>
                <w:spacing w:val="0"/>
                <w:kern w:val="0"/>
                <w:sz w:val="24"/>
                <w:szCs w:val="24"/>
                <w:shd w:val="clear" w:fill="FFFFFF"/>
                <w:lang w:val="en-US" w:eastAsia="zh-CN" w:bidi="ar"/>
              </w:rPr>
              <w:t>2</w:t>
            </w:r>
          </w:p>
          <w:p w14:paraId="47D76ABD">
            <w:pPr>
              <w:rPr>
                <w:rFonts w:hint="eastAsia" w:ascii="sans-serif" w:hAnsi="sans-serif" w:eastAsia="sans-serif" w:cs="sans-serif"/>
                <w:i w:val="0"/>
                <w:iCs w:val="0"/>
                <w:caps w:val="0"/>
                <w:color w:val="333333"/>
                <w:spacing w:val="0"/>
                <w:kern w:val="0"/>
                <w:sz w:val="24"/>
                <w:szCs w:val="24"/>
                <w:shd w:val="clear" w:fill="FFFFFF"/>
                <w:lang w:val="en-US" w:eastAsia="zh-CN" w:bidi="ar"/>
              </w:rPr>
            </w:pPr>
          </w:p>
          <w:p w14:paraId="161AFAA8">
            <w:pPr>
              <w:rPr>
                <w:rFonts w:hint="eastAsia" w:ascii="sans-serif" w:hAnsi="sans-serif" w:eastAsia="sans-serif" w:cs="sans-serif"/>
                <w:i w:val="0"/>
                <w:iCs w:val="0"/>
                <w:caps w:val="0"/>
                <w:color w:val="333333"/>
                <w:spacing w:val="0"/>
                <w:kern w:val="0"/>
                <w:sz w:val="24"/>
                <w:szCs w:val="24"/>
                <w:shd w:val="clear" w:fill="FFFFFF"/>
                <w:lang w:val="en-US" w:eastAsia="zh-CN" w:bidi="ar"/>
              </w:rPr>
            </w:pPr>
          </w:p>
        </w:tc>
        <w:tc>
          <w:tcPr>
            <w:tcW w:w="1635" w:type="dxa"/>
            <w:vAlign w:val="center"/>
          </w:tcPr>
          <w:p w14:paraId="305754B4">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对公共体育设施单位是否公示其服务项目、开放时间等事项的行政检查</w:t>
            </w:r>
          </w:p>
        </w:tc>
        <w:tc>
          <w:tcPr>
            <w:tcW w:w="929" w:type="dxa"/>
            <w:vAlign w:val="center"/>
          </w:tcPr>
          <w:p w14:paraId="1E6D9AB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4E92C3B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w:t>
            </w:r>
          </w:p>
        </w:tc>
        <w:tc>
          <w:tcPr>
            <w:tcW w:w="795" w:type="dxa"/>
            <w:vAlign w:val="center"/>
          </w:tcPr>
          <w:p w14:paraId="222CDC3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公共体育设施单位</w:t>
            </w:r>
          </w:p>
        </w:tc>
        <w:tc>
          <w:tcPr>
            <w:tcW w:w="6150" w:type="dxa"/>
            <w:vAlign w:val="center"/>
          </w:tcPr>
          <w:p w14:paraId="650D1341">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【法规】《公共文化体育设施条例》</w:t>
            </w:r>
          </w:p>
          <w:p w14:paraId="6600C37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第十八条　公共文化体育设施管理单位应当向公众公示其服务内容和开放时间。</w:t>
            </w:r>
          </w:p>
          <w:p w14:paraId="770DD47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第三十条　公共文化体育设施管理单位有下列行为之一的，由文化行政主管部门、体育行政主管部门依据各自职责责令限期改正；造成严重后果的，对负有责任的主管人员和其他直接责任人员，依法给予行政处分：(二)未公示其服务项目、开放时间等事项的；</w:t>
            </w:r>
          </w:p>
          <w:p w14:paraId="656ACDFD">
            <w:pPr>
              <w:rPr>
                <w:rFonts w:hint="eastAsia" w:ascii="Times New Roman" w:hAnsi="Times New Roman" w:eastAsia="宋体" w:cs="宋体"/>
                <w:color w:val="auto"/>
                <w:kern w:val="0"/>
                <w:sz w:val="18"/>
                <w:szCs w:val="18"/>
                <w:highlight w:val="none"/>
                <w:lang w:val="en-US" w:eastAsia="zh-CN"/>
              </w:rPr>
            </w:pPr>
          </w:p>
        </w:tc>
        <w:tc>
          <w:tcPr>
            <w:tcW w:w="998" w:type="dxa"/>
            <w:vAlign w:val="center"/>
          </w:tcPr>
          <w:p w14:paraId="664152BA">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vAlign w:val="center"/>
          </w:tcPr>
          <w:p w14:paraId="0570366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31808A94">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p>
        </w:tc>
        <w:tc>
          <w:tcPr>
            <w:tcW w:w="1228" w:type="dxa"/>
            <w:vAlign w:val="center"/>
          </w:tcPr>
          <w:p w14:paraId="72F5F93E">
            <w:pPr>
              <w:jc w:val="left"/>
              <w:rPr>
                <w:rFonts w:hint="eastAsia" w:ascii="sans-serif" w:hAnsi="sans-serif" w:eastAsia="sans-serif" w:cs="sans-serif"/>
                <w:i w:val="0"/>
                <w:iCs w:val="0"/>
                <w:caps w:val="0"/>
                <w:color w:val="333333"/>
                <w:spacing w:val="0"/>
                <w:kern w:val="0"/>
                <w:sz w:val="24"/>
                <w:szCs w:val="24"/>
                <w:shd w:val="clear" w:fill="FFFFFF"/>
                <w:lang w:val="en-US" w:eastAsia="zh-CN" w:bidi="ar"/>
              </w:rPr>
            </w:pPr>
          </w:p>
        </w:tc>
        <w:tc>
          <w:tcPr>
            <w:tcW w:w="1472" w:type="dxa"/>
            <w:vAlign w:val="center"/>
          </w:tcPr>
          <w:p w14:paraId="161DDF06">
            <w:pPr>
              <w:rPr>
                <w:rFonts w:hint="eastAsia" w:ascii="sans-serif" w:hAnsi="sans-serif" w:eastAsia="sans-serif" w:cs="sans-serif"/>
                <w:i w:val="0"/>
                <w:iCs w:val="0"/>
                <w:caps w:val="0"/>
                <w:color w:val="333333"/>
                <w:spacing w:val="0"/>
                <w:kern w:val="0"/>
                <w:sz w:val="24"/>
                <w:szCs w:val="24"/>
                <w:shd w:val="clear" w:fill="FFFFFF"/>
                <w:lang w:val="en-US" w:eastAsia="zh-CN" w:bidi="ar"/>
              </w:rPr>
            </w:pPr>
          </w:p>
        </w:tc>
      </w:tr>
      <w:tr w14:paraId="0DE3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6AC41B59">
            <w:pPr>
              <w:rPr>
                <w:rFonts w:hint="eastAsia" w:ascii="Times New Roman" w:hAnsi="Times New Roman" w:eastAsia="宋体" w:cs="宋体"/>
                <w:color w:val="auto"/>
                <w:kern w:val="0"/>
                <w:sz w:val="18"/>
                <w:szCs w:val="18"/>
                <w:highlight w:val="none"/>
                <w:lang w:val="en-US" w:eastAsia="zh-CN"/>
              </w:rPr>
            </w:pPr>
          </w:p>
          <w:p w14:paraId="093192B5">
            <w:pPr>
              <w:rPr>
                <w:rFonts w:hint="eastAsia" w:ascii="Times New Roman" w:hAnsi="Times New Roman" w:eastAsia="宋体" w:cs="宋体"/>
                <w:color w:val="auto"/>
                <w:kern w:val="0"/>
                <w:sz w:val="18"/>
                <w:szCs w:val="18"/>
                <w:highlight w:val="none"/>
                <w:lang w:val="en-US" w:eastAsia="zh-CN"/>
              </w:rPr>
            </w:pPr>
          </w:p>
          <w:p w14:paraId="0D312817">
            <w:pPr>
              <w:rPr>
                <w:rFonts w:hint="eastAsia" w:ascii="Times New Roman" w:hAnsi="Times New Roman" w:eastAsia="宋体" w:cs="宋体"/>
                <w:color w:val="auto"/>
                <w:kern w:val="0"/>
                <w:sz w:val="18"/>
                <w:szCs w:val="18"/>
                <w:highlight w:val="none"/>
                <w:lang w:val="en-US" w:eastAsia="zh-CN"/>
              </w:rPr>
            </w:pPr>
          </w:p>
          <w:p w14:paraId="25D36ED5">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w:t>
            </w:r>
          </w:p>
        </w:tc>
        <w:tc>
          <w:tcPr>
            <w:tcW w:w="1635" w:type="dxa"/>
            <w:vAlign w:val="center"/>
          </w:tcPr>
          <w:p w14:paraId="1ABA20D0">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对公共体育设施单位是否在醒目位置标明设施的使用方法及注意事项的行政检查</w:t>
            </w:r>
          </w:p>
        </w:tc>
        <w:tc>
          <w:tcPr>
            <w:tcW w:w="929" w:type="dxa"/>
            <w:shd w:val="clear" w:color="auto" w:fill="auto"/>
            <w:vAlign w:val="center"/>
          </w:tcPr>
          <w:p w14:paraId="4589AD8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shd w:val="clear" w:color="auto" w:fill="auto"/>
            <w:vAlign w:val="center"/>
          </w:tcPr>
          <w:p w14:paraId="1ABB9C4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w:t>
            </w:r>
          </w:p>
        </w:tc>
        <w:tc>
          <w:tcPr>
            <w:tcW w:w="795" w:type="dxa"/>
            <w:shd w:val="clear" w:color="auto" w:fill="auto"/>
            <w:vAlign w:val="center"/>
          </w:tcPr>
          <w:p w14:paraId="7AE4ED5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公共体育设施单位</w:t>
            </w:r>
          </w:p>
        </w:tc>
        <w:tc>
          <w:tcPr>
            <w:tcW w:w="6150" w:type="dxa"/>
            <w:vAlign w:val="center"/>
          </w:tcPr>
          <w:p w14:paraId="2E7FBC3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【法规】《公共文化体育设施条例》</w:t>
            </w:r>
          </w:p>
          <w:p w14:paraId="54B55D1A">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第十九条　公共文化体育设施管理单位应当在醒目位置标明设施的使用方法和注意事项。</w:t>
            </w:r>
          </w:p>
          <w:p w14:paraId="19E01B7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第三十条　公共文化体育设施管理单位有下列行为之一的，由文化行政主管部门、体育行政主管部门依据各自职责责令限期改正；造成严重后果的，对负有责任的主管人员和其他直接责任人员，依法给予行政处分：(三)未在醒目位置标明设施的使用方法或者注意事项的；</w:t>
            </w:r>
          </w:p>
        </w:tc>
        <w:tc>
          <w:tcPr>
            <w:tcW w:w="998" w:type="dxa"/>
            <w:shd w:val="clear" w:color="auto" w:fill="auto"/>
            <w:vAlign w:val="center"/>
          </w:tcPr>
          <w:p w14:paraId="305C438B">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shd w:val="clear" w:color="auto" w:fill="auto"/>
            <w:vAlign w:val="center"/>
          </w:tcPr>
          <w:p w14:paraId="13326E6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40E75FC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p>
        </w:tc>
        <w:tc>
          <w:tcPr>
            <w:tcW w:w="1228" w:type="dxa"/>
            <w:vAlign w:val="center"/>
          </w:tcPr>
          <w:p w14:paraId="76F85225">
            <w:pPr>
              <w:rPr>
                <w:rFonts w:hint="eastAsia" w:ascii="Times New Roman" w:hAnsi="Times New Roman" w:eastAsia="宋体" w:cs="宋体"/>
                <w:color w:val="auto"/>
                <w:kern w:val="0"/>
                <w:sz w:val="18"/>
                <w:szCs w:val="18"/>
                <w:highlight w:val="none"/>
                <w:lang w:val="en-US" w:eastAsia="zh-CN"/>
              </w:rPr>
            </w:pPr>
          </w:p>
        </w:tc>
        <w:tc>
          <w:tcPr>
            <w:tcW w:w="1472" w:type="dxa"/>
            <w:vAlign w:val="center"/>
          </w:tcPr>
          <w:p w14:paraId="289A5426">
            <w:pPr>
              <w:rPr>
                <w:rFonts w:hint="eastAsia" w:ascii="Times New Roman" w:hAnsi="Times New Roman" w:eastAsia="宋体" w:cs="宋体"/>
                <w:color w:val="auto"/>
                <w:kern w:val="0"/>
                <w:sz w:val="18"/>
                <w:szCs w:val="18"/>
                <w:highlight w:val="none"/>
                <w:lang w:val="en-US" w:eastAsia="zh-CN"/>
              </w:rPr>
            </w:pPr>
          </w:p>
        </w:tc>
      </w:tr>
      <w:tr w14:paraId="2D3C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164E9EAD">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4</w:t>
            </w:r>
          </w:p>
        </w:tc>
        <w:tc>
          <w:tcPr>
            <w:tcW w:w="1635" w:type="dxa"/>
            <w:vAlign w:val="center"/>
          </w:tcPr>
          <w:p w14:paraId="29D53A0A">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对公共体育设施单位是否制定安全管理制度的行政检查</w:t>
            </w:r>
          </w:p>
        </w:tc>
        <w:tc>
          <w:tcPr>
            <w:tcW w:w="929" w:type="dxa"/>
            <w:shd w:val="clear" w:color="auto" w:fill="auto"/>
            <w:vAlign w:val="center"/>
          </w:tcPr>
          <w:p w14:paraId="4D3D943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shd w:val="clear" w:color="auto" w:fill="auto"/>
            <w:vAlign w:val="center"/>
          </w:tcPr>
          <w:p w14:paraId="70DB79F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w:t>
            </w:r>
          </w:p>
        </w:tc>
        <w:tc>
          <w:tcPr>
            <w:tcW w:w="795" w:type="dxa"/>
            <w:shd w:val="clear" w:color="auto" w:fill="auto"/>
            <w:vAlign w:val="center"/>
          </w:tcPr>
          <w:p w14:paraId="14BF4A1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公共体育设施单位</w:t>
            </w:r>
          </w:p>
        </w:tc>
        <w:tc>
          <w:tcPr>
            <w:tcW w:w="6150" w:type="dxa"/>
            <w:vAlign w:val="center"/>
          </w:tcPr>
          <w:p w14:paraId="12C877A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【法规】《公共文化体育设施条例》</w:t>
            </w:r>
          </w:p>
          <w:p w14:paraId="78F0366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第二十五条 公共文化体育设施管理单位应当建立、健全安全管理制度，依法配备安全保护设施、人员，保证公共文化体育设施的完好，确保公众安全。</w:t>
            </w:r>
          </w:p>
          <w:p w14:paraId="6F493F6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第三十条　公共文化体育设施管理单位有下列行为之一的，由文化行政主管部门、体育行政主管部门依据各自职责责令限期改正；造成严重后果的，对负有责任的主管人员和其他直接责任人员，依法给予行政处分：(四)未建立、健全公共文化体育设施的安全管理制度的；</w:t>
            </w:r>
          </w:p>
        </w:tc>
        <w:tc>
          <w:tcPr>
            <w:tcW w:w="998" w:type="dxa"/>
            <w:shd w:val="clear" w:color="auto" w:fill="auto"/>
            <w:vAlign w:val="center"/>
          </w:tcPr>
          <w:p w14:paraId="091B80C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shd w:val="clear" w:color="auto" w:fill="auto"/>
            <w:vAlign w:val="center"/>
          </w:tcPr>
          <w:p w14:paraId="6202EAB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11051CB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p>
        </w:tc>
        <w:tc>
          <w:tcPr>
            <w:tcW w:w="1228" w:type="dxa"/>
            <w:shd w:val="clear" w:color="auto" w:fill="auto"/>
            <w:vAlign w:val="center"/>
          </w:tcPr>
          <w:p w14:paraId="6073C8FA">
            <w:pPr>
              <w:rPr>
                <w:rFonts w:hint="eastAsia" w:ascii="Times New Roman" w:hAnsi="Times New Roman" w:eastAsia="宋体" w:cs="宋体"/>
                <w:color w:val="auto"/>
                <w:kern w:val="0"/>
                <w:sz w:val="18"/>
                <w:szCs w:val="18"/>
                <w:highlight w:val="none"/>
                <w:lang w:val="en-US" w:eastAsia="zh-CN"/>
              </w:rPr>
            </w:pPr>
          </w:p>
        </w:tc>
        <w:tc>
          <w:tcPr>
            <w:tcW w:w="1472" w:type="dxa"/>
            <w:shd w:val="clear" w:color="auto" w:fill="auto"/>
            <w:vAlign w:val="center"/>
          </w:tcPr>
          <w:p w14:paraId="4268C888">
            <w:pPr>
              <w:rPr>
                <w:rFonts w:hint="eastAsia" w:ascii="Times New Roman" w:hAnsi="Times New Roman" w:eastAsia="宋体" w:cs="宋体"/>
                <w:color w:val="auto"/>
                <w:kern w:val="0"/>
                <w:sz w:val="18"/>
                <w:szCs w:val="18"/>
                <w:highlight w:val="none"/>
                <w:lang w:val="en-US" w:eastAsia="zh-CN"/>
              </w:rPr>
            </w:pPr>
          </w:p>
        </w:tc>
      </w:tr>
      <w:tr w14:paraId="2B06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6C7A3D3C">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5</w:t>
            </w:r>
          </w:p>
        </w:tc>
        <w:tc>
          <w:tcPr>
            <w:tcW w:w="1635" w:type="dxa"/>
            <w:vAlign w:val="center"/>
          </w:tcPr>
          <w:p w14:paraId="2D18562B">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对公共体育设施单位是否开展与公共体育设施功能、用途不相适应的服务活动的行政检查</w:t>
            </w:r>
          </w:p>
        </w:tc>
        <w:tc>
          <w:tcPr>
            <w:tcW w:w="929" w:type="dxa"/>
            <w:shd w:val="clear" w:color="auto" w:fill="auto"/>
            <w:vAlign w:val="center"/>
          </w:tcPr>
          <w:p w14:paraId="0DB7AA5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shd w:val="clear" w:color="auto" w:fill="auto"/>
            <w:vAlign w:val="center"/>
          </w:tcPr>
          <w:p w14:paraId="148665A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社会体育管理中心、文化市场综合执法大队</w:t>
            </w:r>
          </w:p>
        </w:tc>
        <w:tc>
          <w:tcPr>
            <w:tcW w:w="795" w:type="dxa"/>
            <w:shd w:val="clear" w:color="auto" w:fill="auto"/>
            <w:vAlign w:val="center"/>
          </w:tcPr>
          <w:p w14:paraId="40768A8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公共体育设施单位</w:t>
            </w:r>
          </w:p>
        </w:tc>
        <w:tc>
          <w:tcPr>
            <w:tcW w:w="6150" w:type="dxa"/>
            <w:vAlign w:val="center"/>
          </w:tcPr>
          <w:p w14:paraId="762AE3A5">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【法律】《中华人民共和国体育法》（2022年修订版）</w:t>
            </w:r>
          </w:p>
          <w:p w14:paraId="5E20980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第八十七条 任何单位和个人不得侵占公共体育场地设施及其建设用地,不得擅自拆除公共体育场地设施,不得擅自改变公共体育场地设施的功能、用途或者妨碍其正常使用。因特殊需要临时占用公共体育场地设施超过十日的,应当经本级人民政府体育行政部门同意;超过三个月的,应当报上一级人民政府体育行政部门批准。</w:t>
            </w:r>
          </w:p>
          <w:p w14:paraId="4D05651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【法规】《公共文化体育设施条例》</w:t>
            </w:r>
          </w:p>
          <w:p w14:paraId="309F953B">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第十六条 公共文化体育设施管理单位不得擅自将设施用于与其功能、用途不相适应的活动</w:t>
            </w:r>
            <w:r>
              <w:rPr>
                <w:rFonts w:hint="default" w:ascii="Times New Roman" w:hAnsi="Times New Roman" w:eastAsia="宋体" w:cs="宋体"/>
                <w:color w:val="auto"/>
                <w:kern w:val="0"/>
                <w:sz w:val="18"/>
                <w:szCs w:val="18"/>
                <w:highlight w:val="none"/>
                <w:lang w:val="en-US" w:eastAsia="zh-CN"/>
              </w:rPr>
              <w:t>‌。</w:t>
            </w:r>
          </w:p>
          <w:p w14:paraId="54E94EC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 xml:space="preserve">第三十一条 </w:t>
            </w:r>
            <w:r>
              <w:rPr>
                <w:rFonts w:hint="default" w:ascii="Times New Roman" w:hAnsi="Times New Roman" w:eastAsia="宋体" w:cs="宋体"/>
                <w:color w:val="auto"/>
                <w:kern w:val="0"/>
                <w:sz w:val="18"/>
                <w:szCs w:val="18"/>
                <w:highlight w:val="none"/>
                <w:lang w:val="en-US" w:eastAsia="zh-CN"/>
              </w:rPr>
              <w:t>公共文化体育设施管理单位如有以下行为之一，将由文化或体育行政主管部门依据职责责令限期改正，并依法处罚‌：开展与设施功能、用途不相适应的服务活动；违规出租公共文化体育设施</w:t>
            </w:r>
            <w:r>
              <w:rPr>
                <w:rFonts w:hint="eastAsia" w:ascii="Times New Roman" w:hAnsi="Times New Roman" w:eastAsia="宋体" w:cs="宋体"/>
                <w:color w:val="auto"/>
                <w:kern w:val="0"/>
                <w:sz w:val="18"/>
                <w:szCs w:val="18"/>
                <w:highlight w:val="none"/>
                <w:lang w:val="en-US" w:eastAsia="zh-CN"/>
              </w:rPr>
              <w:t>。</w:t>
            </w:r>
          </w:p>
        </w:tc>
        <w:tc>
          <w:tcPr>
            <w:tcW w:w="998" w:type="dxa"/>
            <w:shd w:val="clear" w:color="auto" w:fill="auto"/>
            <w:vAlign w:val="center"/>
          </w:tcPr>
          <w:p w14:paraId="1C51D34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shd w:val="clear" w:color="auto" w:fill="auto"/>
            <w:vAlign w:val="center"/>
          </w:tcPr>
          <w:p w14:paraId="599358C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3D10407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p>
        </w:tc>
        <w:tc>
          <w:tcPr>
            <w:tcW w:w="1228" w:type="dxa"/>
            <w:shd w:val="clear" w:color="auto" w:fill="auto"/>
            <w:vAlign w:val="center"/>
          </w:tcPr>
          <w:p w14:paraId="6E10DB0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320233015000</w:t>
            </w:r>
          </w:p>
        </w:tc>
        <w:tc>
          <w:tcPr>
            <w:tcW w:w="1472" w:type="dxa"/>
            <w:shd w:val="clear" w:color="auto" w:fill="auto"/>
            <w:vAlign w:val="center"/>
          </w:tcPr>
          <w:p w14:paraId="67365D6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对公共文化体育设施管理单位开展与公共文化体育设施功能、用途不相适应服务活动的处罚</w:t>
            </w:r>
          </w:p>
        </w:tc>
      </w:tr>
      <w:tr w14:paraId="4D6E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6A390BF3">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6</w:t>
            </w:r>
          </w:p>
        </w:tc>
        <w:tc>
          <w:tcPr>
            <w:tcW w:w="1635" w:type="dxa"/>
            <w:vAlign w:val="center"/>
          </w:tcPr>
          <w:p w14:paraId="345A136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对临时占用公共体育设施是否履行行政许可手续的行政检查</w:t>
            </w:r>
          </w:p>
        </w:tc>
        <w:tc>
          <w:tcPr>
            <w:tcW w:w="929" w:type="dxa"/>
            <w:shd w:val="clear" w:color="auto" w:fill="auto"/>
            <w:vAlign w:val="center"/>
          </w:tcPr>
          <w:p w14:paraId="104E9C1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shd w:val="clear" w:color="auto" w:fill="auto"/>
            <w:vAlign w:val="center"/>
          </w:tcPr>
          <w:p w14:paraId="7EE854C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社会体育管理中心、文化市场综合执法大队</w:t>
            </w:r>
          </w:p>
        </w:tc>
        <w:tc>
          <w:tcPr>
            <w:tcW w:w="795" w:type="dxa"/>
            <w:shd w:val="clear" w:color="auto" w:fill="auto"/>
            <w:vAlign w:val="center"/>
          </w:tcPr>
          <w:p w14:paraId="0658461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公共体育设施单位</w:t>
            </w:r>
          </w:p>
        </w:tc>
        <w:tc>
          <w:tcPr>
            <w:tcW w:w="6150" w:type="dxa"/>
            <w:vAlign w:val="center"/>
          </w:tcPr>
          <w:p w14:paraId="203AE96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【法律】《中华人民共和国体育法》（2022年修订版）</w:t>
            </w:r>
          </w:p>
          <w:p w14:paraId="65A8F51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第八十七条 任何单位和个人不得侵占公共体育场地设施及其建设用地,不得擅自拆除公共体育场地设施,不得擅自改变公共体育场地设施的功能、用途或者妨碍其正常使用。因特殊需要临时占用公共体育场地设施超过十日的,应当经本级人民政府体育行政部门同意;超过三个月的,应当报上一级人民政府体育行政部门批准。</w:t>
            </w:r>
          </w:p>
          <w:p w14:paraId="504B8DD5">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【法规】《公共文化体育设施条例》</w:t>
            </w:r>
          </w:p>
          <w:p w14:paraId="37AFDE1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第十六条 公共文化体育设施管理单位不得擅自将设施用于与其功能、用途不相适应的活动</w:t>
            </w:r>
            <w:r>
              <w:rPr>
                <w:rFonts w:hint="default" w:ascii="Times New Roman" w:hAnsi="Times New Roman" w:eastAsia="宋体" w:cs="宋体"/>
                <w:color w:val="auto"/>
                <w:kern w:val="0"/>
                <w:sz w:val="18"/>
                <w:szCs w:val="18"/>
                <w:highlight w:val="none"/>
                <w:lang w:val="en-US" w:eastAsia="zh-CN"/>
              </w:rPr>
              <w:t>‌。</w:t>
            </w:r>
          </w:p>
          <w:p w14:paraId="40A9EE7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 xml:space="preserve">第三十一条 </w:t>
            </w:r>
            <w:r>
              <w:rPr>
                <w:rFonts w:hint="default" w:ascii="Times New Roman" w:hAnsi="Times New Roman" w:eastAsia="宋体" w:cs="宋体"/>
                <w:color w:val="auto"/>
                <w:kern w:val="0"/>
                <w:sz w:val="18"/>
                <w:szCs w:val="18"/>
                <w:highlight w:val="none"/>
                <w:lang w:val="en-US" w:eastAsia="zh-CN"/>
              </w:rPr>
              <w:t>公共文化体育设施管理单位如有以下行为之一，将由文化或体育行政主管部门依据职责责令限期改正，并依法处罚‌：开展与设施功能、用途不相适应的服务活动；违规出租公共文化体育设施</w:t>
            </w:r>
            <w:r>
              <w:rPr>
                <w:rFonts w:hint="eastAsia" w:ascii="Times New Roman" w:hAnsi="Times New Roman" w:eastAsia="宋体" w:cs="宋体"/>
                <w:color w:val="auto"/>
                <w:kern w:val="0"/>
                <w:sz w:val="18"/>
                <w:szCs w:val="18"/>
                <w:highlight w:val="none"/>
                <w:lang w:val="en-US" w:eastAsia="zh-CN"/>
              </w:rPr>
              <w:t>。</w:t>
            </w:r>
          </w:p>
        </w:tc>
        <w:tc>
          <w:tcPr>
            <w:tcW w:w="998" w:type="dxa"/>
            <w:shd w:val="clear" w:color="auto" w:fill="auto"/>
            <w:vAlign w:val="center"/>
          </w:tcPr>
          <w:p w14:paraId="4C0B1B9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shd w:val="clear" w:color="auto" w:fill="auto"/>
            <w:vAlign w:val="center"/>
          </w:tcPr>
          <w:p w14:paraId="64D43BA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3687761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p>
        </w:tc>
        <w:tc>
          <w:tcPr>
            <w:tcW w:w="1228" w:type="dxa"/>
            <w:shd w:val="clear" w:color="auto" w:fill="auto"/>
            <w:vAlign w:val="center"/>
          </w:tcPr>
          <w:p w14:paraId="3DD088B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320233016000</w:t>
            </w:r>
          </w:p>
        </w:tc>
        <w:tc>
          <w:tcPr>
            <w:tcW w:w="1472" w:type="dxa"/>
            <w:shd w:val="clear" w:color="auto" w:fill="auto"/>
            <w:vAlign w:val="center"/>
          </w:tcPr>
          <w:p w14:paraId="0714898A">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对违反规定出租公共文化体育设施的处罚</w:t>
            </w:r>
          </w:p>
        </w:tc>
      </w:tr>
      <w:tr w14:paraId="3328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Merge w:val="restart"/>
            <w:vAlign w:val="center"/>
          </w:tcPr>
          <w:p w14:paraId="7172FC59">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7</w:t>
            </w:r>
          </w:p>
        </w:tc>
        <w:tc>
          <w:tcPr>
            <w:tcW w:w="1635" w:type="dxa"/>
            <w:vMerge w:val="restart"/>
            <w:vAlign w:val="center"/>
          </w:tcPr>
          <w:p w14:paraId="6F34507A">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对经营高危险性体育项目许可单位是否符合经营高危险性体育项目条件的行政检查</w:t>
            </w:r>
          </w:p>
        </w:tc>
        <w:tc>
          <w:tcPr>
            <w:tcW w:w="929" w:type="dxa"/>
            <w:vMerge w:val="restart"/>
            <w:shd w:val="clear" w:color="auto" w:fill="auto"/>
            <w:vAlign w:val="center"/>
          </w:tcPr>
          <w:p w14:paraId="0594167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Merge w:val="restart"/>
            <w:shd w:val="clear" w:color="auto" w:fill="auto"/>
            <w:vAlign w:val="center"/>
          </w:tcPr>
          <w:p w14:paraId="5B61124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体育业务科、文化市场综合执法大队</w:t>
            </w:r>
          </w:p>
        </w:tc>
        <w:tc>
          <w:tcPr>
            <w:tcW w:w="795" w:type="dxa"/>
            <w:vMerge w:val="restart"/>
            <w:shd w:val="clear" w:color="auto" w:fill="auto"/>
            <w:vAlign w:val="center"/>
          </w:tcPr>
          <w:p w14:paraId="30097E8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高危体育项目经营单位</w:t>
            </w:r>
          </w:p>
        </w:tc>
        <w:tc>
          <w:tcPr>
            <w:tcW w:w="6150" w:type="dxa"/>
            <w:vMerge w:val="restart"/>
            <w:vAlign w:val="center"/>
          </w:tcPr>
          <w:p w14:paraId="23D78B64">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【法律】《中华人民共和国体育法》（2022版）</w:t>
            </w:r>
          </w:p>
          <w:p w14:paraId="1515FA0A">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第一百零一条 县级以上人民政府体育行政部门和有关部门应当积极履行监督检查职责,发现违反本法规定行为的,应当及时做出处理。</w:t>
            </w:r>
          </w:p>
          <w:p w14:paraId="0D413A00">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第一百一十六条 未经许可经营高危险性体育项目的,由县级以上地方人民政府体育行政部门会同有关部门责令限期关闭;逾期未关闭的,处十万元以上五十万元以下的罚款;有违法所得的,没收违法所得。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14:paraId="6E82F11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【规章】《经营高危险性体育项目许可管理办法》</w:t>
            </w:r>
          </w:p>
          <w:p w14:paraId="0CC204CD">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第三条  经营高危险性体育项目实施行政许可。</w:t>
            </w:r>
          </w:p>
          <w:p w14:paraId="32EB355A">
            <w:pPr>
              <w:rPr>
                <w:rFonts w:hint="default" w:ascii="Times New Roman" w:hAnsi="Times New Roman" w:eastAsia="宋体" w:cs="宋体"/>
                <w:color w:val="auto"/>
                <w:kern w:val="0"/>
                <w:sz w:val="18"/>
                <w:szCs w:val="18"/>
                <w:highlight w:val="none"/>
                <w:lang w:val="en-US" w:eastAsia="zh-CN"/>
              </w:rPr>
            </w:pPr>
            <w:r>
              <w:rPr>
                <w:rFonts w:hint="default" w:ascii="Times New Roman" w:hAnsi="Times New Roman" w:eastAsia="宋体" w:cs="宋体"/>
                <w:color w:val="auto"/>
                <w:kern w:val="0"/>
                <w:sz w:val="18"/>
                <w:szCs w:val="18"/>
                <w:highlight w:val="none"/>
                <w:lang w:val="en-US" w:eastAsia="zh-CN"/>
              </w:rPr>
              <w:t>第六条 经营高危险性体育项目，应当具备下列条件：(一)相关体育设施符合国家标准；(二)具有达到规定数量、取得国家职业资格证书的社会体育指导人员和救助人员；(三)具有安全生产岗位责任制、安全操作规程、突发事件应急预案、体育设施、设备、器材安全检查制度等安全保障制度和措施；(四)法律、法规规定的其他条件。</w:t>
            </w:r>
          </w:p>
          <w:p w14:paraId="3560DDA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第十七条</w:t>
            </w:r>
            <w:r>
              <w:rPr>
                <w:rFonts w:hint="default" w:ascii="Times New Roman" w:hAnsi="Times New Roman" w:eastAsia="宋体" w:cs="宋体"/>
                <w:color w:val="auto"/>
                <w:kern w:val="0"/>
                <w:sz w:val="18"/>
                <w:szCs w:val="18"/>
                <w:highlight w:val="none"/>
                <w:lang w:val="en-US" w:eastAsia="zh-CN"/>
              </w:rPr>
              <w:t> </w:t>
            </w:r>
            <w:r>
              <w:rPr>
                <w:rFonts w:hint="eastAsia" w:ascii="Times New Roman" w:hAnsi="Times New Roman" w:eastAsia="宋体" w:cs="宋体"/>
                <w:color w:val="auto"/>
                <w:kern w:val="0"/>
                <w:sz w:val="18"/>
                <w:szCs w:val="18"/>
                <w:highlight w:val="none"/>
                <w:lang w:val="en-US" w:eastAsia="zh-CN"/>
              </w:rPr>
              <w:t xml:space="preserve"> 县级以上地方人民政府体育主管部门应当对经营者从事行政许可事项的活动实施有效监督。</w:t>
            </w:r>
          </w:p>
          <w:p w14:paraId="17C80B9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第二十条 经营者应当将许可证、安全生产岗位责任制、安全操作规程、体育设施、设备、器材的使用说明及安全检查等制度、社会体育指导人员和救助人员名录及照片张贴于经营场所的醒目位置。</w:t>
            </w:r>
          </w:p>
          <w:p w14:paraId="28C092A0">
            <w:pPr>
              <w:rPr>
                <w:rFonts w:hint="eastAsia" w:ascii="Times New Roman" w:hAnsi="Times New Roman" w:eastAsia="宋体" w:cs="宋体"/>
                <w:color w:val="auto"/>
                <w:kern w:val="0"/>
                <w:sz w:val="18"/>
                <w:szCs w:val="18"/>
                <w:highlight w:val="none"/>
                <w:lang w:val="en-US" w:eastAsia="zh-CN"/>
              </w:rPr>
            </w:pPr>
            <w:r>
              <w:rPr>
                <w:rFonts w:hint="default" w:ascii="Times New Roman" w:hAnsi="Times New Roman" w:eastAsia="宋体" w:cs="宋体"/>
                <w:color w:val="auto"/>
                <w:kern w:val="0"/>
                <w:sz w:val="18"/>
                <w:szCs w:val="18"/>
                <w:highlight w:val="none"/>
                <w:lang w:val="en-US" w:eastAsia="zh-CN"/>
              </w:rPr>
              <w:t>第二十三条 经营者应当保证经营期间具有不低于规定数量的社会体育指导人员和救助人员。社会体育指导人员和救助人员应当持证上岗，并佩戴能标明其身份的醒目标识。</w:t>
            </w:r>
          </w:p>
          <w:p w14:paraId="1D2BC172">
            <w:pPr>
              <w:rPr>
                <w:rFonts w:hint="eastAsia" w:ascii="Times New Roman" w:hAnsi="Times New Roman" w:eastAsia="宋体" w:cs="宋体"/>
                <w:color w:val="auto"/>
                <w:kern w:val="0"/>
                <w:sz w:val="18"/>
                <w:szCs w:val="18"/>
                <w:highlight w:val="none"/>
                <w:lang w:val="en-US" w:eastAsia="zh-CN"/>
              </w:rPr>
            </w:pPr>
            <w:r>
              <w:rPr>
                <w:rFonts w:hint="default" w:ascii="Times New Roman" w:hAnsi="Times New Roman" w:eastAsia="宋体" w:cs="宋体"/>
                <w:color w:val="auto"/>
                <w:kern w:val="0"/>
                <w:sz w:val="18"/>
                <w:szCs w:val="18"/>
                <w:highlight w:val="none"/>
                <w:lang w:val="en-US" w:eastAsia="zh-CN"/>
              </w:rPr>
              <w:t>第二十四条 经营者对体育执法人员依法履行监督检查职责，应当予以配合，不得拒绝、阻挠。</w:t>
            </w:r>
          </w:p>
        </w:tc>
        <w:tc>
          <w:tcPr>
            <w:tcW w:w="998" w:type="dxa"/>
            <w:vMerge w:val="restart"/>
            <w:shd w:val="clear" w:color="auto" w:fill="auto"/>
            <w:vAlign w:val="center"/>
          </w:tcPr>
          <w:p w14:paraId="25A1E26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vMerge w:val="restart"/>
            <w:shd w:val="clear" w:color="auto" w:fill="auto"/>
            <w:vAlign w:val="center"/>
          </w:tcPr>
          <w:p w14:paraId="2F6A823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750623B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p>
        </w:tc>
        <w:tc>
          <w:tcPr>
            <w:tcW w:w="1228" w:type="dxa"/>
            <w:shd w:val="clear" w:color="auto" w:fill="auto"/>
            <w:vAlign w:val="center"/>
          </w:tcPr>
          <w:p w14:paraId="74FB9171">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320233007000</w:t>
            </w:r>
          </w:p>
        </w:tc>
        <w:tc>
          <w:tcPr>
            <w:tcW w:w="1472" w:type="dxa"/>
            <w:shd w:val="clear" w:color="auto" w:fill="auto"/>
            <w:vAlign w:val="center"/>
          </w:tcPr>
          <w:p w14:paraId="20485C14">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对高危险性体育项目经营者不按规定经营的处罚</w:t>
            </w:r>
          </w:p>
        </w:tc>
      </w:tr>
      <w:tr w14:paraId="33EC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Merge w:val="continue"/>
            <w:vAlign w:val="center"/>
          </w:tcPr>
          <w:p w14:paraId="66FB54D8">
            <w:pPr>
              <w:rPr>
                <w:rFonts w:hint="eastAsia" w:ascii="Times New Roman" w:hAnsi="Times New Roman" w:eastAsia="宋体" w:cs="宋体"/>
                <w:color w:val="auto"/>
                <w:kern w:val="0"/>
                <w:sz w:val="18"/>
                <w:szCs w:val="18"/>
                <w:highlight w:val="none"/>
                <w:lang w:val="en-US" w:eastAsia="zh-CN"/>
              </w:rPr>
            </w:pPr>
          </w:p>
        </w:tc>
        <w:tc>
          <w:tcPr>
            <w:tcW w:w="1635" w:type="dxa"/>
            <w:vMerge w:val="continue"/>
            <w:vAlign w:val="center"/>
          </w:tcPr>
          <w:p w14:paraId="7CBDDD04">
            <w:pPr>
              <w:rPr>
                <w:rFonts w:hint="eastAsia" w:ascii="Times New Roman" w:hAnsi="Times New Roman" w:eastAsia="宋体" w:cs="宋体"/>
                <w:color w:val="auto"/>
                <w:kern w:val="0"/>
                <w:sz w:val="18"/>
                <w:szCs w:val="18"/>
                <w:highlight w:val="none"/>
                <w:lang w:val="en-US" w:eastAsia="zh-CN"/>
              </w:rPr>
            </w:pPr>
          </w:p>
        </w:tc>
        <w:tc>
          <w:tcPr>
            <w:tcW w:w="929" w:type="dxa"/>
            <w:vMerge w:val="continue"/>
            <w:vAlign w:val="center"/>
          </w:tcPr>
          <w:p w14:paraId="781F8696">
            <w:pPr>
              <w:rPr>
                <w:rFonts w:hint="eastAsia" w:ascii="Times New Roman" w:hAnsi="Times New Roman" w:eastAsia="宋体" w:cs="宋体"/>
                <w:color w:val="auto"/>
                <w:kern w:val="0"/>
                <w:sz w:val="18"/>
                <w:szCs w:val="18"/>
                <w:highlight w:val="none"/>
                <w:lang w:val="en-US" w:eastAsia="zh-CN"/>
              </w:rPr>
            </w:pPr>
          </w:p>
        </w:tc>
        <w:tc>
          <w:tcPr>
            <w:tcW w:w="705" w:type="dxa"/>
            <w:vMerge w:val="continue"/>
            <w:vAlign w:val="center"/>
          </w:tcPr>
          <w:p w14:paraId="2BA2543A">
            <w:pPr>
              <w:rPr>
                <w:rFonts w:hint="eastAsia" w:ascii="Times New Roman" w:hAnsi="Times New Roman" w:eastAsia="宋体" w:cs="宋体"/>
                <w:color w:val="auto"/>
                <w:kern w:val="0"/>
                <w:sz w:val="18"/>
                <w:szCs w:val="18"/>
                <w:highlight w:val="none"/>
                <w:lang w:val="en-US" w:eastAsia="zh-CN"/>
              </w:rPr>
            </w:pPr>
          </w:p>
        </w:tc>
        <w:tc>
          <w:tcPr>
            <w:tcW w:w="795" w:type="dxa"/>
            <w:vMerge w:val="continue"/>
            <w:vAlign w:val="center"/>
          </w:tcPr>
          <w:p w14:paraId="292EBA04">
            <w:pPr>
              <w:rPr>
                <w:rFonts w:hint="eastAsia" w:ascii="Times New Roman" w:hAnsi="Times New Roman" w:eastAsia="宋体" w:cs="宋体"/>
                <w:color w:val="auto"/>
                <w:kern w:val="0"/>
                <w:sz w:val="18"/>
                <w:szCs w:val="18"/>
                <w:highlight w:val="none"/>
                <w:lang w:val="en-US" w:eastAsia="zh-CN"/>
              </w:rPr>
            </w:pPr>
          </w:p>
        </w:tc>
        <w:tc>
          <w:tcPr>
            <w:tcW w:w="6150" w:type="dxa"/>
            <w:vMerge w:val="continue"/>
            <w:vAlign w:val="center"/>
          </w:tcPr>
          <w:p w14:paraId="5A8C4B7B">
            <w:pPr>
              <w:rPr>
                <w:rFonts w:hint="eastAsia" w:ascii="Times New Roman" w:hAnsi="Times New Roman" w:eastAsia="宋体" w:cs="宋体"/>
                <w:color w:val="auto"/>
                <w:kern w:val="0"/>
                <w:sz w:val="18"/>
                <w:szCs w:val="18"/>
                <w:highlight w:val="none"/>
                <w:lang w:val="en-US" w:eastAsia="zh-CN"/>
              </w:rPr>
            </w:pPr>
          </w:p>
        </w:tc>
        <w:tc>
          <w:tcPr>
            <w:tcW w:w="998" w:type="dxa"/>
            <w:vMerge w:val="continue"/>
            <w:vAlign w:val="center"/>
          </w:tcPr>
          <w:p w14:paraId="2E601D6A">
            <w:pPr>
              <w:rPr>
                <w:rFonts w:hint="eastAsia" w:ascii="Times New Roman" w:hAnsi="Times New Roman" w:eastAsia="宋体" w:cs="宋体"/>
                <w:color w:val="auto"/>
                <w:kern w:val="0"/>
                <w:sz w:val="18"/>
                <w:szCs w:val="18"/>
                <w:highlight w:val="none"/>
                <w:lang w:val="en-US" w:eastAsia="zh-CN"/>
              </w:rPr>
            </w:pPr>
          </w:p>
        </w:tc>
        <w:tc>
          <w:tcPr>
            <w:tcW w:w="1132" w:type="dxa"/>
            <w:vMerge w:val="continue"/>
            <w:vAlign w:val="center"/>
          </w:tcPr>
          <w:p w14:paraId="6E82F44B">
            <w:pPr>
              <w:rPr>
                <w:rFonts w:hint="eastAsia" w:ascii="Times New Roman" w:hAnsi="Times New Roman" w:eastAsia="宋体" w:cs="宋体"/>
                <w:color w:val="auto"/>
                <w:kern w:val="0"/>
                <w:sz w:val="18"/>
                <w:szCs w:val="18"/>
                <w:highlight w:val="none"/>
                <w:lang w:val="en-US" w:eastAsia="zh-CN"/>
              </w:rPr>
            </w:pPr>
          </w:p>
        </w:tc>
        <w:tc>
          <w:tcPr>
            <w:tcW w:w="1228" w:type="dxa"/>
            <w:shd w:val="clear" w:color="auto" w:fill="auto"/>
            <w:vAlign w:val="center"/>
          </w:tcPr>
          <w:p w14:paraId="7D24479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320233003000</w:t>
            </w:r>
          </w:p>
        </w:tc>
        <w:tc>
          <w:tcPr>
            <w:tcW w:w="1472" w:type="dxa"/>
            <w:shd w:val="clear" w:color="auto" w:fill="auto"/>
            <w:vAlign w:val="center"/>
          </w:tcPr>
          <w:p w14:paraId="1725CF54">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对擅自经营高危险性体育项目的处罚</w:t>
            </w:r>
          </w:p>
        </w:tc>
      </w:tr>
      <w:tr w14:paraId="19D1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Merge w:val="continue"/>
            <w:vAlign w:val="center"/>
          </w:tcPr>
          <w:p w14:paraId="1DCE59D8">
            <w:pPr>
              <w:rPr>
                <w:rFonts w:hint="eastAsia" w:ascii="Times New Roman" w:hAnsi="Times New Roman" w:eastAsia="宋体" w:cs="宋体"/>
                <w:color w:val="auto"/>
                <w:kern w:val="0"/>
                <w:sz w:val="18"/>
                <w:szCs w:val="18"/>
                <w:highlight w:val="none"/>
                <w:lang w:val="en-US" w:eastAsia="zh-CN"/>
              </w:rPr>
            </w:pPr>
          </w:p>
        </w:tc>
        <w:tc>
          <w:tcPr>
            <w:tcW w:w="1635" w:type="dxa"/>
            <w:vMerge w:val="continue"/>
            <w:vAlign w:val="center"/>
          </w:tcPr>
          <w:p w14:paraId="7D722B87">
            <w:pPr>
              <w:rPr>
                <w:rFonts w:hint="eastAsia" w:ascii="Times New Roman" w:hAnsi="Times New Roman" w:eastAsia="宋体" w:cs="宋体"/>
                <w:color w:val="auto"/>
                <w:kern w:val="0"/>
                <w:sz w:val="18"/>
                <w:szCs w:val="18"/>
                <w:highlight w:val="none"/>
                <w:lang w:val="en-US" w:eastAsia="zh-CN"/>
              </w:rPr>
            </w:pPr>
          </w:p>
        </w:tc>
        <w:tc>
          <w:tcPr>
            <w:tcW w:w="929" w:type="dxa"/>
            <w:vMerge w:val="continue"/>
            <w:vAlign w:val="center"/>
          </w:tcPr>
          <w:p w14:paraId="162A52D8">
            <w:pPr>
              <w:rPr>
                <w:rFonts w:hint="eastAsia" w:ascii="Times New Roman" w:hAnsi="Times New Roman" w:eastAsia="宋体" w:cs="宋体"/>
                <w:color w:val="auto"/>
                <w:kern w:val="0"/>
                <w:sz w:val="18"/>
                <w:szCs w:val="18"/>
                <w:highlight w:val="none"/>
                <w:lang w:val="en-US" w:eastAsia="zh-CN"/>
              </w:rPr>
            </w:pPr>
          </w:p>
        </w:tc>
        <w:tc>
          <w:tcPr>
            <w:tcW w:w="705" w:type="dxa"/>
            <w:vMerge w:val="continue"/>
            <w:vAlign w:val="center"/>
          </w:tcPr>
          <w:p w14:paraId="52D7E85A">
            <w:pPr>
              <w:rPr>
                <w:rFonts w:hint="eastAsia" w:ascii="Times New Roman" w:hAnsi="Times New Roman" w:eastAsia="宋体" w:cs="宋体"/>
                <w:color w:val="auto"/>
                <w:kern w:val="0"/>
                <w:sz w:val="18"/>
                <w:szCs w:val="18"/>
                <w:highlight w:val="none"/>
                <w:lang w:val="en-US" w:eastAsia="zh-CN"/>
              </w:rPr>
            </w:pPr>
          </w:p>
        </w:tc>
        <w:tc>
          <w:tcPr>
            <w:tcW w:w="795" w:type="dxa"/>
            <w:vMerge w:val="continue"/>
            <w:vAlign w:val="center"/>
          </w:tcPr>
          <w:p w14:paraId="7694891B">
            <w:pPr>
              <w:rPr>
                <w:rFonts w:hint="eastAsia" w:ascii="Times New Roman" w:hAnsi="Times New Roman" w:eastAsia="宋体" w:cs="宋体"/>
                <w:color w:val="auto"/>
                <w:kern w:val="0"/>
                <w:sz w:val="18"/>
                <w:szCs w:val="18"/>
                <w:highlight w:val="none"/>
                <w:lang w:val="en-US" w:eastAsia="zh-CN"/>
              </w:rPr>
            </w:pPr>
          </w:p>
        </w:tc>
        <w:tc>
          <w:tcPr>
            <w:tcW w:w="6150" w:type="dxa"/>
            <w:vMerge w:val="continue"/>
            <w:vAlign w:val="center"/>
          </w:tcPr>
          <w:p w14:paraId="7902B7EB">
            <w:pPr>
              <w:rPr>
                <w:rFonts w:hint="eastAsia" w:ascii="Times New Roman" w:hAnsi="Times New Roman" w:eastAsia="宋体" w:cs="宋体"/>
                <w:color w:val="auto"/>
                <w:kern w:val="0"/>
                <w:sz w:val="18"/>
                <w:szCs w:val="18"/>
                <w:highlight w:val="none"/>
                <w:lang w:val="en-US" w:eastAsia="zh-CN"/>
              </w:rPr>
            </w:pPr>
          </w:p>
        </w:tc>
        <w:tc>
          <w:tcPr>
            <w:tcW w:w="998" w:type="dxa"/>
            <w:vMerge w:val="continue"/>
            <w:vAlign w:val="center"/>
          </w:tcPr>
          <w:p w14:paraId="56A76CB6">
            <w:pPr>
              <w:rPr>
                <w:rFonts w:hint="eastAsia" w:ascii="Times New Roman" w:hAnsi="Times New Roman" w:eastAsia="宋体" w:cs="宋体"/>
                <w:color w:val="auto"/>
                <w:kern w:val="0"/>
                <w:sz w:val="18"/>
                <w:szCs w:val="18"/>
                <w:highlight w:val="none"/>
                <w:lang w:val="en-US" w:eastAsia="zh-CN"/>
              </w:rPr>
            </w:pPr>
          </w:p>
        </w:tc>
        <w:tc>
          <w:tcPr>
            <w:tcW w:w="1132" w:type="dxa"/>
            <w:vMerge w:val="continue"/>
            <w:vAlign w:val="center"/>
          </w:tcPr>
          <w:p w14:paraId="7363330E">
            <w:pPr>
              <w:rPr>
                <w:rFonts w:hint="eastAsia" w:ascii="Times New Roman" w:hAnsi="Times New Roman" w:eastAsia="宋体" w:cs="宋体"/>
                <w:color w:val="auto"/>
                <w:kern w:val="0"/>
                <w:sz w:val="18"/>
                <w:szCs w:val="18"/>
                <w:highlight w:val="none"/>
                <w:lang w:val="en-US" w:eastAsia="zh-CN"/>
              </w:rPr>
            </w:pPr>
          </w:p>
        </w:tc>
        <w:tc>
          <w:tcPr>
            <w:tcW w:w="1228" w:type="dxa"/>
            <w:shd w:val="clear" w:color="auto" w:fill="auto"/>
            <w:vAlign w:val="center"/>
          </w:tcPr>
          <w:p w14:paraId="3F38D791">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320233004000</w:t>
            </w:r>
          </w:p>
        </w:tc>
        <w:tc>
          <w:tcPr>
            <w:tcW w:w="1472" w:type="dxa"/>
            <w:shd w:val="clear" w:color="auto" w:fill="auto"/>
            <w:vAlign w:val="center"/>
          </w:tcPr>
          <w:p w14:paraId="1ED2D19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对高危险性体育项目经营者拒绝、阻扰体育执法人员依法履行监督检查职责的处罚</w:t>
            </w:r>
          </w:p>
        </w:tc>
      </w:tr>
      <w:tr w14:paraId="4A6D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Merge w:val="continue"/>
            <w:vAlign w:val="center"/>
          </w:tcPr>
          <w:p w14:paraId="2F51EF89">
            <w:pPr>
              <w:rPr>
                <w:rFonts w:hint="default" w:ascii="Times New Roman" w:hAnsi="Times New Roman" w:eastAsia="宋体" w:cs="宋体"/>
                <w:color w:val="auto"/>
                <w:kern w:val="0"/>
                <w:sz w:val="18"/>
                <w:szCs w:val="18"/>
                <w:highlight w:val="none"/>
                <w:lang w:val="en-US" w:eastAsia="zh-CN"/>
              </w:rPr>
            </w:pPr>
          </w:p>
        </w:tc>
        <w:tc>
          <w:tcPr>
            <w:tcW w:w="1635" w:type="dxa"/>
            <w:vMerge w:val="continue"/>
            <w:vAlign w:val="center"/>
          </w:tcPr>
          <w:p w14:paraId="251D3AD7">
            <w:pPr>
              <w:rPr>
                <w:rFonts w:hint="eastAsia" w:ascii="Times New Roman" w:hAnsi="Times New Roman" w:eastAsia="宋体" w:cs="宋体"/>
                <w:color w:val="auto"/>
                <w:kern w:val="0"/>
                <w:sz w:val="18"/>
                <w:szCs w:val="18"/>
                <w:highlight w:val="none"/>
                <w:lang w:val="en-US" w:eastAsia="zh-CN"/>
              </w:rPr>
            </w:pPr>
          </w:p>
        </w:tc>
        <w:tc>
          <w:tcPr>
            <w:tcW w:w="929" w:type="dxa"/>
            <w:vMerge w:val="continue"/>
            <w:vAlign w:val="center"/>
          </w:tcPr>
          <w:p w14:paraId="5549E6E7">
            <w:pPr>
              <w:rPr>
                <w:rFonts w:hint="eastAsia" w:ascii="Times New Roman" w:hAnsi="Times New Roman" w:eastAsia="宋体" w:cs="宋体"/>
                <w:color w:val="auto"/>
                <w:kern w:val="0"/>
                <w:sz w:val="18"/>
                <w:szCs w:val="18"/>
                <w:highlight w:val="none"/>
                <w:lang w:val="en-US" w:eastAsia="zh-CN"/>
              </w:rPr>
            </w:pPr>
          </w:p>
        </w:tc>
        <w:tc>
          <w:tcPr>
            <w:tcW w:w="705" w:type="dxa"/>
            <w:vMerge w:val="continue"/>
            <w:vAlign w:val="center"/>
          </w:tcPr>
          <w:p w14:paraId="2D0E239A">
            <w:pPr>
              <w:rPr>
                <w:rFonts w:hint="eastAsia" w:ascii="Times New Roman" w:hAnsi="Times New Roman" w:eastAsia="宋体" w:cs="宋体"/>
                <w:color w:val="auto"/>
                <w:kern w:val="0"/>
                <w:sz w:val="18"/>
                <w:szCs w:val="18"/>
                <w:highlight w:val="none"/>
                <w:lang w:val="en-US" w:eastAsia="zh-CN"/>
              </w:rPr>
            </w:pPr>
          </w:p>
        </w:tc>
        <w:tc>
          <w:tcPr>
            <w:tcW w:w="795" w:type="dxa"/>
            <w:vMerge w:val="continue"/>
            <w:vAlign w:val="center"/>
          </w:tcPr>
          <w:p w14:paraId="226D638F">
            <w:pPr>
              <w:rPr>
                <w:rFonts w:hint="eastAsia" w:ascii="Times New Roman" w:hAnsi="Times New Roman" w:eastAsia="宋体" w:cs="宋体"/>
                <w:color w:val="auto"/>
                <w:kern w:val="0"/>
                <w:sz w:val="18"/>
                <w:szCs w:val="18"/>
                <w:highlight w:val="none"/>
                <w:lang w:val="en-US" w:eastAsia="zh-CN"/>
              </w:rPr>
            </w:pPr>
          </w:p>
        </w:tc>
        <w:tc>
          <w:tcPr>
            <w:tcW w:w="6150" w:type="dxa"/>
            <w:vMerge w:val="continue"/>
            <w:vAlign w:val="center"/>
          </w:tcPr>
          <w:p w14:paraId="2A7BF9C2">
            <w:pPr>
              <w:rPr>
                <w:rFonts w:hint="eastAsia" w:ascii="Times New Roman" w:hAnsi="Times New Roman" w:eastAsia="宋体" w:cs="宋体"/>
                <w:color w:val="auto"/>
                <w:kern w:val="0"/>
                <w:sz w:val="18"/>
                <w:szCs w:val="18"/>
                <w:highlight w:val="none"/>
                <w:lang w:val="en-US" w:eastAsia="zh-CN"/>
              </w:rPr>
            </w:pPr>
          </w:p>
        </w:tc>
        <w:tc>
          <w:tcPr>
            <w:tcW w:w="998" w:type="dxa"/>
            <w:vMerge w:val="continue"/>
            <w:vAlign w:val="center"/>
          </w:tcPr>
          <w:p w14:paraId="7A17A79A">
            <w:pPr>
              <w:rPr>
                <w:rFonts w:hint="eastAsia" w:ascii="Times New Roman" w:hAnsi="Times New Roman" w:eastAsia="宋体" w:cs="宋体"/>
                <w:color w:val="auto"/>
                <w:kern w:val="0"/>
                <w:sz w:val="18"/>
                <w:szCs w:val="18"/>
                <w:highlight w:val="none"/>
                <w:lang w:val="en-US" w:eastAsia="zh-CN"/>
              </w:rPr>
            </w:pPr>
          </w:p>
        </w:tc>
        <w:tc>
          <w:tcPr>
            <w:tcW w:w="1132" w:type="dxa"/>
            <w:vMerge w:val="continue"/>
            <w:vAlign w:val="center"/>
          </w:tcPr>
          <w:p w14:paraId="0975E4D3">
            <w:pPr>
              <w:rPr>
                <w:rFonts w:hint="eastAsia" w:ascii="Times New Roman" w:hAnsi="Times New Roman" w:eastAsia="宋体" w:cs="宋体"/>
                <w:color w:val="auto"/>
                <w:kern w:val="0"/>
                <w:sz w:val="18"/>
                <w:szCs w:val="18"/>
                <w:highlight w:val="none"/>
                <w:lang w:val="en-US" w:eastAsia="zh-CN"/>
              </w:rPr>
            </w:pPr>
          </w:p>
        </w:tc>
        <w:tc>
          <w:tcPr>
            <w:tcW w:w="1228" w:type="dxa"/>
            <w:shd w:val="clear" w:color="auto" w:fill="auto"/>
            <w:vAlign w:val="center"/>
          </w:tcPr>
          <w:p w14:paraId="6CF1C46B">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320233006000</w:t>
            </w:r>
          </w:p>
        </w:tc>
        <w:tc>
          <w:tcPr>
            <w:tcW w:w="1472" w:type="dxa"/>
            <w:shd w:val="clear" w:color="auto" w:fill="auto"/>
            <w:vAlign w:val="center"/>
          </w:tcPr>
          <w:p w14:paraId="0248F5B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对高危险性体育项目经营者取得许可证后，不再符合规定条件仍经营该体育项目的处罚</w:t>
            </w:r>
          </w:p>
        </w:tc>
      </w:tr>
      <w:tr w14:paraId="4129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69DD9FEC">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8</w:t>
            </w:r>
          </w:p>
        </w:tc>
        <w:tc>
          <w:tcPr>
            <w:tcW w:w="1635" w:type="dxa"/>
            <w:vAlign w:val="center"/>
          </w:tcPr>
          <w:p w14:paraId="1D66AFE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对举办健身气功活动的行政检查</w:t>
            </w:r>
          </w:p>
        </w:tc>
        <w:tc>
          <w:tcPr>
            <w:tcW w:w="929" w:type="dxa"/>
            <w:vAlign w:val="center"/>
          </w:tcPr>
          <w:p w14:paraId="0A5D8AA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6DF70C8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w:t>
            </w:r>
          </w:p>
        </w:tc>
        <w:tc>
          <w:tcPr>
            <w:tcW w:w="795" w:type="dxa"/>
            <w:vAlign w:val="center"/>
          </w:tcPr>
          <w:p w14:paraId="2B7D4575">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健身气功举办单位</w:t>
            </w:r>
          </w:p>
        </w:tc>
        <w:tc>
          <w:tcPr>
            <w:tcW w:w="6150" w:type="dxa"/>
            <w:vAlign w:val="center"/>
          </w:tcPr>
          <w:p w14:paraId="429B1F4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【法规】《民办非企业单位登记管理暂行条例》</w:t>
            </w:r>
          </w:p>
          <w:p w14:paraId="494C15AB">
            <w:pPr>
              <w:rPr>
                <w:rFonts w:hint="default" w:ascii="Times New Roman" w:hAnsi="Times New Roman" w:eastAsia="宋体" w:cs="宋体"/>
                <w:color w:val="auto"/>
                <w:kern w:val="0"/>
                <w:sz w:val="18"/>
                <w:szCs w:val="18"/>
                <w:highlight w:val="none"/>
                <w:lang w:val="en-US" w:eastAsia="zh-CN"/>
              </w:rPr>
            </w:pPr>
            <w:r>
              <w:rPr>
                <w:rFonts w:hint="default" w:ascii="Times New Roman" w:hAnsi="Times New Roman" w:eastAsia="宋体" w:cs="宋体"/>
                <w:color w:val="auto"/>
                <w:kern w:val="0"/>
                <w:sz w:val="18"/>
                <w:szCs w:val="18"/>
                <w:highlight w:val="none"/>
                <w:lang w:val="en-US" w:eastAsia="zh-CN"/>
              </w:rPr>
              <w:t>第二十条</w:t>
            </w:r>
            <w:r>
              <w:rPr>
                <w:rFonts w:hint="eastAsia" w:ascii="Times New Roman" w:hAnsi="Times New Roman" w:eastAsia="宋体" w:cs="宋体"/>
                <w:color w:val="auto"/>
                <w:kern w:val="0"/>
                <w:sz w:val="18"/>
                <w:szCs w:val="18"/>
                <w:highlight w:val="none"/>
                <w:lang w:val="en-US" w:eastAsia="zh-CN"/>
              </w:rPr>
              <w:t xml:space="preserve"> </w:t>
            </w:r>
            <w:r>
              <w:rPr>
                <w:rFonts w:hint="default" w:ascii="Times New Roman" w:hAnsi="Times New Roman" w:eastAsia="宋体" w:cs="宋体"/>
                <w:color w:val="auto"/>
                <w:kern w:val="0"/>
                <w:sz w:val="18"/>
                <w:szCs w:val="18"/>
                <w:highlight w:val="none"/>
                <w:lang w:val="en-US" w:eastAsia="zh-CN"/>
              </w:rPr>
              <w:t>业务主管单位履行下列监督管理职责：（二）监督、指导民办非企业单位遵守宪法、法律法规和国家政策，按照章程开展活动；（三）负责民办非企业单位年度检查的初审；（四）协助登记管理机关和其他有关部门查处民办非企业单位的违法行为；</w:t>
            </w:r>
          </w:p>
          <w:p w14:paraId="24EB9DD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【规章】《健身气功管理办法》</w:t>
            </w:r>
          </w:p>
          <w:p w14:paraId="6B971A7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第二十条</w:t>
            </w:r>
            <w:r>
              <w:rPr>
                <w:rFonts w:hint="default" w:ascii="Times New Roman" w:hAnsi="Times New Roman" w:eastAsia="宋体" w:cs="宋体"/>
                <w:color w:val="auto"/>
                <w:kern w:val="0"/>
                <w:sz w:val="18"/>
                <w:szCs w:val="18"/>
                <w:highlight w:val="none"/>
                <w:lang w:val="en-US" w:eastAsia="zh-CN"/>
              </w:rPr>
              <w:t>批准设立健身气功站点的体育行政部门，应当向获得批准的站点颁发证书，并组织年检。</w:t>
            </w:r>
          </w:p>
        </w:tc>
        <w:tc>
          <w:tcPr>
            <w:tcW w:w="998" w:type="dxa"/>
            <w:shd w:val="clear" w:color="auto" w:fill="auto"/>
            <w:vAlign w:val="center"/>
          </w:tcPr>
          <w:p w14:paraId="7EF0E81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现场检查，书面检查</w:t>
            </w:r>
          </w:p>
        </w:tc>
        <w:tc>
          <w:tcPr>
            <w:tcW w:w="1132" w:type="dxa"/>
            <w:shd w:val="clear" w:color="auto" w:fill="auto"/>
            <w:vAlign w:val="center"/>
          </w:tcPr>
          <w:p w14:paraId="1208F7D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01504FC5">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p>
        </w:tc>
        <w:tc>
          <w:tcPr>
            <w:tcW w:w="1228" w:type="dxa"/>
            <w:vAlign w:val="center"/>
          </w:tcPr>
          <w:p w14:paraId="31231F7A">
            <w:pPr>
              <w:rPr>
                <w:rFonts w:hint="eastAsia" w:ascii="Times New Roman" w:hAnsi="Times New Roman" w:eastAsia="宋体" w:cs="宋体"/>
                <w:color w:val="auto"/>
                <w:kern w:val="0"/>
                <w:sz w:val="18"/>
                <w:szCs w:val="18"/>
                <w:highlight w:val="none"/>
                <w:lang w:val="en-US" w:eastAsia="zh-CN"/>
              </w:rPr>
            </w:pPr>
          </w:p>
        </w:tc>
        <w:tc>
          <w:tcPr>
            <w:tcW w:w="1472" w:type="dxa"/>
            <w:vAlign w:val="center"/>
          </w:tcPr>
          <w:p w14:paraId="0A2BA8AB">
            <w:pPr>
              <w:rPr>
                <w:rFonts w:hint="eastAsia" w:ascii="Times New Roman" w:hAnsi="Times New Roman" w:eastAsia="宋体" w:cs="宋体"/>
                <w:color w:val="auto"/>
                <w:kern w:val="0"/>
                <w:sz w:val="18"/>
                <w:szCs w:val="18"/>
                <w:highlight w:val="none"/>
                <w:lang w:val="en-US" w:eastAsia="zh-CN"/>
              </w:rPr>
            </w:pPr>
          </w:p>
        </w:tc>
      </w:tr>
      <w:tr w14:paraId="507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0" w:type="dxa"/>
            <w:vAlign w:val="center"/>
          </w:tcPr>
          <w:p w14:paraId="18555BF6">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9</w:t>
            </w:r>
          </w:p>
        </w:tc>
        <w:tc>
          <w:tcPr>
            <w:tcW w:w="1635" w:type="dxa"/>
            <w:vAlign w:val="center"/>
          </w:tcPr>
          <w:p w14:paraId="43D7ADF0">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对彩票代销者的行政检查</w:t>
            </w:r>
          </w:p>
        </w:tc>
        <w:tc>
          <w:tcPr>
            <w:tcW w:w="929" w:type="dxa"/>
            <w:vAlign w:val="center"/>
          </w:tcPr>
          <w:p w14:paraId="2A07E08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06E98C44">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市体育彩票管理中心</w:t>
            </w:r>
          </w:p>
        </w:tc>
        <w:tc>
          <w:tcPr>
            <w:tcW w:w="795" w:type="dxa"/>
            <w:vAlign w:val="center"/>
          </w:tcPr>
          <w:p w14:paraId="0DC854C4">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彩票代销点</w:t>
            </w:r>
          </w:p>
        </w:tc>
        <w:tc>
          <w:tcPr>
            <w:tcW w:w="6150" w:type="dxa"/>
            <w:vAlign w:val="center"/>
          </w:tcPr>
          <w:p w14:paraId="48DDBF0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【法规】《彩票管理条例》</w:t>
            </w:r>
          </w:p>
          <w:p w14:paraId="2EDF35F5">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 xml:space="preserve">第四十一条 </w:t>
            </w:r>
            <w:r>
              <w:rPr>
                <w:rFonts w:hint="default" w:ascii="Times New Roman" w:hAnsi="Times New Roman" w:eastAsia="宋体" w:cs="宋体"/>
                <w:color w:val="auto"/>
                <w:kern w:val="0"/>
                <w:sz w:val="18"/>
                <w:szCs w:val="18"/>
                <w:highlight w:val="none"/>
                <w:lang w:val="en-US" w:eastAsia="zh-CN"/>
              </w:rPr>
              <w:t>彩票代销者有下列行为之一的，由民政部门、体育行政部门责令改正，处2000元以上1万元以下罚款；有违法所得的，没收违法所得： </w:t>
            </w:r>
          </w:p>
          <w:p w14:paraId="4B13C692">
            <w:pPr>
              <w:rPr>
                <w:rFonts w:hint="default" w:ascii="Times New Roman" w:hAnsi="Times New Roman" w:eastAsia="宋体" w:cs="宋体"/>
                <w:color w:val="auto"/>
                <w:kern w:val="0"/>
                <w:sz w:val="18"/>
                <w:szCs w:val="18"/>
                <w:highlight w:val="none"/>
                <w:lang w:val="en-US" w:eastAsia="zh-CN"/>
              </w:rPr>
            </w:pPr>
            <w:r>
              <w:rPr>
                <w:rFonts w:hint="default" w:ascii="Times New Roman" w:hAnsi="Times New Roman" w:eastAsia="宋体" w:cs="宋体"/>
                <w:color w:val="auto"/>
                <w:kern w:val="0"/>
                <w:sz w:val="18"/>
                <w:szCs w:val="18"/>
                <w:highlight w:val="none"/>
                <w:lang w:val="en-US" w:eastAsia="zh-CN"/>
              </w:rPr>
              <w:t>（一）委托他人代销彩票或者转借、出租、出售彩票投注专用设备的；（二）进行虚假性、误导性宣传的；（三）以诋毁同业者等手段进行不正当竞争的； （四）向未成年人销售彩票的； （五）以赊销或者信用方式销售彩票的。 </w:t>
            </w:r>
          </w:p>
          <w:p w14:paraId="4F44A49B">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 xml:space="preserve">【规章】《彩票管理条例实施细则》第七条 </w:t>
            </w:r>
            <w:r>
              <w:rPr>
                <w:rFonts w:hint="default" w:ascii="Times New Roman" w:hAnsi="Times New Roman" w:eastAsia="宋体" w:cs="宋体"/>
                <w:color w:val="auto"/>
                <w:kern w:val="0"/>
                <w:sz w:val="18"/>
                <w:szCs w:val="18"/>
                <w:highlight w:val="none"/>
                <w:lang w:val="en-US" w:eastAsia="zh-CN"/>
              </w:rPr>
              <w:t>县级以上财政部门、民政部门、体育行政部门，以及彩票发行机构、彩票销售机构，应当积极配合公安机关和市场监督管理部门依法查处非法彩票，维护彩票市场秩序。</w:t>
            </w:r>
          </w:p>
        </w:tc>
        <w:tc>
          <w:tcPr>
            <w:tcW w:w="998" w:type="dxa"/>
            <w:shd w:val="clear" w:color="auto" w:fill="auto"/>
            <w:vAlign w:val="center"/>
          </w:tcPr>
          <w:p w14:paraId="5481AAB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shd w:val="clear" w:color="auto" w:fill="auto"/>
            <w:vAlign w:val="center"/>
          </w:tcPr>
          <w:p w14:paraId="4140242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10305DC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p>
        </w:tc>
        <w:tc>
          <w:tcPr>
            <w:tcW w:w="1228" w:type="dxa"/>
            <w:vAlign w:val="center"/>
          </w:tcPr>
          <w:p w14:paraId="681127E8">
            <w:pPr>
              <w:rPr>
                <w:rFonts w:hint="eastAsia" w:ascii="Times New Roman" w:hAnsi="Times New Roman" w:eastAsia="宋体" w:cs="宋体"/>
                <w:color w:val="auto"/>
                <w:kern w:val="0"/>
                <w:sz w:val="18"/>
                <w:szCs w:val="18"/>
                <w:highlight w:val="none"/>
                <w:lang w:val="en-US" w:eastAsia="zh-CN"/>
              </w:rPr>
            </w:pPr>
          </w:p>
        </w:tc>
        <w:tc>
          <w:tcPr>
            <w:tcW w:w="1472" w:type="dxa"/>
            <w:vAlign w:val="center"/>
          </w:tcPr>
          <w:p w14:paraId="0E83EABE">
            <w:pPr>
              <w:rPr>
                <w:rFonts w:hint="eastAsia" w:ascii="Times New Roman" w:hAnsi="Times New Roman" w:eastAsia="宋体" w:cs="宋体"/>
                <w:color w:val="auto"/>
                <w:kern w:val="0"/>
                <w:sz w:val="18"/>
                <w:szCs w:val="18"/>
                <w:highlight w:val="none"/>
                <w:lang w:val="en-US" w:eastAsia="zh-CN"/>
              </w:rPr>
            </w:pPr>
          </w:p>
        </w:tc>
      </w:tr>
      <w:tr w14:paraId="2743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7C3623E7">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10</w:t>
            </w:r>
          </w:p>
        </w:tc>
        <w:tc>
          <w:tcPr>
            <w:tcW w:w="1635" w:type="dxa"/>
            <w:vAlign w:val="center"/>
          </w:tcPr>
          <w:p w14:paraId="793DBF6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对体育类民办非企业单位的行政检太仓市文体广电和旅游局查</w:t>
            </w:r>
          </w:p>
        </w:tc>
        <w:tc>
          <w:tcPr>
            <w:tcW w:w="929" w:type="dxa"/>
            <w:vAlign w:val="center"/>
          </w:tcPr>
          <w:p w14:paraId="771F340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082133E4">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w:t>
            </w:r>
          </w:p>
        </w:tc>
        <w:tc>
          <w:tcPr>
            <w:tcW w:w="795" w:type="dxa"/>
            <w:vAlign w:val="center"/>
          </w:tcPr>
          <w:p w14:paraId="1DC8DEE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民办非企单位</w:t>
            </w:r>
          </w:p>
        </w:tc>
        <w:tc>
          <w:tcPr>
            <w:tcW w:w="6150" w:type="dxa"/>
            <w:vAlign w:val="center"/>
          </w:tcPr>
          <w:p w14:paraId="3B4044CF">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【法规】《民办非企业单位登记管理暂行条例》</w:t>
            </w:r>
            <w:r>
              <w:rPr>
                <w:rFonts w:hint="default" w:ascii="Times New Roman" w:hAnsi="Times New Roman" w:eastAsia="宋体" w:cs="宋体"/>
                <w:color w:val="auto"/>
                <w:kern w:val="0"/>
                <w:sz w:val="18"/>
                <w:szCs w:val="18"/>
                <w:highlight w:val="none"/>
                <w:lang w:val="en-US" w:eastAsia="zh-CN"/>
              </w:rPr>
              <w:t>第二十条业务主管单位履行下列监督管理职责：（二）监督、指导民办非企业单位遵守宪法、法律法规和国家政策，按照章程开展活动；（三）负责民办非企业单位年度检查的初审；（四）协助登记管理机关和其他有关部门查处民办非企业单位的违法行为；</w:t>
            </w:r>
          </w:p>
          <w:p w14:paraId="73CF59F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【规章】《体育类民办非企单位登记审查与管理暂行办法》</w:t>
            </w:r>
          </w:p>
          <w:p w14:paraId="78864BD8">
            <w:pPr>
              <w:rPr>
                <w:rFonts w:hint="default" w:ascii="Times New Roman" w:hAnsi="Times New Roman" w:eastAsia="宋体" w:cs="宋体"/>
                <w:color w:val="auto"/>
                <w:kern w:val="0"/>
                <w:sz w:val="18"/>
                <w:szCs w:val="18"/>
                <w:highlight w:val="none"/>
                <w:lang w:val="en-US" w:eastAsia="zh-CN"/>
              </w:rPr>
            </w:pPr>
            <w:r>
              <w:rPr>
                <w:rFonts w:hint="default" w:ascii="Times New Roman" w:hAnsi="Times New Roman" w:eastAsia="宋体" w:cs="宋体"/>
                <w:color w:val="auto"/>
                <w:kern w:val="0"/>
                <w:sz w:val="18"/>
                <w:szCs w:val="18"/>
                <w:highlight w:val="none"/>
                <w:lang w:val="en-US" w:eastAsia="zh-CN"/>
              </w:rPr>
              <w:t> </w:t>
            </w:r>
            <w:r>
              <w:rPr>
                <w:rFonts w:hint="eastAsia" w:ascii="Times New Roman" w:hAnsi="Times New Roman" w:eastAsia="宋体" w:cs="宋体"/>
                <w:color w:val="auto"/>
                <w:kern w:val="0"/>
                <w:sz w:val="18"/>
                <w:szCs w:val="18"/>
                <w:highlight w:val="none"/>
                <w:lang w:val="en-US" w:eastAsia="zh-CN"/>
              </w:rPr>
              <w:t>第三条 体育行政部门是体育类民办非企业单位的业务主管单位。县级以上地方各级人民政府体育行政部门负责本辖区内体育类民办非企业单位的设立审查工作。</w:t>
            </w:r>
          </w:p>
          <w:p w14:paraId="264E151B">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 第四条 体育类民办非企业单位的业务主管单位履行下列职责:(二)监督、指导体育类民办非企业单位遵守国家宪法、法律法规和政策并按照其章程开展活动;(四)负责对体育类民办非企业单位年度检查的初审;(七)协助登记管理机关和其他有关部门查处体育类民办非企业单位的违法行为;</w:t>
            </w:r>
          </w:p>
        </w:tc>
        <w:tc>
          <w:tcPr>
            <w:tcW w:w="998" w:type="dxa"/>
            <w:shd w:val="clear" w:color="auto" w:fill="auto"/>
            <w:vAlign w:val="center"/>
          </w:tcPr>
          <w:p w14:paraId="3636C04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现场检查，书面检查</w:t>
            </w:r>
          </w:p>
        </w:tc>
        <w:tc>
          <w:tcPr>
            <w:tcW w:w="1132" w:type="dxa"/>
            <w:shd w:val="clear" w:color="auto" w:fill="auto"/>
            <w:vAlign w:val="center"/>
          </w:tcPr>
          <w:p w14:paraId="52AF465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1次/年</w:t>
            </w:r>
          </w:p>
          <w:p w14:paraId="5201386B">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w:t>
            </w:r>
            <w:r>
              <w:rPr>
                <w:rFonts w:hint="eastAsia" w:ascii="Times New Roman" w:hAnsi="Times New Roman"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val="en-US" w:eastAsia="zh-CN"/>
              </w:rPr>
              <w:t>-12月）</w:t>
            </w:r>
            <w:bookmarkStart w:id="0" w:name="_GoBack"/>
            <w:bookmarkEnd w:id="0"/>
          </w:p>
        </w:tc>
        <w:tc>
          <w:tcPr>
            <w:tcW w:w="1228" w:type="dxa"/>
            <w:vAlign w:val="center"/>
          </w:tcPr>
          <w:p w14:paraId="5CE13060">
            <w:pPr>
              <w:rPr>
                <w:rFonts w:hint="eastAsia" w:ascii="Times New Roman" w:hAnsi="Times New Roman" w:eastAsia="宋体" w:cs="宋体"/>
                <w:color w:val="auto"/>
                <w:kern w:val="0"/>
                <w:sz w:val="18"/>
                <w:szCs w:val="18"/>
                <w:highlight w:val="none"/>
                <w:lang w:val="en-US" w:eastAsia="zh-CN"/>
              </w:rPr>
            </w:pPr>
          </w:p>
        </w:tc>
        <w:tc>
          <w:tcPr>
            <w:tcW w:w="1472" w:type="dxa"/>
            <w:vAlign w:val="center"/>
          </w:tcPr>
          <w:p w14:paraId="3EA102F6">
            <w:pPr>
              <w:rPr>
                <w:rFonts w:hint="eastAsia" w:ascii="Times New Roman" w:hAnsi="Times New Roman" w:eastAsia="宋体" w:cs="宋体"/>
                <w:color w:val="auto"/>
                <w:kern w:val="0"/>
                <w:sz w:val="18"/>
                <w:szCs w:val="18"/>
                <w:highlight w:val="none"/>
                <w:lang w:val="en-US" w:eastAsia="zh-CN"/>
              </w:rPr>
            </w:pPr>
          </w:p>
        </w:tc>
      </w:tr>
      <w:tr w14:paraId="5C60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3679B020">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11</w:t>
            </w:r>
          </w:p>
        </w:tc>
        <w:tc>
          <w:tcPr>
            <w:tcW w:w="1635" w:type="dxa"/>
            <w:vAlign w:val="center"/>
          </w:tcPr>
          <w:p w14:paraId="0EB7419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对体育社会团体的行政检查</w:t>
            </w:r>
          </w:p>
        </w:tc>
        <w:tc>
          <w:tcPr>
            <w:tcW w:w="929" w:type="dxa"/>
            <w:vAlign w:val="center"/>
          </w:tcPr>
          <w:p w14:paraId="25FD4CB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2E35C3C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社会体育管理中心</w:t>
            </w:r>
          </w:p>
        </w:tc>
        <w:tc>
          <w:tcPr>
            <w:tcW w:w="795" w:type="dxa"/>
            <w:vAlign w:val="center"/>
          </w:tcPr>
          <w:p w14:paraId="4B4EB8F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体育社会团体</w:t>
            </w:r>
          </w:p>
        </w:tc>
        <w:tc>
          <w:tcPr>
            <w:tcW w:w="6150" w:type="dxa"/>
            <w:vAlign w:val="center"/>
          </w:tcPr>
          <w:p w14:paraId="137B48F0">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【法规】《社会团体登记管理条例》</w:t>
            </w:r>
          </w:p>
          <w:p w14:paraId="29F197D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第二十五条  业务主管单位履行下列监督管理职责：（一）负责社会团体成立登记、变更登记、注销登记前的审查；（二）监督、指导社会团体遵守宪法、法律、法规和国家政策，依据其章程开展活动；（三）负责社会团体年度检查的初审；（四）协助登记管理机关和其他有关部门查处社会团体的违法行为；（五）会同有关机关指导社会团体的清算事宜。</w:t>
            </w:r>
          </w:p>
        </w:tc>
        <w:tc>
          <w:tcPr>
            <w:tcW w:w="998" w:type="dxa"/>
            <w:shd w:val="clear" w:color="auto" w:fill="auto"/>
            <w:vAlign w:val="center"/>
          </w:tcPr>
          <w:p w14:paraId="3C683EC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书面检查</w:t>
            </w:r>
          </w:p>
        </w:tc>
        <w:tc>
          <w:tcPr>
            <w:tcW w:w="1132" w:type="dxa"/>
            <w:shd w:val="clear" w:color="auto" w:fill="auto"/>
            <w:vAlign w:val="center"/>
          </w:tcPr>
          <w:p w14:paraId="4661F10A">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1-12月</w:t>
            </w:r>
          </w:p>
        </w:tc>
        <w:tc>
          <w:tcPr>
            <w:tcW w:w="1228" w:type="dxa"/>
            <w:vAlign w:val="center"/>
          </w:tcPr>
          <w:p w14:paraId="20314CE9">
            <w:pPr>
              <w:rPr>
                <w:rFonts w:hint="eastAsia" w:ascii="Times New Roman" w:hAnsi="Times New Roman" w:eastAsia="宋体" w:cs="宋体"/>
                <w:color w:val="auto"/>
                <w:kern w:val="0"/>
                <w:sz w:val="18"/>
                <w:szCs w:val="18"/>
                <w:highlight w:val="none"/>
                <w:lang w:val="en-US" w:eastAsia="zh-CN"/>
              </w:rPr>
            </w:pPr>
          </w:p>
        </w:tc>
        <w:tc>
          <w:tcPr>
            <w:tcW w:w="1472" w:type="dxa"/>
            <w:vAlign w:val="center"/>
          </w:tcPr>
          <w:p w14:paraId="2F17DBDA">
            <w:pPr>
              <w:rPr>
                <w:rFonts w:hint="eastAsia" w:ascii="Times New Roman" w:hAnsi="Times New Roman" w:eastAsia="宋体" w:cs="宋体"/>
                <w:color w:val="auto"/>
                <w:kern w:val="0"/>
                <w:sz w:val="18"/>
                <w:szCs w:val="18"/>
                <w:highlight w:val="none"/>
                <w:lang w:val="en-US" w:eastAsia="zh-CN"/>
              </w:rPr>
            </w:pPr>
          </w:p>
        </w:tc>
      </w:tr>
      <w:tr w14:paraId="079D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4B8D8FF1">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12</w:t>
            </w:r>
          </w:p>
        </w:tc>
        <w:tc>
          <w:tcPr>
            <w:tcW w:w="1635" w:type="dxa"/>
            <w:vAlign w:val="center"/>
          </w:tcPr>
          <w:p w14:paraId="4227B15D">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对举办高危险性体育赛事活动的行政检查</w:t>
            </w:r>
          </w:p>
        </w:tc>
        <w:tc>
          <w:tcPr>
            <w:tcW w:w="929" w:type="dxa"/>
            <w:vAlign w:val="center"/>
          </w:tcPr>
          <w:p w14:paraId="173D91A1">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23CA64FB">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体育业务科、文化市场综合执法大队</w:t>
            </w:r>
          </w:p>
        </w:tc>
        <w:tc>
          <w:tcPr>
            <w:tcW w:w="795" w:type="dxa"/>
            <w:vAlign w:val="center"/>
          </w:tcPr>
          <w:p w14:paraId="091004E1">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高危险性体育赛事活动举办单位</w:t>
            </w:r>
          </w:p>
        </w:tc>
        <w:tc>
          <w:tcPr>
            <w:tcW w:w="6150" w:type="dxa"/>
            <w:vAlign w:val="center"/>
          </w:tcPr>
          <w:p w14:paraId="06AA767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【法律】《中华人民共和国体育法》（2022版）</w:t>
            </w:r>
          </w:p>
          <w:p w14:paraId="1A1D928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第一百零六条 举办高危险性体育赛事活动,应当符合下列条件,并向县级以上地方人民政府体育行政部门提出申请:(一)配备具有相应资格或者资质的专业技术人员;(二)配置符合相关标准和要求的场地、器材和设施;(三)制定通信、安全、交通、卫生健康、食品、应急救援等相关保障措施。县级以上地方人民政府体育行政部门应当自收到申请之日起三十日内进行实地核查,并作出批准或者不予批准的决定。</w:t>
            </w:r>
          </w:p>
          <w:p w14:paraId="66273A3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【规章】《体育赛事活动管理办法》</w:t>
            </w:r>
          </w:p>
          <w:p w14:paraId="725A1B0A">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第十三条 举办高危险性体育赛事活动实施行政许可。地方体育行政部门负责所辖区域内的高危险性体育赛事活动行政许可工作。跨行政区域的高危险性体育赛事活动由所在行政区域的地方体育行政部门协商确定许可方式,协商不一致的,须向相关行政区域的地方体育行政部门分别提出申请。</w:t>
            </w:r>
          </w:p>
        </w:tc>
        <w:tc>
          <w:tcPr>
            <w:tcW w:w="998" w:type="dxa"/>
            <w:shd w:val="clear" w:color="auto" w:fill="auto"/>
            <w:vAlign w:val="center"/>
          </w:tcPr>
          <w:p w14:paraId="64306E7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shd w:val="clear" w:color="auto" w:fill="auto"/>
            <w:vAlign w:val="center"/>
          </w:tcPr>
          <w:p w14:paraId="48FBDF58">
            <w:pPr>
              <w:rPr>
                <w:rFonts w:hint="eastAsia" w:ascii="Times New Roman" w:hAnsi="Times New Roman" w:eastAsia="宋体" w:cs="宋体"/>
                <w:color w:val="auto"/>
                <w:kern w:val="0"/>
                <w:sz w:val="18"/>
                <w:szCs w:val="18"/>
                <w:highlight w:val="none"/>
                <w:lang w:val="en-US" w:eastAsia="zh-CN"/>
              </w:rPr>
            </w:pPr>
          </w:p>
          <w:p w14:paraId="00EE0F8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1-12月</w:t>
            </w:r>
          </w:p>
        </w:tc>
        <w:tc>
          <w:tcPr>
            <w:tcW w:w="1228" w:type="dxa"/>
            <w:vAlign w:val="center"/>
          </w:tcPr>
          <w:p w14:paraId="54858070">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320233019000</w:t>
            </w:r>
          </w:p>
        </w:tc>
        <w:tc>
          <w:tcPr>
            <w:tcW w:w="1472" w:type="dxa"/>
            <w:vAlign w:val="center"/>
          </w:tcPr>
          <w:p w14:paraId="75E68F2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对未经许可举办高危险性体育赛事活动的处罚</w:t>
            </w:r>
          </w:p>
        </w:tc>
      </w:tr>
      <w:tr w14:paraId="7607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153954E3">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13</w:t>
            </w:r>
          </w:p>
        </w:tc>
        <w:tc>
          <w:tcPr>
            <w:tcW w:w="1635" w:type="dxa"/>
            <w:vAlign w:val="center"/>
          </w:tcPr>
          <w:p w14:paraId="68A8D5D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对公共体育场馆的竞赛区、运动员区、观众区吸烟的行政检查</w:t>
            </w:r>
          </w:p>
        </w:tc>
        <w:tc>
          <w:tcPr>
            <w:tcW w:w="929" w:type="dxa"/>
            <w:vAlign w:val="center"/>
          </w:tcPr>
          <w:p w14:paraId="4CF42F2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701828C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体育业务科、文化市场综合执法大队</w:t>
            </w:r>
          </w:p>
        </w:tc>
        <w:tc>
          <w:tcPr>
            <w:tcW w:w="795" w:type="dxa"/>
            <w:vAlign w:val="center"/>
          </w:tcPr>
          <w:p w14:paraId="40CD4BA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公共体育场馆</w:t>
            </w:r>
          </w:p>
        </w:tc>
        <w:tc>
          <w:tcPr>
            <w:tcW w:w="6150" w:type="dxa"/>
            <w:vAlign w:val="center"/>
          </w:tcPr>
          <w:p w14:paraId="200E31A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【地方性法规】《江苏省爱国卫生条例》</w:t>
            </w:r>
          </w:p>
          <w:p w14:paraId="6338FF45">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 xml:space="preserve">第三十一条 </w:t>
            </w:r>
            <w:r>
              <w:rPr>
                <w:rFonts w:hint="default" w:ascii="Times New Roman" w:hAnsi="Times New Roman" w:eastAsia="宋体" w:cs="宋体"/>
                <w:color w:val="auto"/>
                <w:kern w:val="0"/>
                <w:sz w:val="18"/>
                <w:szCs w:val="18"/>
                <w:highlight w:val="none"/>
                <w:lang w:val="en-US" w:eastAsia="zh-CN"/>
              </w:rPr>
              <w:t>爱卫会在本级人民政府领导下，负责本行政区域内的控制吸烟工作的组织和协调，指导各部门、各行业的控制吸烟工作。教育、卫生、交通运输、公安、食品药品监管、文化、体育等部门应当按照以下规定，履行对下列场所控制吸烟工作的监督管理职责：</w:t>
            </w:r>
            <w:r>
              <w:rPr>
                <w:rFonts w:hint="eastAsia" w:ascii="Times New Roman" w:hAnsi="Times New Roman" w:eastAsia="宋体" w:cs="宋体"/>
                <w:color w:val="auto"/>
                <w:kern w:val="0"/>
                <w:sz w:val="18"/>
                <w:szCs w:val="18"/>
                <w:highlight w:val="none"/>
                <w:lang w:val="en-US" w:eastAsia="zh-CN"/>
              </w:rPr>
              <w:t>（六）文化、体育、旅游行政部门分别负责对文化、娱乐、公共体育场所以及旅馆业的控制吸烟工作的监督管理；</w:t>
            </w:r>
          </w:p>
        </w:tc>
        <w:tc>
          <w:tcPr>
            <w:tcW w:w="998" w:type="dxa"/>
            <w:shd w:val="clear" w:color="auto" w:fill="auto"/>
            <w:vAlign w:val="center"/>
          </w:tcPr>
          <w:p w14:paraId="0FAF399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shd w:val="clear" w:color="auto" w:fill="auto"/>
            <w:vAlign w:val="center"/>
          </w:tcPr>
          <w:p w14:paraId="765D334E">
            <w:pPr>
              <w:rPr>
                <w:rFonts w:hint="eastAsia" w:ascii="Times New Roman" w:hAnsi="Times New Roman" w:eastAsia="宋体" w:cs="宋体"/>
                <w:color w:val="auto"/>
                <w:kern w:val="0"/>
                <w:sz w:val="18"/>
                <w:szCs w:val="18"/>
                <w:highlight w:val="none"/>
                <w:lang w:val="en-US" w:eastAsia="zh-CN"/>
              </w:rPr>
            </w:pPr>
          </w:p>
          <w:p w14:paraId="581F340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1-12月</w:t>
            </w:r>
          </w:p>
        </w:tc>
        <w:tc>
          <w:tcPr>
            <w:tcW w:w="1228" w:type="dxa"/>
            <w:vAlign w:val="center"/>
          </w:tcPr>
          <w:p w14:paraId="1169A1E5">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320233014000</w:t>
            </w:r>
          </w:p>
        </w:tc>
        <w:tc>
          <w:tcPr>
            <w:tcW w:w="1472" w:type="dxa"/>
            <w:vAlign w:val="center"/>
          </w:tcPr>
          <w:p w14:paraId="664F588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对公共体育场馆的竞赛区、运动员区、观众区吸烟的处罚</w:t>
            </w:r>
          </w:p>
        </w:tc>
      </w:tr>
      <w:tr w14:paraId="6D41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80" w:type="dxa"/>
            <w:vAlign w:val="center"/>
          </w:tcPr>
          <w:p w14:paraId="777BD667">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14</w:t>
            </w:r>
          </w:p>
        </w:tc>
        <w:tc>
          <w:tcPr>
            <w:tcW w:w="1635" w:type="dxa"/>
            <w:vAlign w:val="center"/>
          </w:tcPr>
          <w:p w14:paraId="1BB6BD4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对公共体育场馆的竞赛区、运动员区、观众区设置醒目的禁止吸烟警语和标志的行政检查</w:t>
            </w:r>
          </w:p>
        </w:tc>
        <w:tc>
          <w:tcPr>
            <w:tcW w:w="929" w:type="dxa"/>
            <w:vAlign w:val="center"/>
          </w:tcPr>
          <w:p w14:paraId="1844DC8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4363E8A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体育业务科、文化市场综合执法大队</w:t>
            </w:r>
          </w:p>
        </w:tc>
        <w:tc>
          <w:tcPr>
            <w:tcW w:w="795" w:type="dxa"/>
            <w:vAlign w:val="center"/>
          </w:tcPr>
          <w:p w14:paraId="2CE228A7">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公共体育场馆</w:t>
            </w:r>
          </w:p>
        </w:tc>
        <w:tc>
          <w:tcPr>
            <w:tcW w:w="6150" w:type="dxa"/>
            <w:vAlign w:val="center"/>
          </w:tcPr>
          <w:p w14:paraId="4BAD71A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【地方性法规】《江苏省爱国卫生条例》第三十三条 下列场所禁止吸烟：</w:t>
            </w:r>
          </w:p>
          <w:p w14:paraId="2F7C3023">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体育场馆的竞赛区、运动员区、观众区；禁止吸烟场所所在单位应当设置醒目的禁止吸烟警语和标志，不得设置与吸烟有关的器具，并确定专（兼）职人员对吸烟者进行劝阻。</w:t>
            </w:r>
          </w:p>
          <w:p w14:paraId="50AB0772">
            <w:pPr>
              <w:rPr>
                <w:rFonts w:hint="eastAsia" w:ascii="Times New Roman" w:hAnsi="Times New Roman" w:eastAsia="宋体" w:cs="宋体"/>
                <w:color w:val="auto"/>
                <w:kern w:val="0"/>
                <w:sz w:val="18"/>
                <w:szCs w:val="18"/>
                <w:highlight w:val="none"/>
                <w:lang w:val="en-US" w:eastAsia="zh-CN"/>
              </w:rPr>
            </w:pPr>
            <w:r>
              <w:rPr>
                <w:rFonts w:hint="default" w:ascii="Times New Roman" w:hAnsi="Times New Roman" w:eastAsia="宋体" w:cs="宋体"/>
                <w:color w:val="auto"/>
                <w:kern w:val="0"/>
                <w:sz w:val="18"/>
                <w:szCs w:val="18"/>
                <w:highlight w:val="none"/>
                <w:lang w:val="en-US" w:eastAsia="zh-CN"/>
              </w:rPr>
              <w:t>第五十六条　违反本条例第三十三条、第三十四条规定，有下列情形之一的，除法律、法规另有处罚规定外，由本条例第三十一条规定的有关部门、机构责令限期改正；逾期不改正，处以一千元以上一万元以下罚款：</w:t>
            </w:r>
          </w:p>
          <w:p w14:paraId="1A6606A0">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（一）禁止吸烟场所所在单位未设置醒目的禁止吸烟警语和标志的；</w:t>
            </w:r>
          </w:p>
        </w:tc>
        <w:tc>
          <w:tcPr>
            <w:tcW w:w="998" w:type="dxa"/>
            <w:shd w:val="clear" w:color="auto" w:fill="auto"/>
            <w:vAlign w:val="center"/>
          </w:tcPr>
          <w:p w14:paraId="57736456">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w:t>
            </w:r>
          </w:p>
        </w:tc>
        <w:tc>
          <w:tcPr>
            <w:tcW w:w="1132" w:type="dxa"/>
            <w:shd w:val="clear" w:color="auto" w:fill="auto"/>
            <w:vAlign w:val="center"/>
          </w:tcPr>
          <w:p w14:paraId="1D348F68">
            <w:pPr>
              <w:rPr>
                <w:rFonts w:hint="eastAsia" w:ascii="Times New Roman" w:hAnsi="Times New Roman" w:eastAsia="宋体" w:cs="宋体"/>
                <w:color w:val="auto"/>
                <w:kern w:val="0"/>
                <w:sz w:val="18"/>
                <w:szCs w:val="18"/>
                <w:highlight w:val="none"/>
                <w:lang w:val="en-US" w:eastAsia="zh-CN"/>
              </w:rPr>
            </w:pPr>
          </w:p>
          <w:p w14:paraId="79D36D32">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1-12月</w:t>
            </w:r>
          </w:p>
        </w:tc>
        <w:tc>
          <w:tcPr>
            <w:tcW w:w="1228" w:type="dxa"/>
            <w:vAlign w:val="center"/>
          </w:tcPr>
          <w:p w14:paraId="78F2E08F">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320233005000</w:t>
            </w:r>
          </w:p>
        </w:tc>
        <w:tc>
          <w:tcPr>
            <w:tcW w:w="1472" w:type="dxa"/>
            <w:vAlign w:val="center"/>
          </w:tcPr>
          <w:p w14:paraId="6B1AD9DF">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对公共体育场馆的竞赛区、运动员区、观众区未设置醒目的禁止吸烟警语和标志的处罚</w:t>
            </w:r>
          </w:p>
        </w:tc>
      </w:tr>
      <w:tr w14:paraId="44E0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480" w:type="dxa"/>
            <w:vAlign w:val="center"/>
          </w:tcPr>
          <w:p w14:paraId="28484E57">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15</w:t>
            </w:r>
          </w:p>
        </w:tc>
        <w:tc>
          <w:tcPr>
            <w:tcW w:w="1635" w:type="dxa"/>
            <w:vAlign w:val="center"/>
          </w:tcPr>
          <w:p w14:paraId="18842EA0">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对运动员、教练员、裁判员是否违反体育赛事规则，弄虚作假、营私舞弊的行政检查</w:t>
            </w:r>
          </w:p>
        </w:tc>
        <w:tc>
          <w:tcPr>
            <w:tcW w:w="929" w:type="dxa"/>
            <w:vAlign w:val="center"/>
          </w:tcPr>
          <w:p w14:paraId="60BF8B6B">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太仓市文体广电和旅游局</w:t>
            </w:r>
          </w:p>
        </w:tc>
        <w:tc>
          <w:tcPr>
            <w:tcW w:w="705" w:type="dxa"/>
            <w:vAlign w:val="center"/>
          </w:tcPr>
          <w:p w14:paraId="20DC8E45">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体育业务科、文化市场综合执法大队</w:t>
            </w:r>
          </w:p>
        </w:tc>
        <w:tc>
          <w:tcPr>
            <w:tcW w:w="795" w:type="dxa"/>
            <w:vAlign w:val="center"/>
          </w:tcPr>
          <w:p w14:paraId="38C83F08">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运动员、教练员、裁判员</w:t>
            </w:r>
          </w:p>
        </w:tc>
        <w:tc>
          <w:tcPr>
            <w:tcW w:w="6150" w:type="dxa"/>
            <w:vAlign w:val="center"/>
          </w:tcPr>
          <w:p w14:paraId="75D6F60C">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【法律】《中华人民共和国体育法》（2022版）</w:t>
            </w:r>
          </w:p>
          <w:p w14:paraId="4988CA43">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第一百一十二条 运动员、教练员、裁判员违反本法规定,有违反体育道德和体育赛事规则,弄虚作假、营私舞弊等行为的,由体育组织按照有关规定给予处理;情节严重、社会影响恶劣的,由县级以上人民政府体育行政部门纳入限制、禁止参加竞技体育活动名单;有违法所得的,没收违法所得,并处一万元以上十万元以下的罚款。</w:t>
            </w:r>
          </w:p>
        </w:tc>
        <w:tc>
          <w:tcPr>
            <w:tcW w:w="998" w:type="dxa"/>
            <w:shd w:val="clear" w:color="auto" w:fill="auto"/>
            <w:vAlign w:val="center"/>
          </w:tcPr>
          <w:p w14:paraId="26997E4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现场检查，书面检查</w:t>
            </w:r>
          </w:p>
        </w:tc>
        <w:tc>
          <w:tcPr>
            <w:tcW w:w="1132" w:type="dxa"/>
            <w:shd w:val="clear" w:color="auto" w:fill="auto"/>
            <w:vAlign w:val="center"/>
          </w:tcPr>
          <w:p w14:paraId="29A1F784">
            <w:pPr>
              <w:rPr>
                <w:rFonts w:hint="eastAsia" w:ascii="Times New Roman" w:hAnsi="Times New Roman" w:eastAsia="宋体" w:cs="宋体"/>
                <w:color w:val="auto"/>
                <w:kern w:val="0"/>
                <w:sz w:val="18"/>
                <w:szCs w:val="18"/>
                <w:highlight w:val="none"/>
                <w:lang w:val="en-US" w:eastAsia="zh-CN"/>
              </w:rPr>
            </w:pPr>
          </w:p>
          <w:p w14:paraId="49E39C69">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1-12月</w:t>
            </w:r>
          </w:p>
        </w:tc>
        <w:tc>
          <w:tcPr>
            <w:tcW w:w="1228" w:type="dxa"/>
            <w:vAlign w:val="center"/>
          </w:tcPr>
          <w:p w14:paraId="181AB056">
            <w:pPr>
              <w:rPr>
                <w:rFonts w:hint="default"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320233020000</w:t>
            </w:r>
          </w:p>
        </w:tc>
        <w:tc>
          <w:tcPr>
            <w:tcW w:w="1472" w:type="dxa"/>
            <w:vAlign w:val="center"/>
          </w:tcPr>
          <w:p w14:paraId="670375FE">
            <w:pP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对运动员、教练员、裁判员违反体育赛事规则，弄虚作假、营私舞弊的处罚</w:t>
            </w:r>
          </w:p>
        </w:tc>
      </w:tr>
    </w:tbl>
    <w:p w14:paraId="59F37719">
      <w:pPr>
        <w:rPr>
          <w:rFonts w:hint="default" w:ascii="Times New Roman" w:hAnsi="Times New Roman" w:eastAsia="宋体" w:cs="宋体"/>
          <w:color w:val="auto"/>
          <w:kern w:val="0"/>
          <w:sz w:val="18"/>
          <w:szCs w:val="18"/>
          <w:highlight w:val="none"/>
          <w:lang w:val="en-US" w:eastAsia="zh-CN"/>
        </w:rPr>
      </w:pPr>
    </w:p>
    <w:p w14:paraId="0CB8E6D7">
      <w:pPr>
        <w:rPr>
          <w:rFonts w:hint="eastAsia" w:ascii="Times New Roman" w:hAnsi="Times New Roman" w:eastAsia="宋体" w:cs="宋体"/>
          <w:color w:val="auto"/>
          <w:kern w:val="0"/>
          <w:sz w:val="18"/>
          <w:szCs w:val="18"/>
          <w:highlight w:val="none"/>
          <w:lang w:val="en-US" w:eastAsia="zh-CN"/>
        </w:rPr>
      </w:pPr>
    </w:p>
    <w:p w14:paraId="77E216AF">
      <w:pPr>
        <w:rPr>
          <w:rFonts w:hint="eastAsia" w:ascii="Times New Roman" w:hAnsi="Times New Roman" w:eastAsia="宋体" w:cs="宋体"/>
          <w:color w:val="auto"/>
          <w:kern w:val="0"/>
          <w:sz w:val="18"/>
          <w:szCs w:val="18"/>
          <w:highlight w:val="none"/>
          <w:lang w:val="en-US" w:eastAsia="zh-CN"/>
        </w:rPr>
      </w:pPr>
    </w:p>
    <w:p w14:paraId="0324C311">
      <w:pPr>
        <w:rPr>
          <w:rFonts w:hint="eastAsia" w:ascii="Times New Roman" w:hAnsi="Times New Roman" w:eastAsia="宋体" w:cs="宋体"/>
          <w:color w:val="auto"/>
          <w:kern w:val="0"/>
          <w:sz w:val="18"/>
          <w:szCs w:val="18"/>
          <w:highlight w:val="none"/>
          <w:lang w:val="en-US" w:eastAsia="zh-CN"/>
        </w:rPr>
      </w:pPr>
    </w:p>
    <w:p w14:paraId="21992939">
      <w:pPr>
        <w:rPr>
          <w:rFonts w:hint="eastAsia" w:ascii="Times New Roman" w:hAnsi="Times New Roman" w:eastAsia="宋体" w:cs="宋体"/>
          <w:color w:val="auto"/>
          <w:kern w:val="0"/>
          <w:sz w:val="18"/>
          <w:szCs w:val="18"/>
          <w:highlight w:val="none"/>
          <w:lang w:val="en-US" w:eastAsia="zh-CN"/>
        </w:rPr>
      </w:pPr>
    </w:p>
    <w:p w14:paraId="5B53DC7D">
      <w:pPr>
        <w:rPr>
          <w:rFonts w:hint="eastAsia" w:ascii="Times New Roman" w:hAnsi="Times New Roman" w:eastAsia="宋体" w:cs="宋体"/>
          <w:color w:val="auto"/>
          <w:kern w:val="0"/>
          <w:sz w:val="18"/>
          <w:szCs w:val="18"/>
          <w:highlight w:val="none"/>
          <w:lang w:val="en-US" w:eastAsia="zh-CN"/>
        </w:rPr>
      </w:pPr>
    </w:p>
    <w:p w14:paraId="57662408">
      <w:pPr>
        <w:rPr>
          <w:rFonts w:hint="eastAsia" w:ascii="Times New Roman" w:hAnsi="Times New Roman" w:eastAsia="宋体" w:cs="宋体"/>
          <w:color w:val="auto"/>
          <w:kern w:val="0"/>
          <w:sz w:val="18"/>
          <w:szCs w:val="18"/>
          <w:highlight w:val="none"/>
          <w:lang w:val="en-US" w:eastAsia="zh-CN"/>
        </w:rPr>
      </w:pPr>
    </w:p>
    <w:p w14:paraId="42ED1A61">
      <w:pPr>
        <w:rPr>
          <w:rFonts w:hint="eastAsia"/>
          <w:b/>
          <w:sz w:val="32"/>
          <w:szCs w:val="32"/>
        </w:rPr>
      </w:pPr>
    </w:p>
    <w:p w14:paraId="3A29036C">
      <w:pPr>
        <w:rPr>
          <w:rFonts w:hint="default" w:ascii="sans-serif" w:hAnsi="sans-serif" w:eastAsia="sans-serif" w:cs="sans-serif"/>
          <w:i w:val="0"/>
          <w:iCs w:val="0"/>
          <w:caps w:val="0"/>
          <w:color w:val="333333"/>
          <w:spacing w:val="0"/>
          <w:kern w:val="0"/>
          <w:sz w:val="24"/>
          <w:szCs w:val="24"/>
          <w:shd w:val="clear" w:fill="FFFFFF"/>
          <w:lang w:val="en-US" w:eastAsia="zh-CN" w:bidi="ar"/>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C2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4DC4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34DC4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7B32D"/>
    <w:rsid w:val="2D7EC0B3"/>
    <w:rsid w:val="2FABA32B"/>
    <w:rsid w:val="37FF9CC1"/>
    <w:rsid w:val="3A7F29E9"/>
    <w:rsid w:val="3A9EEA71"/>
    <w:rsid w:val="3F5FAF6A"/>
    <w:rsid w:val="3FDFAB3F"/>
    <w:rsid w:val="66DBBB9C"/>
    <w:rsid w:val="6EFD375F"/>
    <w:rsid w:val="6F97290E"/>
    <w:rsid w:val="6FFDEB02"/>
    <w:rsid w:val="717B0A7B"/>
    <w:rsid w:val="767F282F"/>
    <w:rsid w:val="78AF3CA4"/>
    <w:rsid w:val="7EBB157F"/>
    <w:rsid w:val="7EBB6FFD"/>
    <w:rsid w:val="7F1BF74A"/>
    <w:rsid w:val="7F47B32D"/>
    <w:rsid w:val="7F4FE641"/>
    <w:rsid w:val="7F5F76C5"/>
    <w:rsid w:val="7F7F909D"/>
    <w:rsid w:val="7FCFF440"/>
    <w:rsid w:val="7FFF47BF"/>
    <w:rsid w:val="9AFF6E15"/>
    <w:rsid w:val="9FE2ADA7"/>
    <w:rsid w:val="AB3DB4E8"/>
    <w:rsid w:val="B76B5BDA"/>
    <w:rsid w:val="BE9F471A"/>
    <w:rsid w:val="E8FE7949"/>
    <w:rsid w:val="EEFFFD4D"/>
    <w:rsid w:val="EFBF7771"/>
    <w:rsid w:val="F6F92ACA"/>
    <w:rsid w:val="F78792BB"/>
    <w:rsid w:val="FAFBAA9A"/>
    <w:rsid w:val="FDDFE646"/>
    <w:rsid w:val="FEFFA345"/>
    <w:rsid w:val="FF13E240"/>
    <w:rsid w:val="FF5F689C"/>
    <w:rsid w:val="FF7F2ABE"/>
    <w:rsid w:val="FFD6A635"/>
    <w:rsid w:val="FFEE1225"/>
    <w:rsid w:val="FFF76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TOC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2026-03-29T03:07:00Z</dcterms:created>
  <dc:creator>sugon</dc:creator>
  <cp:lastModifiedBy>user</cp:lastModifiedBy>
  <cp:lastPrinted>2026-04-15T00:23:00Z</cp:lastPrinted>
  <dcterms:modified xsi:type="dcterms:W3CDTF">2026-05-07T09:43:28Z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036F01E7C94D9D025C51C3692D07E9DC_41</vt:lpwstr>
  </property>
</Properties>
</file>