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1B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关于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板球场馆工程决策方案草案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》</w:t>
      </w:r>
    </w:p>
    <w:p w14:paraId="0FDF9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/>
        <w:jc w:val="center"/>
        <w:textAlignment w:val="auto"/>
        <w:rPr>
          <w:rFonts w:hint="default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公开征求意见的公告</w:t>
      </w:r>
    </w:p>
    <w:p w14:paraId="4192066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</w:p>
    <w:p w14:paraId="56157DF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太仓市沙溪镇拟实施板球场馆工程，该项目被纳入了2025年度沙溪镇重大行政决策事项目录。根据相关文件要求，现向社会公开征求意见。</w:t>
      </w:r>
    </w:p>
    <w:p w14:paraId="65325C4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征求意见时间为：2025年3月6日至2025年4月6日。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公众可通过电话、邮件的方式提出意见或建议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。</w:t>
      </w:r>
    </w:p>
    <w:p w14:paraId="625A3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 系 人：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周洪兵</w:t>
      </w:r>
    </w:p>
    <w:p w14:paraId="250CB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微软雅黑" w:cs="Times New Roman"/>
          <w:color w:val="000000"/>
          <w:sz w:val="22"/>
          <w:szCs w:val="2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联系电话：0512-3302575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限工作日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09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: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0—17: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0）</w:t>
      </w:r>
    </w:p>
    <w:p w14:paraId="53B26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箱：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2380253025@qq.com</w:t>
      </w:r>
    </w:p>
    <w:p w14:paraId="32553EE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38B8705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附件：《板球场馆工程决策方案草案》及制定说明</w:t>
      </w:r>
    </w:p>
    <w:p w14:paraId="508492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59F75A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738DA53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太仓市沙溪镇人民政府</w:t>
      </w:r>
    </w:p>
    <w:p w14:paraId="6C89E57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   2025年3月6日</w:t>
      </w:r>
    </w:p>
    <w:p w14:paraId="1875A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</w:pPr>
      <w:r>
        <w:br w:type="page"/>
      </w:r>
    </w:p>
    <w:p w14:paraId="5E658AF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附件：</w:t>
      </w:r>
    </w:p>
    <w:p w14:paraId="20B05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val="en-US" w:eastAsia="zh-CN"/>
        </w:rPr>
        <w:t>板球场馆工程决策方案草案</w:t>
      </w:r>
    </w:p>
    <w:p w14:paraId="59AA6F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/>
          <w:lang w:val="en-US" w:eastAsia="zh-CN"/>
        </w:rPr>
      </w:pPr>
    </w:p>
    <w:p w14:paraId="61212A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一、决策目标</w:t>
      </w:r>
    </w:p>
    <w:p w14:paraId="3DF5C4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为建立专业的国际化板球体育文化中心，以“板球比赛+板球训练+酒店+商业”的全新模式打造符合国际标准的板球场地，太仓市沙溪镇拟实施板球场馆工程。</w:t>
      </w:r>
    </w:p>
    <w:p w14:paraId="54F08C1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二、工作任务</w:t>
      </w:r>
    </w:p>
    <w:p w14:paraId="552F7F1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在太仓市沙溪镇中心区位打造一个与沙溪古镇风景区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旅游观光互相促进，丰富强化地域特色标签，同时推广板球运动的新型运动综合体。</w:t>
      </w:r>
    </w:p>
    <w:p w14:paraId="21B236A1">
      <w:r>
        <w:drawing>
          <wp:inline distT="0" distB="0" distL="114300" distR="114300">
            <wp:extent cx="5267960" cy="2881630"/>
            <wp:effectExtent l="9525" t="9525" r="10795" b="196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81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988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8"/>
          <w:lang w:val="en-US" w:eastAsia="zh-CN"/>
        </w:rPr>
        <w:t>图</w:t>
      </w:r>
      <w:r>
        <w:rPr>
          <w:rFonts w:hint="eastAsia" w:ascii="Times New Roman" w:hAnsi="Times New Roman" w:eastAsia="仿宋_GB2312" w:cs="Times New Roman"/>
          <w:sz w:val="24"/>
          <w:szCs w:val="28"/>
          <w:lang w:val="en-US" w:eastAsia="zh-CN"/>
        </w:rPr>
        <w:t>1  工程位置示意图</w:t>
      </w:r>
    </w:p>
    <w:p w14:paraId="24FCA9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三、措施方法</w:t>
      </w:r>
    </w:p>
    <w:p w14:paraId="7C77E87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板球场馆工程建设内容包括标准板球比赛场、板球室外训练场、板球室内训练馆、固定看台、赛事配套用房、综合体能训练馆、酒店大堂、餐厅、会议室、商业、酒店客房。</w:t>
      </w:r>
    </w:p>
    <w:p w14:paraId="5F83F87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四、时间步骤</w:t>
      </w:r>
    </w:p>
    <w:p w14:paraId="11E4A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  <w:t>2025年实施。</w:t>
      </w:r>
    </w:p>
    <w:p w14:paraId="68E5BE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五、决策实施单位</w:t>
      </w:r>
    </w:p>
    <w:p w14:paraId="7FA31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6"/>
          <w:highlight w:val="none"/>
          <w:lang w:val="en-US" w:eastAsia="zh-CN"/>
        </w:rPr>
        <w:t>太仓市沙溪镇人民政府。</w:t>
      </w:r>
    </w:p>
    <w:p w14:paraId="3E1E2B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3BDC8F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制定说明</w:t>
      </w:r>
    </w:p>
    <w:p w14:paraId="54D6625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8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</w:p>
    <w:p w14:paraId="17AB9C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本《草案》依据《重大行政决策程序暂行条例》（国务院令第713号）、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《江苏省重大行政决策程序实施办法》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省政府令第134号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）、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《苏州市重大行政决策程序规定实施细则》（苏府办〔2019〕87号）、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《市政府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办公室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关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于印发太仓市重大行政决策程序规定实施细则的通知》（太政发〔</w:t>
      </w:r>
      <w:r>
        <w:rPr>
          <w:rFonts w:hint="default" w:ascii="Times New Roman" w:hAnsi="Times New Roman" w:eastAsia="宋体" w:cs="Times New Roman"/>
          <w:color w:val="000000"/>
          <w:kern w:val="0"/>
          <w:sz w:val="32"/>
          <w:szCs w:val="32"/>
          <w:lang w:val="en-US" w:eastAsia="zh-CN" w:bidi="ar"/>
        </w:rPr>
        <w:t>2019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〕29号）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等起草制订。</w:t>
      </w:r>
    </w:p>
    <w:p w14:paraId="5570FA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textAlignment w:val="auto"/>
        <w:rPr>
          <w:rFonts w:hint="eastAsia"/>
          <w:lang w:val="en-US" w:eastAsia="zh-CN"/>
        </w:rPr>
      </w:pPr>
    </w:p>
    <w:p w14:paraId="261F74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32"/>
          <w:lang w:val="en-US" w:eastAsia="zh-CN"/>
        </w:rPr>
      </w:pPr>
    </w:p>
    <w:p w14:paraId="633B4C4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32"/>
          <w:lang w:val="en-US" w:eastAsia="zh-CN"/>
        </w:rPr>
      </w:pPr>
    </w:p>
    <w:p w14:paraId="31765B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32"/>
          <w:lang w:val="en-US" w:eastAsia="zh-CN"/>
        </w:rPr>
      </w:pPr>
    </w:p>
    <w:p w14:paraId="6577D0B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07D3EA-6E6E-4A2F-9F99-D85F9D5998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2C49864-9EEA-4A2E-B33E-C8B7640CDD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A2CA6A7-5F8E-4E10-9173-7B30860A6F8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4E49036-6D1C-4797-95C1-F28038B4A9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8E77A4"/>
    <w:rsid w:val="0D90701F"/>
    <w:rsid w:val="10C058B6"/>
    <w:rsid w:val="17AA23CB"/>
    <w:rsid w:val="18B54B84"/>
    <w:rsid w:val="18F533BA"/>
    <w:rsid w:val="1BB92BDD"/>
    <w:rsid w:val="21A628BE"/>
    <w:rsid w:val="224A166B"/>
    <w:rsid w:val="29453D02"/>
    <w:rsid w:val="2B58197D"/>
    <w:rsid w:val="33955886"/>
    <w:rsid w:val="38E01045"/>
    <w:rsid w:val="48965ED0"/>
    <w:rsid w:val="6A143118"/>
    <w:rsid w:val="6BBA0D92"/>
    <w:rsid w:val="6E82467D"/>
    <w:rsid w:val="7117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楷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qFormat/>
    <w:uiPriority w:val="99"/>
    <w:pPr>
      <w:jc w:val="center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607</Words>
  <Characters>674</Characters>
  <Lines>0</Lines>
  <Paragraphs>0</Paragraphs>
  <TotalTime>0</TotalTime>
  <ScaleCrop>false</ScaleCrop>
  <LinksUpToDate>false</LinksUpToDate>
  <CharactersWithSpaces>717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2025-03-17T01:06:00Z</dcterms:created>
  <dc:creator>tkx03</dc:creator>
  <cp:lastModifiedBy>魚心</cp:lastModifiedBy>
  <dcterms:modified xsi:type="dcterms:W3CDTF">2025-03-17T05:08:28Z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eyJoZGlkIjoiMDlkZTg2ZjQyZDc1NzgxNGI5NzY1NmZmOWQxODcxOGQiLCJ1c2VySWQiOiI2MDIzNjIzNDEifQ==</vt:lpwstr>
  </property>
  <property fmtid="{D5CDD505-2E9C-101B-9397-08002B2CF9AE}" pid="4" name="ICV">
    <vt:lpwstr>31609DE0C43845DCB148B23965CFFBAA_12</vt:lpwstr>
  </property>
</Properties>
</file>