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Times New Roman" w:eastAsia="方正小标宋简体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Times New Roman" w:eastAsia="方正小标宋简体"/>
          <w:sz w:val="44"/>
          <w:szCs w:val="44"/>
          <w:highlight w:val="none"/>
          <w:lang w:eastAsia="zh-CN"/>
        </w:rPr>
      </w:pPr>
      <w:r>
        <w:rPr>
          <w:rFonts w:ascii="Times New Roman" w:eastAsia="方正小标宋简体"/>
          <w:sz w:val="44"/>
          <w:szCs w:val="44"/>
          <w:highlight w:val="none"/>
        </w:rPr>
        <w:t>太仓市</w:t>
      </w:r>
      <w:r>
        <w:rPr>
          <w:rFonts w:hint="eastAsia" w:ascii="Times New Roman" w:eastAsia="方正小标宋简体"/>
          <w:sz w:val="44"/>
          <w:szCs w:val="44"/>
          <w:highlight w:val="none"/>
          <w:lang w:eastAsia="zh-CN"/>
        </w:rPr>
        <w:t>普惠金融发展风险补偿基金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Times New Roman" w:eastAsia="方正小标宋简体"/>
          <w:sz w:val="44"/>
          <w:szCs w:val="44"/>
          <w:highlight w:val="none"/>
          <w:lang w:eastAsia="zh-CN"/>
        </w:rPr>
      </w:pPr>
      <w:r>
        <w:rPr>
          <w:rFonts w:ascii="Times New Roman" w:eastAsia="方正小标宋简体"/>
          <w:sz w:val="44"/>
          <w:szCs w:val="44"/>
          <w:highlight w:val="none"/>
        </w:rPr>
        <w:t>管理办法</w:t>
      </w:r>
      <w:r>
        <w:rPr>
          <w:rFonts w:hint="eastAsia" w:ascii="Times New Roman" w:eastAsia="方正小标宋简体"/>
          <w:sz w:val="44"/>
          <w:szCs w:val="44"/>
          <w:highlight w:val="none"/>
          <w:lang w:eastAsia="zh-CN"/>
        </w:rPr>
        <w:t>（征求意见稿</w:t>
      </w:r>
      <w:bookmarkStart w:id="0" w:name="_GoBack"/>
      <w:bookmarkEnd w:id="0"/>
      <w:r>
        <w:rPr>
          <w:rFonts w:hint="eastAsia" w:ascii="Times New Roman" w:eastAsia="方正小标宋简体"/>
          <w:sz w:val="44"/>
          <w:szCs w:val="4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ascii="Times New Roman" w:eastAsia="仿宋_GB231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0"/>
        <w:jc w:val="center"/>
        <w:textAlignment w:val="auto"/>
        <w:rPr>
          <w:rFonts w:ascii="Times New Roman" w:eastAsia="黑体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第一章 总则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 xml:space="preserve">第一条 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为</w:t>
      </w:r>
      <w:r>
        <w:rPr>
          <w:rFonts w:ascii="Times New Roman" w:eastAsia="仿宋_GB2312"/>
          <w:color w:val="000000"/>
          <w:szCs w:val="32"/>
          <w:highlight w:val="none"/>
          <w:lang w:val="en-US" w:eastAsia="zh-CN"/>
        </w:rPr>
        <w:t>认真落实《国务院关于</w:t>
      </w:r>
      <w:r>
        <w:rPr>
          <w:rFonts w:hint="default" w:ascii="Times New Roman" w:eastAsia="仿宋_GB2312"/>
          <w:color w:val="000000"/>
          <w:szCs w:val="32"/>
          <w:highlight w:val="none"/>
          <w:lang w:val="en-US" w:eastAsia="zh-CN"/>
        </w:rPr>
        <w:t>推进普惠金融高质量发展的实施意见》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和《江苏省普惠金融发展风险补偿基金管理办法》，</w:t>
      </w:r>
      <w:r>
        <w:rPr>
          <w:rFonts w:hint="default" w:ascii="Times New Roman" w:eastAsia="仿宋_GB2312"/>
          <w:color w:val="000000"/>
          <w:szCs w:val="32"/>
          <w:highlight w:val="none"/>
          <w:lang w:val="en-US" w:eastAsia="zh-CN"/>
        </w:rPr>
        <w:t>助力解决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我市</w:t>
      </w:r>
      <w:r>
        <w:rPr>
          <w:rFonts w:hint="default" w:ascii="Times New Roman" w:eastAsia="仿宋_GB2312"/>
          <w:color w:val="000000"/>
          <w:szCs w:val="32"/>
          <w:highlight w:val="none"/>
          <w:lang w:val="en-US" w:eastAsia="zh-CN"/>
        </w:rPr>
        <w:t>小微企业融资难、贵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、</w:t>
      </w:r>
      <w:r>
        <w:rPr>
          <w:rFonts w:hint="default" w:ascii="Times New Roman" w:eastAsia="仿宋_GB2312"/>
          <w:color w:val="000000"/>
          <w:szCs w:val="32"/>
          <w:highlight w:val="none"/>
          <w:lang w:val="en-US" w:eastAsia="zh-CN"/>
        </w:rPr>
        <w:t>慢问题</w:t>
      </w:r>
      <w:r>
        <w:rPr>
          <w:rFonts w:ascii="Times New Roman" w:eastAsia="仿宋_GB2312"/>
          <w:color w:val="000000"/>
          <w:szCs w:val="32"/>
          <w:highlight w:val="none"/>
        </w:rPr>
        <w:t>，设立太仓市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普惠金融发展风险补偿基金</w:t>
      </w:r>
      <w:r>
        <w:rPr>
          <w:rFonts w:ascii="Times New Roman" w:eastAsia="仿宋_GB2312"/>
          <w:color w:val="000000"/>
          <w:szCs w:val="32"/>
          <w:highlight w:val="none"/>
        </w:rPr>
        <w:t>（以下简称“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风险补偿基金</w:t>
      </w:r>
      <w:r>
        <w:rPr>
          <w:rFonts w:ascii="Times New Roman" w:eastAsia="仿宋_GB2312"/>
          <w:color w:val="000000"/>
          <w:szCs w:val="32"/>
          <w:highlight w:val="none"/>
        </w:rPr>
        <w:t>”）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。</w:t>
      </w:r>
      <w:r>
        <w:rPr>
          <w:rFonts w:ascii="Times New Roman" w:eastAsia="仿宋_GB2312"/>
          <w:color w:val="000000"/>
          <w:szCs w:val="32"/>
          <w:highlight w:val="none"/>
        </w:rPr>
        <w:t>为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规范</w:t>
      </w:r>
      <w:r>
        <w:rPr>
          <w:rFonts w:ascii="Times New Roman" w:eastAsia="仿宋_GB2312"/>
          <w:color w:val="000000"/>
          <w:szCs w:val="32"/>
          <w:highlight w:val="none"/>
        </w:rPr>
        <w:t>风险补偿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基金管理，提高绩效，</w:t>
      </w:r>
      <w:r>
        <w:rPr>
          <w:rFonts w:ascii="Times New Roman" w:eastAsia="仿宋_GB2312"/>
          <w:color w:val="000000"/>
          <w:szCs w:val="32"/>
          <w:highlight w:val="none"/>
        </w:rPr>
        <w:t>特制定本办法。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 xml:space="preserve">第二条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风险补偿基金通过政银等合作方式，由财政部门设立</w:t>
      </w:r>
      <w:r>
        <w:rPr>
          <w:rFonts w:ascii="Times New Roman" w:eastAsia="仿宋_GB2312"/>
          <w:color w:val="000000"/>
          <w:szCs w:val="32"/>
          <w:highlight w:val="none"/>
        </w:rPr>
        <w:t>贷款风险补偿资金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池作为增信措施</w:t>
      </w:r>
      <w:r>
        <w:rPr>
          <w:rFonts w:ascii="Times New Roman" w:eastAsia="仿宋_GB2312"/>
          <w:color w:val="000000"/>
          <w:szCs w:val="32"/>
          <w:highlight w:val="none"/>
        </w:rPr>
        <w:t>，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引导</w:t>
      </w:r>
      <w:r>
        <w:rPr>
          <w:rFonts w:ascii="Times New Roman" w:eastAsia="仿宋_GB2312"/>
          <w:color w:val="000000"/>
          <w:szCs w:val="32"/>
          <w:highlight w:val="none"/>
        </w:rPr>
        <w:t>银行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等机构开发低门槛、低成本、高效率的专项产品，为符合条件的中小微企业提供融资服务</w:t>
      </w:r>
      <w:r>
        <w:rPr>
          <w:rFonts w:ascii="Times New Roman" w:eastAsia="仿宋_GB2312"/>
          <w:color w:val="000000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 xml:space="preserve">第三条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风险补偿基金</w:t>
      </w:r>
      <w:r>
        <w:rPr>
          <w:rFonts w:ascii="Times New Roman" w:eastAsia="仿宋_GB2312"/>
          <w:color w:val="000000"/>
          <w:szCs w:val="32"/>
          <w:highlight w:val="none"/>
        </w:rPr>
        <w:t>遵循“政府引导、市场运作、风险共担”的基本原则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，充分发挥财政资金杠杆作用，增强金融服务实体经济发展的能力</w:t>
      </w:r>
      <w:r>
        <w:rPr>
          <w:rFonts w:ascii="Times New Roman" w:eastAsia="仿宋_GB2312"/>
          <w:color w:val="000000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eastAsia="zh-CN"/>
        </w:rPr>
      </w:pP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第四条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风险补偿基金由市财政局牵头设立，来源主要包括：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eastAsia="zh-CN"/>
        </w:rPr>
      </w:pP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（一）整合现有政银合作产品资金池（包括“中央富民创业贷”、“省小微贷”、“省苏科贷”、“太仓娄城贷”资金池）；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eastAsia="zh-CN"/>
        </w:rPr>
      </w:pP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（二）现有行业、产业专项资金调剂安排；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eastAsia="zh-CN"/>
        </w:rPr>
      </w:pP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（三）市级财政根据工作需要适时安排资金进行补充；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eastAsia="zh-CN"/>
        </w:rPr>
      </w:pP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（四）基金运营收益和存款利息；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eastAsia="zh-CN"/>
        </w:rPr>
      </w:pP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（五）其他来源。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default" w:ascii="Times New Roman" w:eastAsia="仿宋_GB2312"/>
          <w:color w:val="000000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0"/>
        <w:jc w:val="center"/>
        <w:textAlignment w:val="auto"/>
        <w:rPr>
          <w:rFonts w:hint="eastAsia" w:ascii="Times New Roman" w:eastAsia="黑体"/>
          <w:color w:val="000000"/>
          <w:szCs w:val="32"/>
          <w:highlight w:val="none"/>
          <w:lang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 xml:space="preserve">第二章 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基金管理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五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风险补偿基金按支持领域、行业分别设立若干专项子产品（以下简称“基金子产品”）。</w:t>
      </w:r>
      <w:r>
        <w:rPr>
          <w:rFonts w:ascii="Times New Roman" w:eastAsia="仿宋_GB2312"/>
          <w:color w:val="000000"/>
          <w:szCs w:val="32"/>
          <w:highlight w:val="none"/>
        </w:rPr>
        <w:t>已经覆盖的行业或领域，不再重复设立。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六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基金子产品由市财政局按照上级有关要求设立，也可由</w:t>
      </w:r>
      <w:r>
        <w:rPr>
          <w:rFonts w:ascii="Times New Roman" w:eastAsia="仿宋_GB2312"/>
          <w:color w:val="000000"/>
          <w:szCs w:val="32"/>
          <w:highlight w:val="none"/>
        </w:rPr>
        <w:t>市行业主管部门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提出</w:t>
      </w:r>
      <w:r>
        <w:rPr>
          <w:rFonts w:ascii="Times New Roman" w:eastAsia="仿宋_GB2312"/>
          <w:color w:val="000000"/>
          <w:szCs w:val="32"/>
          <w:highlight w:val="none"/>
        </w:rPr>
        <w:t>需求，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会商市财政局同意</w:t>
      </w:r>
      <w:r>
        <w:rPr>
          <w:rFonts w:ascii="Times New Roman" w:eastAsia="仿宋_GB2312"/>
          <w:color w:val="000000"/>
          <w:szCs w:val="32"/>
          <w:highlight w:val="none"/>
        </w:rPr>
        <w:t>设立。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七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基金子产品</w:t>
      </w:r>
      <w:r>
        <w:rPr>
          <w:rFonts w:hint="eastAsia" w:ascii="Times New Roman" w:eastAsia="仿宋_GB2312"/>
          <w:color w:val="000000"/>
          <w:szCs w:val="32"/>
          <w:highlight w:val="none"/>
        </w:rPr>
        <w:t>主要支持在我市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依法经营、依法纳税</w:t>
      </w:r>
      <w:r>
        <w:rPr>
          <w:rFonts w:hint="eastAsia" w:ascii="Times New Roman" w:eastAsia="仿宋_GB2312"/>
          <w:color w:val="000000"/>
          <w:szCs w:val="32"/>
          <w:highlight w:val="none"/>
        </w:rPr>
        <w:t>，具有独立法人资格，符合太仓市产业发展和</w:t>
      </w:r>
      <w:r>
        <w:rPr>
          <w:rFonts w:hint="eastAsia" w:ascii="Times New Roman" w:eastAsia="仿宋_GB2312"/>
          <w:szCs w:val="32"/>
          <w:highlight w:val="none"/>
        </w:rPr>
        <w:t>转型升级</w:t>
      </w:r>
      <w:r>
        <w:rPr>
          <w:rFonts w:hint="eastAsia" w:ascii="Times New Roman" w:eastAsia="仿宋_GB2312"/>
          <w:color w:val="000000"/>
          <w:szCs w:val="32"/>
          <w:highlight w:val="none"/>
        </w:rPr>
        <w:t>方向的企业。</w:t>
      </w:r>
      <w:r>
        <w:rPr>
          <w:rFonts w:ascii="Times New Roman" w:eastAsia="仿宋_GB2312"/>
          <w:color w:val="000000"/>
          <w:szCs w:val="32"/>
          <w:highlight w:val="none"/>
        </w:rPr>
        <w:t>市行业主管部门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可根据需要建立基金子产品支持对象名录，并可动态调整</w:t>
      </w:r>
      <w:r>
        <w:rPr>
          <w:rFonts w:hint="eastAsia" w:ascii="Times New Roman" w:eastAsia="仿宋_GB2312"/>
          <w:color w:val="000000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</w:rPr>
        <w:t>八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市财政局会同</w:t>
      </w:r>
      <w:r>
        <w:rPr>
          <w:rFonts w:ascii="Times New Roman" w:eastAsia="仿宋_GB2312"/>
          <w:color w:val="000000"/>
          <w:szCs w:val="32"/>
          <w:highlight w:val="none"/>
        </w:rPr>
        <w:t>市行业主管部门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设立基金子产品，制定工作方案，明确基金子产品的政策目标、支持对象、业务规模、运作方式和风险控制等。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</w:rPr>
      </w:pP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第九条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eastAsia="仿宋_GB2312"/>
          <w:color w:val="000000"/>
          <w:szCs w:val="32"/>
          <w:highlight w:val="none"/>
        </w:rPr>
        <w:t>合作银行应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具有服务支持对象的专业服务能力和较好的经营业绩，</w:t>
      </w:r>
      <w:r>
        <w:rPr>
          <w:rFonts w:hint="eastAsia" w:ascii="Times New Roman" w:eastAsia="仿宋_GB2312"/>
          <w:color w:val="000000"/>
          <w:szCs w:val="32"/>
          <w:highlight w:val="none"/>
        </w:rPr>
        <w:t>建立贷款绿色通道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。基金子产品支持的贷款应执行优惠贷款利率，可</w:t>
      </w:r>
      <w:r>
        <w:rPr>
          <w:rFonts w:hint="eastAsia" w:ascii="Times New Roman" w:eastAsia="仿宋_GB2312"/>
          <w:color w:val="000000"/>
          <w:szCs w:val="32"/>
          <w:highlight w:val="none"/>
        </w:rPr>
        <w:t>参照同期贷款市场报价利率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（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LPR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）加减点的方式确定。不另外收取保证金、中间业务费等其他费用</w:t>
      </w:r>
      <w:r>
        <w:rPr>
          <w:rFonts w:hint="eastAsia" w:ascii="Times New Roman" w:eastAsia="仿宋_GB2312"/>
          <w:color w:val="000000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eastAsia="zh-CN"/>
        </w:rPr>
      </w:pP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第十条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市财政局合理控制风险补偿基金引导贷款投放的放大倍数，统筹安排基金子产品的投放额度。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</w:rPr>
        <w:t>十一</w:t>
      </w:r>
      <w:r>
        <w:rPr>
          <w:rFonts w:ascii="Times New Roman" w:eastAsia="黑体"/>
          <w:color w:val="000000"/>
          <w:szCs w:val="32"/>
          <w:highlight w:val="none"/>
        </w:rPr>
        <w:t>条</w:t>
      </w:r>
      <w:r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基金子产品存续期限一般不超过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5年，到期后视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子产品运作效果，市财政局会同</w:t>
      </w:r>
      <w:r>
        <w:rPr>
          <w:rFonts w:ascii="Times New Roman" w:eastAsia="仿宋_GB2312"/>
          <w:color w:val="000000"/>
          <w:szCs w:val="32"/>
          <w:highlight w:val="none"/>
        </w:rPr>
        <w:t>市行业主管部门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确定延续或取消。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</w:pPr>
      <w:r>
        <w:rPr>
          <w:rFonts w:hint="eastAsia" w:ascii="Times New Roman" w:eastAsia="黑体"/>
          <w:color w:val="000000"/>
          <w:szCs w:val="32"/>
          <w:highlight w:val="none"/>
        </w:rPr>
        <w:t>第十二条</w:t>
      </w:r>
      <w:r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市财政局委托第三方作为风险补偿基金管理人。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0"/>
        <w:jc w:val="center"/>
        <w:textAlignment w:val="auto"/>
        <w:rPr>
          <w:rFonts w:ascii="Times New Roman" w:eastAsia="黑体"/>
          <w:color w:val="000000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0"/>
        <w:jc w:val="center"/>
        <w:textAlignment w:val="auto"/>
        <w:rPr>
          <w:rFonts w:hint="eastAsia" w:ascii="Times New Roman" w:eastAsia="黑体"/>
          <w:color w:val="000000"/>
          <w:szCs w:val="32"/>
          <w:highlight w:val="none"/>
          <w:lang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第三章 职责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分工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十三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市财政局、市政府办（金融）、基金</w:t>
      </w:r>
      <w:r>
        <w:rPr>
          <w:rFonts w:ascii="Times New Roman" w:eastAsia="仿宋_GB2312"/>
          <w:color w:val="000000"/>
          <w:szCs w:val="32"/>
          <w:highlight w:val="none"/>
        </w:rPr>
        <w:t>管理人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建立风险补偿基金工作协调小组</w:t>
      </w:r>
      <w:r>
        <w:rPr>
          <w:rFonts w:ascii="Times New Roman" w:eastAsia="仿宋_GB2312"/>
          <w:color w:val="000000"/>
          <w:szCs w:val="32"/>
          <w:highlight w:val="none"/>
        </w:rPr>
        <w:t>，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主要职责是掌握风险补偿基金日常</w:t>
      </w:r>
      <w:r>
        <w:rPr>
          <w:rFonts w:ascii="Times New Roman" w:eastAsia="仿宋_GB2312"/>
          <w:color w:val="000000"/>
          <w:szCs w:val="32"/>
          <w:highlight w:val="none"/>
        </w:rPr>
        <w:t>运行情况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，</w:t>
      </w:r>
      <w:r>
        <w:rPr>
          <w:rFonts w:ascii="Times New Roman" w:eastAsia="仿宋_GB2312"/>
          <w:color w:val="000000"/>
          <w:szCs w:val="32"/>
          <w:highlight w:val="none"/>
        </w:rPr>
        <w:t>作出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风险补偿基金</w:t>
      </w:r>
      <w:r>
        <w:rPr>
          <w:rFonts w:ascii="Times New Roman" w:eastAsia="仿宋_GB2312"/>
          <w:color w:val="000000"/>
          <w:szCs w:val="32"/>
          <w:highlight w:val="none"/>
        </w:rPr>
        <w:t>代偿决定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，研究其他事项</w:t>
      </w:r>
      <w:r>
        <w:rPr>
          <w:rFonts w:ascii="Times New Roman" w:eastAsia="仿宋_GB2312"/>
          <w:color w:val="000000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</w:rPr>
        <w:t>十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四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ascii="Times New Roman" w:eastAsia="仿宋_GB2312"/>
          <w:color w:val="000000"/>
          <w:szCs w:val="32"/>
          <w:highlight w:val="none"/>
        </w:rPr>
        <w:t>市</w:t>
      </w:r>
      <w:r>
        <w:rPr>
          <w:rFonts w:hint="eastAsia" w:ascii="Times New Roman" w:eastAsia="仿宋_GB2312"/>
          <w:color w:val="000000"/>
          <w:szCs w:val="32"/>
          <w:highlight w:val="none"/>
        </w:rPr>
        <w:t>财政局</w:t>
      </w:r>
      <w:r>
        <w:rPr>
          <w:rFonts w:ascii="Times New Roman" w:eastAsia="仿宋_GB2312"/>
          <w:color w:val="000000"/>
          <w:szCs w:val="32"/>
          <w:highlight w:val="none"/>
        </w:rPr>
        <w:t>主要职责：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负责制定风险补偿基金管理办法和相关制度；筹措、安排和审核风险补偿基金</w:t>
      </w:r>
      <w:r>
        <w:rPr>
          <w:rFonts w:hint="eastAsia" w:ascii="Times New Roman" w:eastAsia="仿宋_GB2312"/>
          <w:color w:val="000000"/>
          <w:szCs w:val="32"/>
          <w:highlight w:val="none"/>
        </w:rPr>
        <w:t>；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会同相关部门设立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基金子产品，牵头制定基金子产品工作方案；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组织开展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风险补偿基金考核</w:t>
      </w:r>
      <w:r>
        <w:rPr>
          <w:rFonts w:hint="eastAsia" w:ascii="Times New Roman" w:eastAsia="仿宋_GB2312"/>
          <w:color w:val="000000"/>
          <w:szCs w:val="32"/>
          <w:highlight w:val="none"/>
        </w:rPr>
        <w:t>评价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等</w:t>
      </w:r>
      <w:r>
        <w:rPr>
          <w:rFonts w:hint="eastAsia" w:ascii="Times New Roman" w:eastAsia="仿宋_GB2312"/>
          <w:color w:val="000000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left="0" w:leftChars="0" w:firstLine="632" w:firstLineChars="200"/>
        <w:textAlignment w:val="auto"/>
        <w:rPr>
          <w:rFonts w:hint="default" w:ascii="Times New Roman" w:eastAsia="仿宋_GB2312"/>
          <w:color w:val="000000"/>
          <w:szCs w:val="32"/>
          <w:highlight w:val="none"/>
          <w:lang w:val="en-US"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十五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ascii="Times New Roman" w:eastAsia="仿宋_GB2312"/>
          <w:color w:val="000000"/>
          <w:szCs w:val="32"/>
          <w:highlight w:val="none"/>
        </w:rPr>
        <w:t>市行业主管部门主要职责：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根据需求</w:t>
      </w:r>
      <w:r>
        <w:rPr>
          <w:rFonts w:ascii="Times New Roman" w:eastAsia="仿宋_GB2312"/>
          <w:color w:val="000000"/>
          <w:szCs w:val="32"/>
          <w:highlight w:val="none"/>
        </w:rPr>
        <w:t>提出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设立基金子产品的建议</w:t>
      </w:r>
      <w:r>
        <w:rPr>
          <w:rFonts w:ascii="Times New Roman" w:eastAsia="仿宋_GB2312"/>
          <w:color w:val="000000"/>
          <w:szCs w:val="32"/>
          <w:highlight w:val="none"/>
        </w:rPr>
        <w:t>；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配合</w:t>
      </w:r>
      <w:r>
        <w:rPr>
          <w:rFonts w:ascii="Times New Roman" w:eastAsia="仿宋_GB2312"/>
          <w:color w:val="000000"/>
          <w:szCs w:val="32"/>
          <w:highlight w:val="none"/>
        </w:rPr>
        <w:t>市</w:t>
      </w:r>
      <w:r>
        <w:rPr>
          <w:rFonts w:hint="eastAsia" w:ascii="Times New Roman" w:eastAsia="仿宋_GB2312"/>
          <w:color w:val="000000"/>
          <w:szCs w:val="32"/>
          <w:highlight w:val="none"/>
        </w:rPr>
        <w:t>财政局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制定基金子产品工作方案；根据需要</w:t>
      </w:r>
      <w:r>
        <w:rPr>
          <w:rFonts w:ascii="Times New Roman" w:eastAsia="仿宋_GB2312"/>
          <w:color w:val="000000"/>
          <w:szCs w:val="32"/>
          <w:highlight w:val="none"/>
        </w:rPr>
        <w:t>建立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基金子产品支持对象名录；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配合市财政局对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基金子产品开展考核</w:t>
      </w:r>
      <w:r>
        <w:rPr>
          <w:rFonts w:hint="eastAsia" w:ascii="Times New Roman" w:eastAsia="仿宋_GB2312"/>
          <w:color w:val="000000"/>
          <w:szCs w:val="32"/>
          <w:highlight w:val="none"/>
        </w:rPr>
        <w:t>评价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</w:pP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第十六条</w:t>
      </w:r>
      <w:r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</w:t>
      </w:r>
      <w:r>
        <w:rPr>
          <w:rFonts w:ascii="Times New Roman" w:eastAsia="仿宋_GB2312"/>
          <w:color w:val="000000"/>
          <w:szCs w:val="32"/>
          <w:highlight w:val="none"/>
        </w:rPr>
        <w:t>管理人主要职责：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接受市财政局委托，设立风险补偿基金专户，</w:t>
      </w:r>
      <w:r>
        <w:rPr>
          <w:rFonts w:hint="eastAsia" w:ascii="Times New Roman" w:eastAsia="仿宋_GB2312"/>
          <w:color w:val="000000"/>
          <w:szCs w:val="32"/>
          <w:highlight w:val="none"/>
        </w:rPr>
        <w:t>负责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</w:t>
      </w:r>
      <w:r>
        <w:rPr>
          <w:rFonts w:hint="eastAsia" w:ascii="Times New Roman" w:eastAsia="仿宋_GB2312"/>
          <w:color w:val="000000"/>
          <w:szCs w:val="32"/>
          <w:highlight w:val="none"/>
        </w:rPr>
        <w:t>日常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运营</w:t>
      </w:r>
      <w:r>
        <w:rPr>
          <w:rFonts w:hint="eastAsia" w:ascii="Times New Roman" w:eastAsia="仿宋_GB2312"/>
          <w:color w:val="000000"/>
          <w:szCs w:val="32"/>
          <w:highlight w:val="none"/>
        </w:rPr>
        <w:t>管理和财务核算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，按要求拨付补偿资金等</w:t>
      </w:r>
      <w:r>
        <w:rPr>
          <w:rFonts w:hint="eastAsia" w:ascii="Times New Roman" w:eastAsia="仿宋_GB2312"/>
          <w:color w:val="000000"/>
          <w:szCs w:val="32"/>
          <w:highlight w:val="none"/>
        </w:rPr>
        <w:t>；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可根据实际情况聘请第三方机构</w:t>
      </w:r>
      <w:r>
        <w:rPr>
          <w:rFonts w:ascii="Times New Roman" w:eastAsia="仿宋_GB2312"/>
          <w:color w:val="000000"/>
          <w:szCs w:val="32"/>
          <w:highlight w:val="none"/>
        </w:rPr>
        <w:t>对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合作</w:t>
      </w:r>
      <w:r>
        <w:rPr>
          <w:rFonts w:hint="eastAsia" w:ascii="Times New Roman" w:eastAsia="仿宋_GB2312"/>
          <w:color w:val="000000"/>
          <w:szCs w:val="32"/>
          <w:highlight w:val="none"/>
        </w:rPr>
        <w:t>银行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相关贷款资料</w:t>
      </w:r>
      <w:r>
        <w:rPr>
          <w:rFonts w:ascii="Times New Roman" w:eastAsia="仿宋_GB2312"/>
          <w:color w:val="000000"/>
          <w:szCs w:val="32"/>
          <w:highlight w:val="none"/>
        </w:rPr>
        <w:t>进行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核</w:t>
      </w:r>
      <w:r>
        <w:rPr>
          <w:rFonts w:ascii="Times New Roman" w:eastAsia="仿宋_GB2312"/>
          <w:color w:val="000000"/>
          <w:szCs w:val="32"/>
          <w:highlight w:val="none"/>
        </w:rPr>
        <w:t>查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，</w:t>
      </w:r>
      <w:r>
        <w:rPr>
          <w:rFonts w:ascii="Times New Roman" w:eastAsia="仿宋_GB2312"/>
          <w:color w:val="000000"/>
          <w:szCs w:val="32"/>
          <w:highlight w:val="none"/>
        </w:rPr>
        <w:t>做好代偿划转、风险警示等工作；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健全内部控制机制，保障基金安全，每年向市财政局提交基金</w:t>
      </w:r>
      <w:r>
        <w:rPr>
          <w:rFonts w:hint="eastAsia" w:ascii="Times New Roman" w:eastAsia="仿宋_GB2312"/>
          <w:color w:val="000000"/>
          <w:szCs w:val="32"/>
          <w:highlight w:val="none"/>
        </w:rPr>
        <w:t>运行分析报告；做好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已申请风险补偿基金</w:t>
      </w:r>
      <w:r>
        <w:rPr>
          <w:rFonts w:hint="eastAsia" w:ascii="Times New Roman" w:eastAsia="仿宋_GB2312"/>
          <w:color w:val="000000"/>
          <w:szCs w:val="32"/>
          <w:highlight w:val="none"/>
        </w:rPr>
        <w:t>业务的专项档案管理工作。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第十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七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合作银行职责：按要求组织信贷投放，优化信贷流程、内部审批和考核办法；及时向财政部门、主管部门和金融监管部门报备相关贷款信息；防范信贷风险，加强贷后管理，做好追偿、处置不良贷款工作。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default" w:ascii="Times New Roman" w:eastAsia="仿宋_GB2312" w:cs="Times New Roman"/>
          <w:color w:val="000000"/>
          <w:szCs w:val="32"/>
          <w:highlight w:val="none"/>
          <w:lang w:val="en-US"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</w:rPr>
        <w:t>十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八</w:t>
      </w:r>
      <w:r>
        <w:rPr>
          <w:rFonts w:ascii="Times New Roman" w:eastAsia="黑体"/>
          <w:color w:val="000000"/>
          <w:szCs w:val="32"/>
          <w:highlight w:val="none"/>
        </w:rPr>
        <w:t>条</w:t>
      </w:r>
      <w:r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合作融资担保机构</w:t>
      </w: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职责：</w:t>
      </w:r>
      <w:r>
        <w:rPr>
          <w:rFonts w:ascii="Times New Roman" w:eastAsia="仿宋_GB2312"/>
          <w:szCs w:val="32"/>
        </w:rPr>
        <w:t>负责开展不良贷款代偿、代偿补偿清算等工作</w:t>
      </w:r>
      <w:r>
        <w:rPr>
          <w:rFonts w:hint="eastAsia" w:ascii="Times New Roman" w:eastAsia="仿宋_GB2312"/>
          <w:szCs w:val="32"/>
          <w:lang w:eastAsia="zh-CN"/>
        </w:rPr>
        <w:t>；</w:t>
      </w:r>
      <w:r>
        <w:rPr>
          <w:rFonts w:ascii="Times New Roman" w:eastAsia="仿宋_GB2312"/>
          <w:szCs w:val="32"/>
        </w:rPr>
        <w:t>与省级再担保机构对接，积极争取省级风险分担。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0"/>
        <w:jc w:val="center"/>
        <w:textAlignment w:val="auto"/>
        <w:rPr>
          <w:rFonts w:ascii="Times New Roman" w:eastAsia="黑体"/>
          <w:color w:val="000000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0"/>
        <w:jc w:val="center"/>
        <w:textAlignment w:val="auto"/>
        <w:rPr>
          <w:rFonts w:hint="eastAsia" w:ascii="Times New Roman" w:eastAsia="黑体"/>
          <w:color w:val="000000"/>
          <w:szCs w:val="32"/>
          <w:highlight w:val="none"/>
          <w:lang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第四章 风险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控制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</w:rPr>
        <w:t>十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九</w:t>
      </w:r>
      <w:r>
        <w:rPr>
          <w:rFonts w:ascii="Times New Roman" w:eastAsia="黑体"/>
          <w:color w:val="000000"/>
          <w:szCs w:val="32"/>
          <w:highlight w:val="none"/>
        </w:rPr>
        <w:t>条</w:t>
      </w:r>
      <w:r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风险补偿基金、合作银行、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融资担保机构</w:t>
      </w: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等共担贷款风险。对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基金子产品贷款逾期并符合补偿条件的，风险补偿基金可对该贷款本金提供补偿，补偿比例原则上不高于未偿还本金的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80%。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</w:pPr>
      <w:r>
        <w:rPr>
          <w:rFonts w:ascii="Times New Roman" w:eastAsia="黑体"/>
          <w:color w:val="auto"/>
          <w:szCs w:val="32"/>
          <w:highlight w:val="none"/>
        </w:rPr>
        <w:t>第</w:t>
      </w:r>
      <w:r>
        <w:rPr>
          <w:rFonts w:hint="eastAsia" w:ascii="Times New Roman" w:eastAsia="黑体"/>
          <w:color w:val="auto"/>
          <w:szCs w:val="32"/>
          <w:highlight w:val="none"/>
          <w:lang w:eastAsia="zh-CN"/>
        </w:rPr>
        <w:t>二十</w:t>
      </w:r>
      <w:r>
        <w:rPr>
          <w:rFonts w:ascii="Times New Roman" w:eastAsia="黑体"/>
          <w:color w:val="auto"/>
          <w:szCs w:val="32"/>
          <w:highlight w:val="none"/>
        </w:rPr>
        <w:t>条</w:t>
      </w:r>
      <w:r>
        <w:rPr>
          <w:rFonts w:hint="eastAsia" w:ascii="Times New Roman" w:eastAsia="黑体"/>
          <w:color w:val="auto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基金子产品设置担保代偿率上限，具体比例按照基金子产品工作方案执行。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二十一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基金子产品——“娄城贷”</w:t>
      </w:r>
      <w:r>
        <w:rPr>
          <w:rFonts w:hint="eastAsia" w:ascii="Times New Roman" w:eastAsia="仿宋_GB2312"/>
          <w:color w:val="000000"/>
          <w:szCs w:val="32"/>
          <w:highlight w:val="none"/>
        </w:rPr>
        <w:t>风险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补偿</w:t>
      </w:r>
      <w:r>
        <w:rPr>
          <w:rFonts w:hint="eastAsia" w:ascii="Times New Roman" w:eastAsia="仿宋_GB2312"/>
          <w:color w:val="000000"/>
          <w:szCs w:val="32"/>
          <w:highlight w:val="none"/>
        </w:rPr>
        <w:t>流程：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（一）贷款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本金逾期</w:t>
      </w: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或欠息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满30天，且合作银行</w:t>
      </w: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已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向法院提起诉讼，合作银行可向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</w:t>
      </w:r>
      <w:r>
        <w:rPr>
          <w:rFonts w:ascii="Times New Roman" w:eastAsia="仿宋_GB2312"/>
          <w:color w:val="000000"/>
          <w:szCs w:val="32"/>
          <w:highlight w:val="none"/>
        </w:rPr>
        <w:t>管理人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提交《代偿申请书》并提供相关资料</w:t>
      </w:r>
      <w:r>
        <w:rPr>
          <w:rFonts w:hint="eastAsia" w:ascii="Times New Roman" w:eastAsia="仿宋_GB2312"/>
          <w:color w:val="000000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eastAsia="zh-CN"/>
        </w:rPr>
      </w:pP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（二）基金</w:t>
      </w:r>
      <w:r>
        <w:rPr>
          <w:rFonts w:ascii="Times New Roman" w:eastAsia="仿宋_GB2312"/>
          <w:color w:val="000000"/>
          <w:szCs w:val="32"/>
          <w:highlight w:val="none"/>
        </w:rPr>
        <w:t>管理人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负责收集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银行代偿申请资料并进行尽职审查，60天内形成《贷款尽职审查意见书》提交至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风险补偿基金工作协调小组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</w:rPr>
      </w:pP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（三）风险补偿基金工作协调小组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及时召开</w:t>
      </w: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会议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并依据《贷款尽职审查意见书》作出是否代偿决定</w:t>
      </w:r>
      <w:r>
        <w:rPr>
          <w:rFonts w:hint="eastAsia" w:ascii="Times New Roman" w:eastAsia="仿宋_GB2312"/>
          <w:color w:val="000000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</w:pP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（四）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合作融资担保机构根据代偿决定5个工作日内支付相关代偿款至合作银行。合作银行收到代偿款后10个工作日内向融资担保机构出具代偿证明及相关材料。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</w:pP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（五）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合作融资担保机构代偿后向市财政局提交风险补偿申请，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</w:t>
      </w:r>
      <w:r>
        <w:rPr>
          <w:rFonts w:ascii="Times New Roman" w:eastAsia="仿宋_GB2312"/>
          <w:color w:val="000000"/>
          <w:szCs w:val="32"/>
          <w:highlight w:val="none"/>
        </w:rPr>
        <w:t>管理人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按协议约定比例支付风险补偿款。合作融资担保机构同时向</w:t>
      </w:r>
      <w:r>
        <w:rPr>
          <w:rFonts w:ascii="Times New Roman" w:eastAsia="仿宋_GB2312"/>
          <w:szCs w:val="32"/>
        </w:rPr>
        <w:t>省级再担保机构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申请风险补偿款。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（六）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合作银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行按照协议及相关法律法规统一进行追偿管理，追偿所得扣除必要费用后按风险分担比例返还合作各方。无法追偿部分，提出核销意见，相关各方据此核销。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二十二</w:t>
      </w:r>
      <w:r>
        <w:rPr>
          <w:rFonts w:ascii="Times New Roman" w:eastAsia="黑体"/>
          <w:color w:val="000000"/>
          <w:szCs w:val="32"/>
          <w:highlight w:val="none"/>
        </w:rPr>
        <w:t>条</w:t>
      </w:r>
      <w:r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风险补偿基金的补偿，作为对合作银行损失的弥补，不改变合作银行与借款人的借贷关系，借款人仍按贷款合同约定承担全部责任。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auto"/>
          <w:szCs w:val="32"/>
          <w:highlight w:val="none"/>
        </w:rPr>
      </w:pPr>
      <w:r>
        <w:rPr>
          <w:rFonts w:ascii="Times New Roman" w:eastAsia="黑体"/>
          <w:color w:val="auto"/>
          <w:szCs w:val="32"/>
          <w:highlight w:val="none"/>
        </w:rPr>
        <w:t>第</w:t>
      </w:r>
      <w:r>
        <w:rPr>
          <w:rFonts w:hint="eastAsia" w:ascii="Times New Roman" w:eastAsia="黑体"/>
          <w:color w:val="auto"/>
          <w:szCs w:val="32"/>
          <w:highlight w:val="none"/>
          <w:lang w:eastAsia="zh-CN"/>
        </w:rPr>
        <w:t>二十三</w:t>
      </w:r>
      <w:r>
        <w:rPr>
          <w:rFonts w:ascii="Times New Roman" w:eastAsia="黑体"/>
          <w:color w:val="auto"/>
          <w:szCs w:val="32"/>
          <w:highlight w:val="none"/>
        </w:rPr>
        <w:t xml:space="preserve">条 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对于下列</w:t>
      </w:r>
      <w:r>
        <w:rPr>
          <w:rFonts w:hint="eastAsia" w:ascii="Times New Roman" w:eastAsia="仿宋_GB2312"/>
          <w:color w:val="auto"/>
          <w:szCs w:val="32"/>
          <w:highlight w:val="none"/>
        </w:rPr>
        <w:t>情形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，风险补偿基金不予补</w:t>
      </w:r>
      <w:r>
        <w:rPr>
          <w:rFonts w:hint="eastAsia" w:ascii="Times New Roman" w:eastAsia="仿宋_GB2312"/>
          <w:color w:val="auto"/>
          <w:szCs w:val="32"/>
          <w:highlight w:val="none"/>
        </w:rPr>
        <w:t>偿：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auto"/>
          <w:szCs w:val="32"/>
          <w:highlight w:val="none"/>
          <w:lang w:eastAsia="zh-CN"/>
        </w:rPr>
      </w:pP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（一）</w:t>
      </w:r>
      <w:r>
        <w:rPr>
          <w:rFonts w:hint="eastAsia" w:ascii="Times New Roman" w:eastAsia="仿宋_GB2312"/>
          <w:color w:val="auto"/>
          <w:szCs w:val="32"/>
          <w:highlight w:val="none"/>
        </w:rPr>
        <w:t>贷款授信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审查</w:t>
      </w:r>
      <w:r>
        <w:rPr>
          <w:rFonts w:hint="eastAsia" w:ascii="Times New Roman" w:eastAsia="仿宋_GB2312"/>
          <w:color w:val="auto"/>
          <w:szCs w:val="32"/>
          <w:highlight w:val="none"/>
        </w:rPr>
        <w:t>时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，根据人民银行征信记录，借款</w:t>
      </w:r>
      <w:r>
        <w:rPr>
          <w:rFonts w:hint="eastAsia" w:ascii="Times New Roman" w:eastAsia="仿宋_GB2312"/>
          <w:color w:val="auto"/>
          <w:szCs w:val="32"/>
          <w:highlight w:val="none"/>
        </w:rPr>
        <w:t>企业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或</w:t>
      </w:r>
      <w:r>
        <w:rPr>
          <w:rFonts w:hint="eastAsia" w:ascii="Times New Roman" w:eastAsia="仿宋_GB2312"/>
          <w:color w:val="auto"/>
          <w:szCs w:val="32"/>
          <w:highlight w:val="none"/>
        </w:rPr>
        <w:t>其实际控制人在其他贷款机构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有未偿还</w:t>
      </w:r>
      <w:r>
        <w:rPr>
          <w:rFonts w:hint="eastAsia" w:ascii="Times New Roman" w:eastAsia="仿宋_GB2312"/>
          <w:color w:val="auto"/>
          <w:szCs w:val="32"/>
          <w:highlight w:val="none"/>
        </w:rPr>
        <w:t>逾期贷款的；未将</w:t>
      </w:r>
      <w:r>
        <w:rPr>
          <w:rFonts w:hint="eastAsia" w:ascii="Times New Roman" w:eastAsia="仿宋_GB2312"/>
          <w:color w:val="auto"/>
          <w:szCs w:val="32"/>
          <w:highlight w:val="none"/>
          <w:lang w:val="en-US" w:eastAsia="zh-CN"/>
        </w:rPr>
        <w:t>借款</w:t>
      </w:r>
      <w:r>
        <w:rPr>
          <w:rFonts w:hint="eastAsia" w:ascii="Times New Roman" w:eastAsia="仿宋_GB2312"/>
          <w:color w:val="auto"/>
          <w:szCs w:val="32"/>
          <w:highlight w:val="none"/>
        </w:rPr>
        <w:t>企业</w:t>
      </w:r>
      <w:r>
        <w:rPr>
          <w:rFonts w:hint="eastAsia" w:ascii="Times New Roman" w:eastAsia="仿宋_GB2312"/>
          <w:color w:val="auto"/>
          <w:szCs w:val="32"/>
          <w:highlight w:val="none"/>
          <w:lang w:val="en-US" w:eastAsia="zh-CN"/>
        </w:rPr>
        <w:t>法定代表人</w:t>
      </w:r>
      <w:r>
        <w:rPr>
          <w:rFonts w:hint="eastAsia" w:ascii="Times New Roman" w:eastAsia="仿宋_GB2312"/>
          <w:color w:val="auto"/>
          <w:szCs w:val="32"/>
          <w:highlight w:val="none"/>
        </w:rPr>
        <w:t>、控股股东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或</w:t>
      </w:r>
      <w:r>
        <w:rPr>
          <w:rFonts w:hint="eastAsia" w:ascii="Times New Roman" w:eastAsia="仿宋_GB2312"/>
          <w:color w:val="auto"/>
          <w:szCs w:val="32"/>
          <w:highlight w:val="none"/>
        </w:rPr>
        <w:t>实际控制人作为贷款连带保证责任人的；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textAlignment w:val="auto"/>
        <w:rPr>
          <w:rFonts w:ascii="Times New Roman" w:eastAsia="仿宋_GB2312"/>
          <w:color w:val="auto"/>
          <w:szCs w:val="32"/>
          <w:highlight w:val="none"/>
        </w:rPr>
      </w:pPr>
      <w:r>
        <w:rPr>
          <w:rFonts w:hint="eastAsia" w:ascii="Times New Roman" w:eastAsia="仿宋_GB2312"/>
          <w:color w:val="auto"/>
          <w:szCs w:val="32"/>
          <w:highlight w:val="none"/>
        </w:rPr>
        <w:t>（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二</w:t>
      </w:r>
      <w:r>
        <w:rPr>
          <w:rFonts w:hint="eastAsia" w:ascii="Times New Roman" w:eastAsia="仿宋_GB2312"/>
          <w:color w:val="auto"/>
          <w:szCs w:val="32"/>
          <w:highlight w:val="none"/>
        </w:rPr>
        <w:t>）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合作银行</w:t>
      </w:r>
      <w:r>
        <w:rPr>
          <w:rFonts w:hint="eastAsia" w:ascii="Times New Roman" w:eastAsia="仿宋_GB2312"/>
          <w:color w:val="auto"/>
          <w:szCs w:val="32"/>
          <w:highlight w:val="none"/>
        </w:rPr>
        <w:t>未落实贷款合同约定的放款条件发放贷款的；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auto"/>
          <w:szCs w:val="32"/>
          <w:highlight w:val="none"/>
        </w:rPr>
      </w:pPr>
      <w:r>
        <w:rPr>
          <w:rFonts w:hint="eastAsia" w:ascii="Times New Roman" w:eastAsia="仿宋_GB2312"/>
          <w:color w:val="auto"/>
          <w:szCs w:val="32"/>
          <w:highlight w:val="none"/>
        </w:rPr>
        <w:t>（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三</w:t>
      </w:r>
      <w:r>
        <w:rPr>
          <w:rFonts w:hint="eastAsia" w:ascii="Times New Roman" w:eastAsia="仿宋_GB2312"/>
          <w:color w:val="auto"/>
          <w:szCs w:val="32"/>
          <w:highlight w:val="none"/>
          <w:lang w:val="en-US" w:eastAsia="zh-CN"/>
        </w:rPr>
        <w:t>）</w:t>
      </w:r>
      <w:r>
        <w:rPr>
          <w:rFonts w:hint="eastAsia" w:ascii="Times New Roman" w:eastAsia="仿宋_GB2312"/>
          <w:color w:val="auto"/>
          <w:szCs w:val="32"/>
          <w:highlight w:val="none"/>
        </w:rPr>
        <w:t>不符合担保合同规定的；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auto"/>
          <w:szCs w:val="32"/>
          <w:highlight w:val="none"/>
        </w:rPr>
      </w:pP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（四）</w:t>
      </w:r>
      <w:r>
        <w:rPr>
          <w:rFonts w:hint="eastAsia" w:ascii="Times New Roman" w:eastAsia="仿宋_GB2312"/>
          <w:color w:val="auto"/>
          <w:szCs w:val="32"/>
          <w:highlight w:val="none"/>
        </w:rPr>
        <w:t>贷款发放后，未及时向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合作融资担保机构</w:t>
      </w:r>
      <w:r>
        <w:rPr>
          <w:rFonts w:hint="eastAsia" w:ascii="Times New Roman" w:eastAsia="仿宋_GB2312"/>
          <w:color w:val="auto"/>
          <w:szCs w:val="32"/>
          <w:highlight w:val="none"/>
        </w:rPr>
        <w:t>报备的；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60" w:lineRule="exact"/>
        <w:ind w:left="632" w:leftChars="200" w:firstLine="0" w:firstLineChars="0"/>
        <w:textAlignment w:val="auto"/>
        <w:rPr>
          <w:rFonts w:hint="eastAsia" w:ascii="Times New Roman" w:eastAsia="仿宋_GB2312"/>
          <w:color w:val="auto"/>
          <w:szCs w:val="32"/>
          <w:highlight w:val="none"/>
          <w:lang w:eastAsia="zh-CN"/>
        </w:rPr>
      </w:pP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（五）</w:t>
      </w:r>
      <w:r>
        <w:rPr>
          <w:rFonts w:hint="eastAsia" w:ascii="Times New Roman" w:eastAsia="仿宋_GB2312"/>
          <w:color w:val="auto"/>
          <w:szCs w:val="32"/>
          <w:highlight w:val="none"/>
        </w:rPr>
        <w:t>贷款逾期后，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合作银行</w:t>
      </w:r>
      <w:r>
        <w:rPr>
          <w:rFonts w:hint="eastAsia" w:ascii="Times New Roman" w:eastAsia="仿宋_GB2312"/>
          <w:color w:val="auto"/>
          <w:szCs w:val="32"/>
          <w:highlight w:val="none"/>
        </w:rPr>
        <w:t>未按规定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及时组织</w:t>
      </w:r>
      <w:r>
        <w:rPr>
          <w:rFonts w:hint="eastAsia" w:ascii="Times New Roman" w:eastAsia="仿宋_GB2312"/>
          <w:color w:val="auto"/>
          <w:szCs w:val="32"/>
          <w:highlight w:val="none"/>
        </w:rPr>
        <w:t>催收的</w:t>
      </w:r>
      <w:r>
        <w:rPr>
          <w:rFonts w:hint="eastAsia" w:ascii="Times New Roman" w:eastAsia="仿宋_GB2312"/>
          <w:color w:val="auto"/>
          <w:szCs w:val="32"/>
          <w:highlight w:val="none"/>
          <w:lang w:eastAsia="zh-CN"/>
        </w:rPr>
        <w:t>；</w:t>
      </w:r>
    </w:p>
    <w:p>
      <w:pPr>
        <w:ind w:left="0" w:leftChars="0" w:firstLine="632" w:firstLineChars="2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（六） 借款企业</w:t>
      </w:r>
      <w:r>
        <w:rPr>
          <w:rFonts w:hint="eastAsia" w:ascii="仿宋_GB2312" w:hAnsi="仿宋_GB2312" w:eastAsia="仿宋_GB2312" w:cs="仿宋_GB2312"/>
          <w:lang w:eastAsia="zh-CN"/>
        </w:rPr>
        <w:t>未依法注册登记或</w:t>
      </w:r>
      <w:r>
        <w:rPr>
          <w:rFonts w:hint="eastAsia" w:ascii="仿宋_GB2312" w:hAnsi="仿宋_GB2312" w:eastAsia="仿宋_GB2312" w:cs="仿宋_GB2312"/>
          <w:lang w:val="en-US" w:eastAsia="zh-CN"/>
        </w:rPr>
        <w:t>贷款未用于日常生产经营活动</w:t>
      </w:r>
      <w:r>
        <w:rPr>
          <w:rFonts w:hint="eastAsia" w:ascii="仿宋_GB2312" w:hAnsi="仿宋_GB2312" w:eastAsia="仿宋_GB2312" w:cs="仿宋_GB2312"/>
          <w:lang w:eastAsia="zh-CN"/>
        </w:rPr>
        <w:t>的（如归还企业其他债务，金融投资、理财等套利活动，投资国家产业政策禁止和限制的项目等）。</w:t>
      </w:r>
    </w:p>
    <w:p>
      <w:pPr>
        <w:ind w:left="0" w:leftChars="0" w:firstLine="632" w:firstLineChars="200"/>
        <w:rPr>
          <w:rFonts w:hint="eastAsia" w:ascii="仿宋_GB2312" w:hAnsi="仿宋_GB2312" w:eastAsia="仿宋_GB2312" w:cs="仿宋_GB231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0"/>
        <w:jc w:val="center"/>
        <w:textAlignment w:val="auto"/>
        <w:rPr>
          <w:rFonts w:ascii="Times New Roman" w:eastAsia="黑体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第五章 监督管理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二十四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市财政局</w:t>
      </w: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可制定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风险补偿基金</w:t>
      </w: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考核办法，考核内容包括信贷投放数量、客户数、利率、审贷效率以及合作银行履约情况等。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</w:rPr>
        <w:t>二十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五</w:t>
      </w:r>
      <w:r>
        <w:rPr>
          <w:rFonts w:ascii="Times New Roman" w:eastAsia="黑体"/>
          <w:color w:val="000000"/>
          <w:szCs w:val="32"/>
          <w:highlight w:val="none"/>
        </w:rPr>
        <w:t>条</w:t>
      </w:r>
      <w:r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市财政局</w:t>
      </w: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根据考核结果，提高或降低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基金子产品规模，对考核为差的合作银行限制或取消合作资格，充分发挥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风险补偿基金</w:t>
      </w: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的使用效益。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eastAsia="仿宋_GB2312"/>
          <w:color w:val="000000"/>
          <w:szCs w:val="32"/>
          <w:highlight w:val="none"/>
          <w:lang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</w:rPr>
        <w:t>二十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六</w:t>
      </w:r>
      <w:r>
        <w:rPr>
          <w:rFonts w:ascii="Times New Roman" w:eastAsia="黑体"/>
          <w:color w:val="000000"/>
          <w:szCs w:val="32"/>
          <w:highlight w:val="none"/>
        </w:rPr>
        <w:t>条</w:t>
      </w:r>
      <w:r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风险补偿基金</w:t>
      </w:r>
      <w:r>
        <w:rPr>
          <w:rFonts w:hint="eastAsia" w:ascii="Times New Roman" w:eastAsia="仿宋_GB2312" w:cs="Times New Roman"/>
          <w:color w:val="000000"/>
          <w:szCs w:val="32"/>
          <w:highlight w:val="none"/>
          <w:lang w:val="en-US" w:eastAsia="zh-CN"/>
        </w:rPr>
        <w:t>合作银行、受托管理机构</w:t>
      </w:r>
      <w:r>
        <w:rPr>
          <w:rFonts w:hint="eastAsia" w:ascii="Times New Roman" w:eastAsia="仿宋_GB2312"/>
          <w:color w:val="000000"/>
          <w:szCs w:val="32"/>
          <w:highlight w:val="none"/>
        </w:rPr>
        <w:t>接受财政、审计部门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的</w:t>
      </w:r>
      <w:r>
        <w:rPr>
          <w:rFonts w:hint="eastAsia" w:ascii="Times New Roman" w:eastAsia="仿宋_GB2312"/>
          <w:color w:val="000000"/>
          <w:szCs w:val="32"/>
          <w:highlight w:val="none"/>
        </w:rPr>
        <w:t>监督检查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、绩效评价。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</w:rPr>
        <w:t>二十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七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eastAsia="仿宋_GB2312"/>
          <w:color w:val="000000"/>
          <w:szCs w:val="32"/>
          <w:highlight w:val="none"/>
        </w:rPr>
        <w:t>对弄虚作假、骗取财政资金或不按规定用途使用、截留转移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资金</w:t>
      </w:r>
      <w:r>
        <w:rPr>
          <w:rFonts w:hint="eastAsia" w:ascii="Times New Roman" w:eastAsia="仿宋_GB2312"/>
          <w:color w:val="000000"/>
          <w:szCs w:val="32"/>
          <w:highlight w:val="none"/>
        </w:rPr>
        <w:t>等行为，按《财政违法行为处罚处分条例》等规定予以处理，情节严重构成犯罪的移送司法机关处理。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0"/>
        <w:jc w:val="center"/>
        <w:textAlignment w:val="auto"/>
        <w:rPr>
          <w:rFonts w:ascii="Times New Roman" w:eastAsia="黑体"/>
          <w:color w:val="000000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0"/>
        <w:jc w:val="center"/>
        <w:textAlignment w:val="auto"/>
        <w:rPr>
          <w:rFonts w:ascii="Times New Roman" w:eastAsia="黑体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第六章 附则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ascii="Times New Roman" w:eastAsia="仿宋_GB2312"/>
          <w:color w:val="000000"/>
          <w:szCs w:val="32"/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</w:rPr>
        <w:t>二十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八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风险补偿基金</w:t>
      </w:r>
      <w:r>
        <w:rPr>
          <w:rFonts w:hint="eastAsia" w:ascii="Times New Roman" w:eastAsia="仿宋_GB2312"/>
          <w:color w:val="000000"/>
          <w:szCs w:val="32"/>
          <w:highlight w:val="none"/>
        </w:rPr>
        <w:t>与国家、省、苏州市合作开展业务的，按照国家、省、苏州市相关规定执行。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highlight w:val="none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</w:rPr>
        <w:t>二十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九</w:t>
      </w:r>
      <w:r>
        <w:rPr>
          <w:rFonts w:ascii="Times New Roman" w:eastAsia="黑体"/>
          <w:color w:val="000000"/>
          <w:szCs w:val="32"/>
          <w:highlight w:val="none"/>
        </w:rPr>
        <w:t xml:space="preserve">条 </w:t>
      </w:r>
      <w:r>
        <w:rPr>
          <w:rFonts w:hint="eastAsia" w:ascii="Times New Roman" w:eastAsia="仿宋_GB2312"/>
          <w:color w:val="000000"/>
          <w:szCs w:val="32"/>
          <w:highlight w:val="none"/>
        </w:rPr>
        <w:t>本办法由市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财政</w:t>
      </w:r>
      <w:r>
        <w:rPr>
          <w:rFonts w:hint="eastAsia" w:ascii="Times New Roman" w:eastAsia="仿宋_GB2312"/>
          <w:color w:val="000000"/>
          <w:szCs w:val="32"/>
          <w:highlight w:val="none"/>
        </w:rPr>
        <w:t>局负责解释。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eastAsia="zh-CN"/>
        </w:rPr>
      </w:pPr>
      <w:r>
        <w:rPr>
          <w:rFonts w:ascii="Times New Roman" w:eastAsia="黑体"/>
          <w:color w:val="000000"/>
          <w:szCs w:val="32"/>
          <w:highlight w:val="none"/>
        </w:rPr>
        <w:t>第</w:t>
      </w:r>
      <w:r>
        <w:rPr>
          <w:rFonts w:hint="eastAsia" w:ascii="Times New Roman" w:eastAsia="黑体"/>
          <w:color w:val="000000"/>
          <w:szCs w:val="32"/>
          <w:highlight w:val="none"/>
          <w:lang w:eastAsia="zh-CN"/>
        </w:rPr>
        <w:t>三十</w:t>
      </w:r>
      <w:r>
        <w:rPr>
          <w:rFonts w:ascii="Times New Roman" w:eastAsia="黑体"/>
          <w:color w:val="000000"/>
          <w:szCs w:val="32"/>
          <w:highlight w:val="none"/>
        </w:rPr>
        <w:t>条</w:t>
      </w:r>
      <w:r>
        <w:rPr>
          <w:rFonts w:hint="eastAsia" w:ascii="Times New Roman" w:eastAsia="黑体"/>
          <w:color w:val="000000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eastAsia="仿宋_GB2312"/>
          <w:color w:val="000000"/>
          <w:szCs w:val="32"/>
          <w:highlight w:val="none"/>
        </w:rPr>
        <w:t>本办法自发布之日起试行。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《关于印发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&lt;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太仓市“娄城贷”贷款资金池实施方案</w:t>
      </w:r>
      <w:r>
        <w:rPr>
          <w:rFonts w:hint="eastAsia" w:ascii="Times New Roman" w:eastAsia="仿宋_GB2312"/>
          <w:color w:val="000000"/>
          <w:szCs w:val="32"/>
          <w:highlight w:val="none"/>
          <w:lang w:val="en-US" w:eastAsia="zh-CN"/>
        </w:rPr>
        <w:t>&gt;</w:t>
      </w:r>
      <w:r>
        <w:rPr>
          <w:rFonts w:hint="eastAsia" w:ascii="Times New Roman" w:eastAsia="仿宋_GB2312"/>
          <w:color w:val="000000"/>
          <w:szCs w:val="32"/>
          <w:highlight w:val="none"/>
          <w:lang w:eastAsia="zh-CN"/>
        </w:rPr>
        <w:t>的通知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000000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eastAsia="zh-CN"/>
        </w:rPr>
        <w:t>太金</w:t>
      </w:r>
      <w:r>
        <w:rPr>
          <w:rFonts w:hint="default" w:ascii="Times New Roman" w:hAnsi="Times New Roman" w:eastAsia="仿宋_GB2312" w:cs="Times New Roman"/>
          <w:color w:val="000000"/>
          <w:szCs w:val="32"/>
          <w:highlight w:val="none"/>
        </w:rPr>
        <w:t>〔202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szCs w:val="32"/>
          <w:highlight w:val="none"/>
        </w:rPr>
        <w:t>〕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000000"/>
          <w:szCs w:val="32"/>
          <w:highlight w:val="none"/>
        </w:rPr>
        <w:t>号）</w:t>
      </w:r>
      <w:r>
        <w:rPr>
          <w:rFonts w:hint="eastAsia" w:ascii="Times New Roman" w:hAnsi="Times New Roman" w:eastAsia="仿宋_GB2312" w:cs="Times New Roman"/>
          <w:color w:val="000000"/>
          <w:szCs w:val="32"/>
          <w:highlight w:val="none"/>
          <w:lang w:eastAsia="zh-CN"/>
        </w:rPr>
        <w:t>同时作废。</w:t>
      </w:r>
    </w:p>
    <w:sectPr>
      <w:footerReference r:id="rId5" w:type="default"/>
      <w:pgSz w:w="11906" w:h="16838"/>
      <w:pgMar w:top="1814" w:right="1531" w:bottom="1984" w:left="1531" w:header="851" w:footer="1474" w:gutter="0"/>
      <w:pgNumType w:start="1"/>
      <w:cols w:space="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鼎简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/>
      </w:rPr>
    </w:pPr>
    <w:r>
      <w:rPr>
        <w:rFonts w:ascii="Times New Roman" w:hAnsi="Times New Roman"/>
      </w:rPr>
      <w:t xml:space="preserve">— </w:t>
    </w:r>
    <w:r>
      <w:rPr>
        <w:rFonts w:ascii="Times New Roman" w:hAnsi="Times New Roman"/>
      </w:rPr>
      <w:fldChar w:fldCharType="begin"/>
    </w:r>
    <w:r>
      <w:rPr>
        <w:rStyle w:val="6"/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Style w:val="6"/>
        <w:rFonts w:ascii="Times New Roman" w:hAnsi="Times New Roman"/>
      </w:rPr>
      <w:t>6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90A7A"/>
    <w:rsid w:val="00262B73"/>
    <w:rsid w:val="00290A7A"/>
    <w:rsid w:val="003E415B"/>
    <w:rsid w:val="006A4CDA"/>
    <w:rsid w:val="006A5818"/>
    <w:rsid w:val="00A15A8A"/>
    <w:rsid w:val="00F30A60"/>
    <w:rsid w:val="00F470EA"/>
    <w:rsid w:val="01F2243C"/>
    <w:rsid w:val="01F42A41"/>
    <w:rsid w:val="036B4BAC"/>
    <w:rsid w:val="0378063E"/>
    <w:rsid w:val="03A90023"/>
    <w:rsid w:val="047F596D"/>
    <w:rsid w:val="04ED1825"/>
    <w:rsid w:val="0504144A"/>
    <w:rsid w:val="050D64D6"/>
    <w:rsid w:val="06320598"/>
    <w:rsid w:val="06C30126"/>
    <w:rsid w:val="07A04291"/>
    <w:rsid w:val="09631DB4"/>
    <w:rsid w:val="0B0B182B"/>
    <w:rsid w:val="0B480DF7"/>
    <w:rsid w:val="0B9E72BF"/>
    <w:rsid w:val="0BAF6137"/>
    <w:rsid w:val="0CF17273"/>
    <w:rsid w:val="0D155290"/>
    <w:rsid w:val="0D8A1D43"/>
    <w:rsid w:val="0E490B13"/>
    <w:rsid w:val="0FAB7138"/>
    <w:rsid w:val="104C2BCB"/>
    <w:rsid w:val="110773A0"/>
    <w:rsid w:val="1184162B"/>
    <w:rsid w:val="1265705C"/>
    <w:rsid w:val="12F9464B"/>
    <w:rsid w:val="13E86081"/>
    <w:rsid w:val="13EA0AB8"/>
    <w:rsid w:val="14977CD7"/>
    <w:rsid w:val="14D971FD"/>
    <w:rsid w:val="152817C5"/>
    <w:rsid w:val="15974DCC"/>
    <w:rsid w:val="16895F09"/>
    <w:rsid w:val="16E3789C"/>
    <w:rsid w:val="173B7F2B"/>
    <w:rsid w:val="18975082"/>
    <w:rsid w:val="19520625"/>
    <w:rsid w:val="1A1F1716"/>
    <w:rsid w:val="1A6516DC"/>
    <w:rsid w:val="1B47424D"/>
    <w:rsid w:val="1BD078AD"/>
    <w:rsid w:val="1D5F274D"/>
    <w:rsid w:val="1E15696A"/>
    <w:rsid w:val="1E896929"/>
    <w:rsid w:val="1EAE7906"/>
    <w:rsid w:val="1F57027B"/>
    <w:rsid w:val="1FDB08D7"/>
    <w:rsid w:val="2038536A"/>
    <w:rsid w:val="20F47516"/>
    <w:rsid w:val="215E2BCE"/>
    <w:rsid w:val="22193399"/>
    <w:rsid w:val="22EA6095"/>
    <w:rsid w:val="2376267A"/>
    <w:rsid w:val="23A9637F"/>
    <w:rsid w:val="24D04C19"/>
    <w:rsid w:val="25997301"/>
    <w:rsid w:val="261A1293"/>
    <w:rsid w:val="26AA6375"/>
    <w:rsid w:val="27413274"/>
    <w:rsid w:val="277272C6"/>
    <w:rsid w:val="27741DB5"/>
    <w:rsid w:val="2901172F"/>
    <w:rsid w:val="298A635B"/>
    <w:rsid w:val="2AA0747E"/>
    <w:rsid w:val="2AB133BA"/>
    <w:rsid w:val="2ACA7F15"/>
    <w:rsid w:val="2AD149AE"/>
    <w:rsid w:val="2AE341E4"/>
    <w:rsid w:val="2B9575A6"/>
    <w:rsid w:val="2C347894"/>
    <w:rsid w:val="2C773801"/>
    <w:rsid w:val="2CD3247F"/>
    <w:rsid w:val="2D176AA6"/>
    <w:rsid w:val="2D2F5B19"/>
    <w:rsid w:val="2D507A4D"/>
    <w:rsid w:val="2D5F1580"/>
    <w:rsid w:val="2D6F116E"/>
    <w:rsid w:val="2D8A57C2"/>
    <w:rsid w:val="2F105051"/>
    <w:rsid w:val="2FAE7DDE"/>
    <w:rsid w:val="2FE86718"/>
    <w:rsid w:val="303F090D"/>
    <w:rsid w:val="30517B8D"/>
    <w:rsid w:val="31A62204"/>
    <w:rsid w:val="32617BCD"/>
    <w:rsid w:val="3384293E"/>
    <w:rsid w:val="33A8380B"/>
    <w:rsid w:val="344B7676"/>
    <w:rsid w:val="34BC0328"/>
    <w:rsid w:val="35712DC0"/>
    <w:rsid w:val="36AD6FE9"/>
    <w:rsid w:val="36CC24F7"/>
    <w:rsid w:val="371F58E9"/>
    <w:rsid w:val="37BB657C"/>
    <w:rsid w:val="383D10D3"/>
    <w:rsid w:val="38415FDC"/>
    <w:rsid w:val="388F319C"/>
    <w:rsid w:val="38CB73BE"/>
    <w:rsid w:val="398D75CB"/>
    <w:rsid w:val="39D75DD0"/>
    <w:rsid w:val="39DA389E"/>
    <w:rsid w:val="3A181492"/>
    <w:rsid w:val="3AD16E8E"/>
    <w:rsid w:val="3B7C1525"/>
    <w:rsid w:val="3BDC2844"/>
    <w:rsid w:val="3D3C578F"/>
    <w:rsid w:val="3D595233"/>
    <w:rsid w:val="3E0569D1"/>
    <w:rsid w:val="3F1A5214"/>
    <w:rsid w:val="3F233925"/>
    <w:rsid w:val="3F397CC7"/>
    <w:rsid w:val="3F7251C7"/>
    <w:rsid w:val="402D275C"/>
    <w:rsid w:val="404E23E1"/>
    <w:rsid w:val="407A0C78"/>
    <w:rsid w:val="41630D72"/>
    <w:rsid w:val="42035C97"/>
    <w:rsid w:val="420F3F6D"/>
    <w:rsid w:val="4262770F"/>
    <w:rsid w:val="42E25476"/>
    <w:rsid w:val="435B1551"/>
    <w:rsid w:val="441F4FD2"/>
    <w:rsid w:val="445A4F8E"/>
    <w:rsid w:val="447F4114"/>
    <w:rsid w:val="450451EA"/>
    <w:rsid w:val="4514453F"/>
    <w:rsid w:val="45283286"/>
    <w:rsid w:val="45313B95"/>
    <w:rsid w:val="46230DFA"/>
    <w:rsid w:val="4645415F"/>
    <w:rsid w:val="46B86E94"/>
    <w:rsid w:val="47524848"/>
    <w:rsid w:val="47A8679C"/>
    <w:rsid w:val="47C17CCB"/>
    <w:rsid w:val="47CB46E7"/>
    <w:rsid w:val="47F170D7"/>
    <w:rsid w:val="49BE5E87"/>
    <w:rsid w:val="4B792C7B"/>
    <w:rsid w:val="4B9318F2"/>
    <w:rsid w:val="4BA523E9"/>
    <w:rsid w:val="4C6254E8"/>
    <w:rsid w:val="4D276224"/>
    <w:rsid w:val="4D740204"/>
    <w:rsid w:val="4E0E1BE0"/>
    <w:rsid w:val="4E9837C4"/>
    <w:rsid w:val="4EAA2B1D"/>
    <w:rsid w:val="4EC85950"/>
    <w:rsid w:val="4F60777E"/>
    <w:rsid w:val="50147B70"/>
    <w:rsid w:val="51BC33A4"/>
    <w:rsid w:val="5336727E"/>
    <w:rsid w:val="53783C67"/>
    <w:rsid w:val="541C78C1"/>
    <w:rsid w:val="5460077C"/>
    <w:rsid w:val="559E2D0F"/>
    <w:rsid w:val="56563AB2"/>
    <w:rsid w:val="57125890"/>
    <w:rsid w:val="57AE073C"/>
    <w:rsid w:val="57C9599E"/>
    <w:rsid w:val="59296DD4"/>
    <w:rsid w:val="5AEE543B"/>
    <w:rsid w:val="5B654180"/>
    <w:rsid w:val="5B91659D"/>
    <w:rsid w:val="5B9A3355"/>
    <w:rsid w:val="5DED34B8"/>
    <w:rsid w:val="5E047F4B"/>
    <w:rsid w:val="5E3076DE"/>
    <w:rsid w:val="5F440FE2"/>
    <w:rsid w:val="5F483047"/>
    <w:rsid w:val="605A3CA3"/>
    <w:rsid w:val="60911205"/>
    <w:rsid w:val="62763AE0"/>
    <w:rsid w:val="64295445"/>
    <w:rsid w:val="64450900"/>
    <w:rsid w:val="645317ED"/>
    <w:rsid w:val="650C1A58"/>
    <w:rsid w:val="666F5E1C"/>
    <w:rsid w:val="6678374A"/>
    <w:rsid w:val="66906396"/>
    <w:rsid w:val="669F2050"/>
    <w:rsid w:val="66E07DD6"/>
    <w:rsid w:val="680F1CC5"/>
    <w:rsid w:val="684C461E"/>
    <w:rsid w:val="685D5648"/>
    <w:rsid w:val="68733F68"/>
    <w:rsid w:val="687678CD"/>
    <w:rsid w:val="68991C29"/>
    <w:rsid w:val="68A33C9F"/>
    <w:rsid w:val="69381295"/>
    <w:rsid w:val="6A8F6B02"/>
    <w:rsid w:val="6AF02DC7"/>
    <w:rsid w:val="6BF43BAA"/>
    <w:rsid w:val="6BF65E42"/>
    <w:rsid w:val="6C375918"/>
    <w:rsid w:val="6C3A689C"/>
    <w:rsid w:val="6C3F2D24"/>
    <w:rsid w:val="6D434B50"/>
    <w:rsid w:val="6D4E0963"/>
    <w:rsid w:val="6DC222E8"/>
    <w:rsid w:val="6DC63D25"/>
    <w:rsid w:val="6EBA5637"/>
    <w:rsid w:val="6EBB30B8"/>
    <w:rsid w:val="6EE3378C"/>
    <w:rsid w:val="7092523D"/>
    <w:rsid w:val="70950C1F"/>
    <w:rsid w:val="71224B2C"/>
    <w:rsid w:val="72D76566"/>
    <w:rsid w:val="737230F7"/>
    <w:rsid w:val="74450ED1"/>
    <w:rsid w:val="748C3843"/>
    <w:rsid w:val="74C638FD"/>
    <w:rsid w:val="75AA1DC4"/>
    <w:rsid w:val="770F1E26"/>
    <w:rsid w:val="78132BF9"/>
    <w:rsid w:val="78F45D01"/>
    <w:rsid w:val="794E160F"/>
    <w:rsid w:val="796D68C4"/>
    <w:rsid w:val="79CD59E4"/>
    <w:rsid w:val="7B5F28F8"/>
    <w:rsid w:val="7D6D05DE"/>
    <w:rsid w:val="7DCF3FD4"/>
    <w:rsid w:val="7E9865E6"/>
    <w:rsid w:val="7EEE5FCC"/>
    <w:rsid w:val="7FCD34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hAnsi="宋体" w:eastAsia="宋体"/>
      <w:sz w:val="2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7</Pages>
  <Words>412</Words>
  <Characters>2351</Characters>
  <Lines>19</Lines>
  <Paragraphs>5</Paragraphs>
  <TotalTime>0</TotalTime>
  <ScaleCrop>false</ScaleCrop>
  <LinksUpToDate>false</LinksUpToDate>
  <CharactersWithSpaces>2758</CharactersWithSpaces>
  <Application>WPS Office_11.8.2.12086_F1E327BC-269C-435d-A152-05C5408002CA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2021-05-13T02:57:00Z</dcterms:created>
  <dc:creator>魏天成</dc:creator>
  <cp:lastModifiedBy>边鹏</cp:lastModifiedBy>
  <cp:lastPrinted>2025-04-25T05:45:00Z</cp:lastPrinted>
  <dcterms:modified xsi:type="dcterms:W3CDTF">2025-07-21T02:34:05Z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2052-11.8.2.12086</vt:lpwstr>
  </property>
  <property fmtid="{D5CDD505-2E9C-101B-9397-08002B2CF9AE}" pid="3" name="ICV">
    <vt:lpwstr>E8B00262393944F8BC16E534EBCA2F41</vt:lpwstr>
  </property>
</Properties>
</file>