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28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太仓市城市绿线管理实施细则</w:t>
      </w:r>
    </w:p>
    <w:p w14:paraId="7ADB5733">
      <w:pPr>
        <w:widowControl/>
        <w:spacing w:before="100" w:beforeAutospacing="1" w:after="100" w:afterAutospacing="1" w:line="58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eastAsia="zh-CN"/>
        </w:rPr>
        <w:t>）</w:t>
      </w:r>
    </w:p>
    <w:p w14:paraId="1FB50A23">
      <w:pPr>
        <w:autoSpaceDE w:val="0"/>
        <w:autoSpaceDN w:val="0"/>
        <w:snapToGrid w:val="0"/>
        <w:spacing w:line="580" w:lineRule="exact"/>
        <w:ind w:firstLine="643" w:firstLineChars="200"/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为建立并严格实行城市绿线管理制度，加强城市生态环境建设，创造良好的人居环境，促进城市可持续发展，根据《中华人民共和国城乡规划法》《城市绿化条例》《江苏省城乡规划条例》《城市绿线管理办法》《苏州市城市绿线管理实施细则》等法律法规及相关规定，结合太仓实际，制定本实施细则。</w:t>
      </w:r>
    </w:p>
    <w:p w14:paraId="2D02FC88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第二条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本细则所称城市绿线，是指城市各类绿地范围控制线，包括已建成绿地的控制线和规划预留绿地的控制线。本细则所称城市，是指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太仓市国土空间总体规划确定的中心城区范围。</w:t>
      </w:r>
    </w:p>
    <w:p w14:paraId="5DC999B8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第三条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市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自然资源和规划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、园林绿化主管部门负责城市绿线的划定和管理工作。</w:t>
      </w:r>
    </w:p>
    <w:p w14:paraId="30005330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第四条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市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自然资源和规划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、园林绿化等主管部门应当密切合作，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在衔接市国土空间总体规划的基础上，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组织编制城市绿地系统规划。</w:t>
      </w:r>
    </w:p>
    <w:p w14:paraId="09618AB8">
      <w:pPr>
        <w:shd w:val="clear"/>
        <w:autoSpaceDE w:val="0"/>
        <w:autoSpaceDN w:val="0"/>
        <w:snapToGrid w:val="0"/>
        <w:spacing w:line="580" w:lineRule="exact"/>
        <w:ind w:firstLine="640" w:firstLineChars="200"/>
        <w:rPr>
          <w:rFonts w:hint="default" w:ascii="仿宋" w:hAnsi="仿宋" w:eastAsia="仿宋" w:cs="仿宋"/>
          <w:b w:val="0"/>
          <w:bCs w:val="0"/>
          <w:snapToGrid w:val="0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城市绿地系统规划应当确定城市绿化目标和布局，规定城市各类绿地的控制原则，按照规定标准确定绿化用地面积，分层次合理布局公共绿地。</w:t>
      </w:r>
    </w:p>
    <w:p w14:paraId="78CACB7B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第五条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城市绿地系统规划中下列区域内应划定城市绿地界线：</w:t>
      </w:r>
    </w:p>
    <w:p w14:paraId="514F28B4">
      <w:pPr>
        <w:autoSpaceDE w:val="0"/>
        <w:autoSpaceDN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（一）城市绿地系统规划确定的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公园绿地、防护绿地、广场用地、附属绿地、区域绿地等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；</w:t>
      </w:r>
    </w:p>
    <w:p w14:paraId="2D25DF36">
      <w:pPr>
        <w:autoSpaceDE w:val="0"/>
        <w:autoSpaceDN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（二）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中心城区范围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内的古典园林、风景名胜区、湿地、古树名木规定的保护范围等；</w:t>
      </w:r>
    </w:p>
    <w:p w14:paraId="79FFA35E">
      <w:pPr>
        <w:autoSpaceDE w:val="0"/>
        <w:autoSpaceDN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（三）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中心城区范围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内的湖泊、河道、山体等其他对城市生态和景观产生积极作用的区域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eastAsia="zh-CN"/>
        </w:rPr>
        <w:t>；</w:t>
      </w:r>
    </w:p>
    <w:p w14:paraId="64746F26">
      <w:pPr>
        <w:shd w:val="clear"/>
        <w:autoSpaceDE w:val="0"/>
        <w:autoSpaceDN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（四）其他需要划定城市绿地界线的区域。</w:t>
      </w:r>
    </w:p>
    <w:p w14:paraId="31300711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第六条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市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自然资源和规划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主管部门应按照城市绿线管理的要求，在控制性详细规划中确定不同类型绿地的界线、地块绿地率控制性指标。</w:t>
      </w:r>
    </w:p>
    <w:p w14:paraId="45F05C82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第七条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城市绿线的审批、调整，应当按照相关规定进行。</w:t>
      </w:r>
    </w:p>
    <w:p w14:paraId="59C7FD64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第八条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批准的城市绿线要向社会公布，接受公众监督。</w:t>
      </w:r>
    </w:p>
    <w:p w14:paraId="1A97D0BF">
      <w:pPr>
        <w:shd w:val="clear"/>
        <w:autoSpaceDE w:val="0"/>
        <w:autoSpaceDN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任何单位和个人都有保护城市绿地、服从城市绿线管理的义务，有监督城市绿线管理、对违反城市绿线管理行为进行检举的权利。</w:t>
      </w:r>
    </w:p>
    <w:p w14:paraId="770201C9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第九条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城市绿线范围内的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公园绿地、防护绿地、广场用地、附属绿地、区域绿地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等，应当按照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《国土空间调查、规划、用途管制用地用海分类指南》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《城市绿地设计规范》等标准，进行绿地建设。</w:t>
      </w:r>
    </w:p>
    <w:p w14:paraId="23FC7F3F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第十条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居住区和单位附属绿地应严格执行城市绿化规划建设指标的规定，不得任意降低绿化用地指标。</w:t>
      </w:r>
    </w:p>
    <w:p w14:paraId="7B43235C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第十一条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各类工程建设要与其配套的绿化工程同步设计，同步施工，同步验收。建设单位应当于绿化工程竣工验收后，将竣工验收资料报城市绿化行政主管部门备案。</w:t>
      </w:r>
    </w:p>
    <w:p w14:paraId="36EDFD1A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第十二条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城市绿线内的用地，不得擅自改作他用，不得违反法律法规、强制性标准以及批准的规划进行开发建设。</w:t>
      </w:r>
    </w:p>
    <w:p w14:paraId="0BF45697">
      <w:pPr>
        <w:shd w:val="clear"/>
        <w:autoSpaceDE w:val="0"/>
        <w:autoSpaceDN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有关部门不得违反规定，批准在城市绿线范围内进行建设。</w:t>
      </w:r>
    </w:p>
    <w:p w14:paraId="107C6183">
      <w:pPr>
        <w:shd w:val="clear"/>
        <w:autoSpaceDE w:val="0"/>
        <w:autoSpaceDN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因建设或者其他特殊情况，需要临时占用城市绿线内用地的，必须依法办理相关审批手续。</w:t>
      </w:r>
    </w:p>
    <w:p w14:paraId="036F6D59">
      <w:pPr>
        <w:shd w:val="clear"/>
        <w:autoSpaceDE w:val="0"/>
        <w:autoSpaceDN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在城市绿线范围内，不符合规划要求的建筑物、构筑物及其他设施应当限期迁出。</w:t>
      </w:r>
    </w:p>
    <w:p w14:paraId="2601DDAA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第十三条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任何单位和个人不得在城市绿线范围内进行拦河截溪、取土采石、设置垃圾堆场、排放污水以及其他对生态环境构成破坏的活动。</w:t>
      </w:r>
    </w:p>
    <w:p w14:paraId="33AE1139">
      <w:pPr>
        <w:shd w:val="clear"/>
        <w:autoSpaceDE w:val="0"/>
        <w:autoSpaceDN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短期内不进行绿化建设的规划绿线范围内的建设活动，应当进行生态环境影响分析，予以严格控制。</w:t>
      </w:r>
    </w:p>
    <w:p w14:paraId="1485341A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第十四条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市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自然资源和规划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、园林绿化主管部门按照职责分工，对城市绿线的控制和实施情况进行定期检查，并向市人民政府和上级主管部门报告。</w:t>
      </w:r>
    </w:p>
    <w:p w14:paraId="79FE7606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第十五条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违反规定擅自改变城市绿线内土地用途、占用或者破坏城市绿地的，由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自然资源和规划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、园林绿化、城市管理主管部门，依据各自的职责，按照法律、法规、规章的有关规定实施处罚。</w:t>
      </w:r>
    </w:p>
    <w:p w14:paraId="64EC9077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第十六条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违反规定在已经划定的城市绿线范围内审批建设项目的，对有关责任人员给予行政处分；构成犯罪的，依法追究刑事责任。</w:t>
      </w:r>
    </w:p>
    <w:p w14:paraId="24AF48EA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第十七条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中心城区范围外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的绿线划定、监督和管理，可参照本细则执行。</w:t>
      </w:r>
    </w:p>
    <w:p w14:paraId="188F2F1D">
      <w:pPr>
        <w:shd w:val="clear"/>
        <w:autoSpaceDE w:val="0"/>
        <w:autoSpaceDN w:val="0"/>
        <w:snapToGrid w:val="0"/>
        <w:spacing w:line="580" w:lineRule="exact"/>
        <w:ind w:firstLine="643" w:firstLineChars="200"/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napToGrid w:val="0"/>
          <w:kern w:val="0"/>
          <w:sz w:val="32"/>
          <w:szCs w:val="32"/>
        </w:rPr>
        <w:t>第十八条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本细则自</w:t>
      </w:r>
      <w:r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日起施行。原太仓市人民政府20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月2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日发布的《太仓市城市绿线管理实施细则》(太政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发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〔20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〕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napToGrid w:val="0"/>
          <w:kern w:val="0"/>
          <w:sz w:val="32"/>
          <w:szCs w:val="32"/>
        </w:rPr>
        <w:t>1号)停止执行。</w:t>
      </w:r>
    </w:p>
    <w:p w14:paraId="04403090">
      <w:pPr>
        <w:shd w:val="clear"/>
        <w:autoSpaceDE w:val="0"/>
        <w:autoSpaceDN w:val="0"/>
        <w:snapToGrid w:val="0"/>
        <w:spacing w:line="580" w:lineRule="exact"/>
        <w:ind w:firstLine="0"/>
        <w:rPr>
          <w:rFonts w:hint="eastAsia" w:ascii="Times New Roman" w:hAnsi="Times New Roman" w:eastAsia="汉鼎简仿宋" w:cs="Times New Roman"/>
          <w:snapToGrid w:val="0"/>
          <w:kern w:val="0"/>
          <w:sz w:val="32"/>
          <w:szCs w:val="20"/>
        </w:rPr>
      </w:pPr>
    </w:p>
    <w:p w14:paraId="7EDC162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 w14:paraId="5049D917">
      <w:pPr>
        <w:shd w:val="clea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0F9201E-5160-4EA6-A201-77908C9262E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FC4DDA2-1AA3-480A-A6CF-DAD63A3F9EF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9457969-A7D1-4F06-8094-EBF945E3A13F}"/>
  </w:font>
  <w:font w:name="汉鼎简仿宋">
    <w:altName w:val="仿宋"/>
    <w:panose1 w:val="02010609010101010101"/>
    <w:charset w:val="86"/>
    <w:family w:val="modern"/>
    <w:pitch w:val="default"/>
    <w:sig w:usb0="00000000" w:usb1="00000000" w:usb2="00000010" w:usb3="00000000" w:csb0="00040000" w:csb1="00000000"/>
    <w:embedRegular r:id="rId4" w:fontKey="{3C048B18-686B-4566-A64B-5A3D414AE3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9358D"/>
    <w:rsid w:val="0F57468E"/>
    <w:rsid w:val="119E1AC1"/>
    <w:rsid w:val="2CF808D7"/>
    <w:rsid w:val="37C93D50"/>
    <w:rsid w:val="41D309F3"/>
    <w:rsid w:val="5028330E"/>
    <w:rsid w:val="55096095"/>
    <w:rsid w:val="68F026FA"/>
    <w:rsid w:val="6C751D04"/>
    <w:rsid w:val="7F53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1827</Words>
  <Characters>1868</Characters>
  <Lines>0</Lines>
  <Paragraphs>0</Paragraphs>
  <TotalTime>2</TotalTime>
  <ScaleCrop>false</ScaleCrop>
  <LinksUpToDate>false</LinksUpToDate>
  <CharactersWithSpaces>1912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2025-07-07T05:54:00Z</dcterms:created>
  <dc:creator>admin</dc:creator>
  <cp:lastModifiedBy>家有三顾</cp:lastModifiedBy>
  <dcterms:modified xsi:type="dcterms:W3CDTF">2025-07-21T07:32:06Z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eyJoZGlkIjoiZjk5MmVkNTlmN2JlZTkwYmU0ZGI5M2M4OGRiZGExOTkiLCJ1c2VySWQiOiI0MjI1ODQ3MzEifQ==</vt:lpwstr>
  </property>
  <property fmtid="{D5CDD505-2E9C-101B-9397-08002B2CF9AE}" pid="4" name="ICV">
    <vt:lpwstr>9C2463BB9DF547A59133032A6C5B555A_13</vt:lpwstr>
  </property>
</Properties>
</file>