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BA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4"/>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spacing w:val="-4"/>
          <w:kern w:val="2"/>
          <w:sz w:val="44"/>
          <w:szCs w:val="44"/>
          <w:lang w:val="en-US" w:eastAsia="zh-CN" w:bidi="ar-SA"/>
        </w:rPr>
        <w:t>关于2026年度全国会计专业技术中级资格考试（苏州考区-太仓考点）有关事项的通知</w:t>
      </w:r>
    </w:p>
    <w:p w14:paraId="3C495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firstLine="616" w:firstLineChars="200"/>
        <w:jc w:val="left"/>
        <w:textAlignment w:val="auto"/>
        <w:outlineLvl w:val="9"/>
        <w:rPr>
          <w:rFonts w:hint="default" w:ascii="仿宋_GB2312" w:hAnsi="仿宋_GB2312" w:eastAsia="仿宋_GB2312" w:cs="仿宋_GB2312"/>
          <w:b w:val="0"/>
          <w:bCs w:val="0"/>
          <w:spacing w:val="-4"/>
          <w:kern w:val="2"/>
          <w:sz w:val="32"/>
          <w:szCs w:val="32"/>
          <w:lang w:val="en-US" w:eastAsia="zh-CN" w:bidi="ar-SA"/>
        </w:rPr>
      </w:pPr>
    </w:p>
    <w:p w14:paraId="4ED12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outlineLvl w:val="9"/>
        <w:rPr>
          <w:rFonts w:hint="default"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b w:val="0"/>
          <w:bCs w:val="0"/>
          <w:spacing w:val="-4"/>
          <w:kern w:val="2"/>
          <w:sz w:val="32"/>
          <w:szCs w:val="32"/>
          <w:lang w:val="en-US" w:eastAsia="zh-CN" w:bidi="ar-SA"/>
        </w:rPr>
        <w:t>各有关单位及个人：</w:t>
      </w:r>
    </w:p>
    <w:p w14:paraId="5D5B02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firstLine="616" w:firstLineChars="200"/>
        <w:jc w:val="left"/>
        <w:textAlignment w:val="auto"/>
        <w:outlineLvl w:val="9"/>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b w:val="0"/>
          <w:bCs w:val="0"/>
          <w:spacing w:val="-4"/>
          <w:kern w:val="2"/>
          <w:sz w:val="32"/>
          <w:szCs w:val="32"/>
          <w:lang w:val="en-US" w:eastAsia="zh-CN" w:bidi="ar-SA"/>
        </w:rPr>
        <w:t>根据江苏省财政厅、江苏省人力资源和社会保障厅《关于2026年度全国会计专业技术中级资格考试（江苏考区）考务日程安排及有关事项的通知》（苏财会〔2025〕86号 ）及苏州市财政局、苏州市人力资源和社会保障局《关于2026年度全国会计专业技术中级资格考试（苏州考区）有关事项的通知》（苏州财会〔2026〕11号）要求，2026年度全国会计专业技术中级资格无纸化考试定于2026年9月举行，考生按属地原则选择考试报名系统中公布的报名点报名。现将我市2026年度</w:t>
      </w:r>
      <w:r>
        <w:rPr>
          <w:rFonts w:hint="eastAsia" w:ascii="仿宋_GB2312" w:hAnsi="仿宋_GB2312" w:eastAsia="仿宋_GB2312" w:cs="仿宋_GB2312"/>
          <w:spacing w:val="-4"/>
          <w:kern w:val="2"/>
          <w:sz w:val="32"/>
          <w:szCs w:val="32"/>
          <w:lang w:val="en-US" w:eastAsia="zh-CN" w:bidi="ar-SA"/>
        </w:rPr>
        <w:t>会计专业技术中级资格考试</w:t>
      </w:r>
      <w:r>
        <w:rPr>
          <w:rFonts w:hint="eastAsia" w:ascii="仿宋_GB2312" w:hAnsi="仿宋_GB2312" w:eastAsia="仿宋_GB2312" w:cs="仿宋_GB2312"/>
          <w:b w:val="0"/>
          <w:bCs w:val="0"/>
          <w:spacing w:val="-4"/>
          <w:kern w:val="2"/>
          <w:sz w:val="32"/>
          <w:szCs w:val="32"/>
          <w:lang w:val="en-US" w:eastAsia="zh-CN" w:bidi="ar-SA"/>
        </w:rPr>
        <w:t>（苏州考区-太仓考点）报名工作有关事项通知如下：</w:t>
      </w:r>
    </w:p>
    <w:p w14:paraId="7ACDE919">
      <w:pPr>
        <w:keepNext w:val="0"/>
        <w:keepLines w:val="0"/>
        <w:pageBreakBefore w:val="0"/>
        <w:numPr>
          <w:ilvl w:val="0"/>
          <w:numId w:val="0"/>
        </w:numPr>
        <w:tabs>
          <w:tab w:val="left" w:pos="2475"/>
        </w:tabs>
        <w:kinsoku/>
        <w:wordWrap/>
        <w:overflowPunct/>
        <w:topLinePunct w:val="0"/>
        <w:autoSpaceDE w:val="0"/>
        <w:autoSpaceDN w:val="0"/>
        <w:bidi w:val="0"/>
        <w:adjustRightInd w:val="0"/>
        <w:snapToGrid w:val="0"/>
        <w:spacing w:line="580" w:lineRule="exact"/>
        <w:ind w:left="0" w:leftChars="0" w:firstLine="616" w:firstLineChars="200"/>
        <w:jc w:val="left"/>
        <w:textAlignment w:val="auto"/>
        <w:rPr>
          <w:rFonts w:hint="eastAsia"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lang w:val="en-US" w:eastAsia="zh-CN" w:bidi="ar-SA"/>
        </w:rPr>
        <w:t>一、</w:t>
      </w:r>
      <w:r>
        <w:rPr>
          <w:rFonts w:hint="eastAsia" w:ascii="黑体" w:hAnsi="黑体" w:eastAsia="黑体" w:cs="黑体"/>
          <w:snapToGrid w:val="0"/>
          <w:spacing w:val="-4"/>
          <w:kern w:val="0"/>
          <w:sz w:val="32"/>
          <w:szCs w:val="32"/>
        </w:rPr>
        <w:t>报名条件</w:t>
      </w:r>
    </w:p>
    <w:p w14:paraId="77B188EE">
      <w:pPr>
        <w:keepNext w:val="0"/>
        <w:keepLines w:val="0"/>
        <w:pageBreakBefore w:val="0"/>
        <w:numPr>
          <w:ilvl w:val="0"/>
          <w:numId w:val="0"/>
        </w:numPr>
        <w:tabs>
          <w:tab w:val="left" w:pos="2475"/>
        </w:tabs>
        <w:kinsoku/>
        <w:wordWrap/>
        <w:overflowPunct/>
        <w:topLinePunct w:val="0"/>
        <w:autoSpaceDE w:val="0"/>
        <w:autoSpaceDN w:val="0"/>
        <w:bidi w:val="0"/>
        <w:adjustRightInd w:val="0"/>
        <w:snapToGrid w:val="0"/>
        <w:spacing w:line="580" w:lineRule="exact"/>
        <w:ind w:left="0" w:leftChars="0" w:firstLine="616" w:firstLineChars="200"/>
        <w:jc w:val="left"/>
        <w:textAlignment w:val="auto"/>
        <w:rPr>
          <w:rFonts w:hint="default" w:ascii="仿宋_GB2312" w:hAnsi="仿宋_GB2312" w:eastAsia="仿宋_GB2312" w:cs="仿宋_GB2312"/>
          <w:b/>
          <w:bCs/>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（一）基本条件</w:t>
      </w:r>
    </w:p>
    <w:p w14:paraId="1F2821A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rightChars="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报名参加会计专业技术中级资格考试的人员，应具备下列条件：</w:t>
      </w:r>
    </w:p>
    <w:p w14:paraId="58C4053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rightChars="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1.遵守《中华人民共和国会计法》和国家统一的会计制度等法律法规；</w:t>
      </w:r>
    </w:p>
    <w:p w14:paraId="34AC56A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rightChars="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2.具备良好的职业道德，无严重违反财经纪律的行为；</w:t>
      </w:r>
    </w:p>
    <w:p w14:paraId="6754914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rightChars="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3.热爱会计工作，具备相应的会计专业知识和业务技能。</w:t>
      </w:r>
    </w:p>
    <w:p w14:paraId="28B4EC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16" w:firstLineChars="200"/>
        <w:jc w:val="both"/>
        <w:textAlignment w:val="auto"/>
        <w:rPr>
          <w:rFonts w:hint="eastAsia" w:ascii="楷体_GB2312" w:hAnsi="楷体_GB2312" w:eastAsia="楷体_GB2312" w:cs="楷体_GB2312"/>
          <w:b w:val="0"/>
          <w:bCs w:val="0"/>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（二）具体条件</w:t>
      </w:r>
    </w:p>
    <w:p w14:paraId="328EC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报名参加中级资格考试的人员，除具备基本条件外，还必须具备下列条件之一：</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3702"/>
        <w:gridCol w:w="2268"/>
        <w:gridCol w:w="2553"/>
      </w:tblGrid>
      <w:tr w14:paraId="3106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617FDD57">
            <w:pPr>
              <w:keepNext w:val="0"/>
              <w:keepLines w:val="0"/>
              <w:pageBreakBefore w:val="0"/>
              <w:kinsoku/>
              <w:wordWrap/>
              <w:overflowPunct/>
              <w:topLinePunct w:val="0"/>
              <w:bidi w:val="0"/>
              <w:snapToGrid w:val="0"/>
              <w:spacing w:line="580" w:lineRule="exact"/>
              <w:ind w:firstLine="456" w:firstLineChars="200"/>
              <w:jc w:val="center"/>
              <w:textAlignment w:val="auto"/>
              <w:rPr>
                <w:rFonts w:hint="eastAsia" w:ascii="黑体" w:hAnsi="黑体" w:eastAsia="黑体" w:cs="黑体"/>
                <w:spacing w:val="-4"/>
                <w:kern w:val="0"/>
                <w:sz w:val="24"/>
              </w:rPr>
            </w:pPr>
          </w:p>
        </w:tc>
        <w:tc>
          <w:tcPr>
            <w:tcW w:w="2019" w:type="pct"/>
            <w:noWrap w:val="0"/>
            <w:vAlign w:val="center"/>
          </w:tcPr>
          <w:p w14:paraId="1F9A1744">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黑体" w:hAnsi="黑体" w:eastAsia="黑体" w:cs="黑体"/>
                <w:spacing w:val="-4"/>
                <w:kern w:val="0"/>
                <w:sz w:val="24"/>
              </w:rPr>
            </w:pPr>
            <w:r>
              <w:rPr>
                <w:rFonts w:hint="eastAsia" w:ascii="黑体" w:hAnsi="黑体" w:eastAsia="黑体" w:cs="黑体"/>
                <w:spacing w:val="-4"/>
                <w:kern w:val="0"/>
                <w:sz w:val="24"/>
              </w:rPr>
              <w:t>学历要求</w:t>
            </w:r>
          </w:p>
        </w:tc>
        <w:tc>
          <w:tcPr>
            <w:tcW w:w="1237" w:type="pct"/>
            <w:noWrap w:val="0"/>
            <w:vAlign w:val="center"/>
          </w:tcPr>
          <w:p w14:paraId="131A020B">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黑体" w:hAnsi="黑体" w:eastAsia="黑体" w:cs="黑体"/>
                <w:spacing w:val="-4"/>
                <w:kern w:val="0"/>
                <w:sz w:val="24"/>
              </w:rPr>
            </w:pPr>
            <w:r>
              <w:rPr>
                <w:rFonts w:hint="eastAsia" w:ascii="黑体" w:hAnsi="黑体" w:eastAsia="黑体" w:cs="黑体"/>
                <w:spacing w:val="-4"/>
                <w:kern w:val="0"/>
                <w:sz w:val="24"/>
              </w:rPr>
              <w:t>会计工作年限要求</w:t>
            </w:r>
          </w:p>
        </w:tc>
        <w:tc>
          <w:tcPr>
            <w:tcW w:w="1392" w:type="pct"/>
            <w:noWrap w:val="0"/>
            <w:vAlign w:val="center"/>
          </w:tcPr>
          <w:p w14:paraId="39CC599A">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黑体" w:hAnsi="黑体" w:eastAsia="黑体" w:cs="黑体"/>
                <w:spacing w:val="-4"/>
                <w:kern w:val="0"/>
                <w:sz w:val="24"/>
              </w:rPr>
            </w:pPr>
            <w:r>
              <w:rPr>
                <w:rFonts w:hint="eastAsia" w:ascii="黑体" w:hAnsi="黑体" w:eastAsia="黑体" w:cs="黑体"/>
                <w:spacing w:val="-4"/>
                <w:kern w:val="0"/>
                <w:sz w:val="24"/>
              </w:rPr>
              <w:t>起始从事会计工作时间</w:t>
            </w:r>
          </w:p>
        </w:tc>
      </w:tr>
      <w:tr w14:paraId="0258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49945911">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仿宋" w:hAnsi="仿宋" w:eastAsia="仿宋" w:cs="宋体"/>
                <w:spacing w:val="-4"/>
                <w:kern w:val="0"/>
                <w:sz w:val="24"/>
                <w:lang w:val="en-US" w:eastAsia="zh-CN"/>
              </w:rPr>
            </w:pPr>
            <w:r>
              <w:rPr>
                <w:rFonts w:hint="eastAsia" w:ascii="仿宋" w:hAnsi="仿宋" w:cs="宋体"/>
                <w:spacing w:val="-4"/>
                <w:kern w:val="0"/>
                <w:sz w:val="24"/>
                <w:lang w:val="en-US" w:eastAsia="zh-CN"/>
              </w:rPr>
              <w:t>1</w:t>
            </w:r>
          </w:p>
        </w:tc>
        <w:tc>
          <w:tcPr>
            <w:tcW w:w="2019" w:type="pct"/>
            <w:noWrap w:val="0"/>
            <w:vAlign w:val="center"/>
          </w:tcPr>
          <w:p w14:paraId="56E3F501">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取得大学专科学历</w:t>
            </w:r>
          </w:p>
        </w:tc>
        <w:tc>
          <w:tcPr>
            <w:tcW w:w="1237" w:type="pct"/>
            <w:noWrap w:val="0"/>
            <w:vAlign w:val="center"/>
          </w:tcPr>
          <w:p w14:paraId="6119D2C8">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从事会计工作满</w:t>
            </w:r>
            <w:r>
              <w:rPr>
                <w:rFonts w:hint="eastAsia" w:ascii="仿宋" w:hAnsi="仿宋" w:eastAsia="仿宋" w:cs="宋体"/>
                <w:spacing w:val="-4"/>
                <w:kern w:val="0"/>
                <w:sz w:val="24"/>
              </w:rPr>
              <w:t>5年</w:t>
            </w:r>
          </w:p>
        </w:tc>
        <w:tc>
          <w:tcPr>
            <w:tcW w:w="1392" w:type="pct"/>
            <w:noWrap w:val="0"/>
            <w:vAlign w:val="center"/>
          </w:tcPr>
          <w:p w14:paraId="3C6A6CCF">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20</w:t>
            </w:r>
            <w:r>
              <w:rPr>
                <w:rFonts w:hint="eastAsia" w:ascii="仿宋" w:hAnsi="仿宋" w:cs="宋体"/>
                <w:spacing w:val="-4"/>
                <w:kern w:val="0"/>
                <w:sz w:val="24"/>
                <w:lang w:val="en-US" w:eastAsia="zh-CN"/>
              </w:rPr>
              <w:t>21</w:t>
            </w:r>
            <w:r>
              <w:rPr>
                <w:rFonts w:hint="eastAsia" w:ascii="仿宋" w:hAnsi="仿宋" w:eastAsia="仿宋" w:cs="宋体"/>
                <w:spacing w:val="-4"/>
                <w:kern w:val="0"/>
                <w:sz w:val="24"/>
              </w:rPr>
              <w:t>年12月31日前</w:t>
            </w:r>
          </w:p>
        </w:tc>
      </w:tr>
      <w:tr w14:paraId="4711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0EC0A1E5">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仿宋" w:hAnsi="仿宋" w:eastAsia="仿宋" w:cs="宋体"/>
                <w:spacing w:val="-4"/>
                <w:kern w:val="0"/>
                <w:sz w:val="24"/>
                <w:lang w:val="en-US" w:eastAsia="zh-CN"/>
              </w:rPr>
            </w:pPr>
            <w:r>
              <w:rPr>
                <w:rFonts w:hint="eastAsia" w:ascii="仿宋" w:hAnsi="仿宋" w:cs="宋体"/>
                <w:spacing w:val="-4"/>
                <w:kern w:val="0"/>
                <w:sz w:val="24"/>
                <w:lang w:val="en-US" w:eastAsia="zh-CN"/>
              </w:rPr>
              <w:t>2</w:t>
            </w:r>
          </w:p>
        </w:tc>
        <w:tc>
          <w:tcPr>
            <w:tcW w:w="2019" w:type="pct"/>
            <w:noWrap w:val="0"/>
            <w:vAlign w:val="center"/>
          </w:tcPr>
          <w:p w14:paraId="2A6BEE89">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取得大学本科学历</w:t>
            </w:r>
            <w:r>
              <w:rPr>
                <w:rFonts w:hint="eastAsia" w:ascii="仿宋" w:hAnsi="仿宋" w:eastAsia="仿宋" w:cs="宋体"/>
                <w:spacing w:val="-4"/>
                <w:kern w:val="0"/>
                <w:sz w:val="24"/>
              </w:rPr>
              <w:t>或学士学位</w:t>
            </w:r>
          </w:p>
        </w:tc>
        <w:tc>
          <w:tcPr>
            <w:tcW w:w="1237" w:type="pct"/>
            <w:noWrap w:val="0"/>
            <w:vAlign w:val="center"/>
          </w:tcPr>
          <w:p w14:paraId="415FFEF8">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从事会计工作满</w:t>
            </w:r>
            <w:r>
              <w:rPr>
                <w:rFonts w:hint="eastAsia" w:ascii="仿宋" w:hAnsi="仿宋" w:eastAsia="仿宋" w:cs="宋体"/>
                <w:spacing w:val="-4"/>
                <w:kern w:val="0"/>
                <w:sz w:val="24"/>
              </w:rPr>
              <w:t>4年</w:t>
            </w:r>
          </w:p>
        </w:tc>
        <w:tc>
          <w:tcPr>
            <w:tcW w:w="1392" w:type="pct"/>
            <w:noWrap w:val="0"/>
            <w:vAlign w:val="center"/>
          </w:tcPr>
          <w:p w14:paraId="06639909">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20</w:t>
            </w:r>
            <w:r>
              <w:rPr>
                <w:rFonts w:hint="eastAsia" w:ascii="仿宋" w:hAnsi="仿宋" w:cs="宋体"/>
                <w:spacing w:val="-4"/>
                <w:kern w:val="0"/>
                <w:sz w:val="24"/>
                <w:lang w:val="en-US" w:eastAsia="zh-CN"/>
              </w:rPr>
              <w:t>22</w:t>
            </w:r>
            <w:r>
              <w:rPr>
                <w:rFonts w:hint="eastAsia" w:ascii="仿宋" w:hAnsi="仿宋" w:eastAsia="仿宋" w:cs="宋体"/>
                <w:spacing w:val="-4"/>
                <w:kern w:val="0"/>
                <w:sz w:val="24"/>
              </w:rPr>
              <w:t>年12月31日前</w:t>
            </w:r>
          </w:p>
        </w:tc>
      </w:tr>
      <w:tr w14:paraId="22ED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4663D0A1">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仿宋" w:hAnsi="仿宋" w:eastAsia="仿宋" w:cs="宋体"/>
                <w:spacing w:val="-4"/>
                <w:kern w:val="0"/>
                <w:sz w:val="24"/>
                <w:lang w:val="en-US" w:eastAsia="zh-CN"/>
              </w:rPr>
            </w:pPr>
            <w:r>
              <w:rPr>
                <w:rFonts w:hint="eastAsia" w:ascii="仿宋" w:hAnsi="仿宋" w:cs="宋体"/>
                <w:spacing w:val="-4"/>
                <w:kern w:val="0"/>
                <w:sz w:val="24"/>
                <w:lang w:val="en-US" w:eastAsia="zh-CN"/>
              </w:rPr>
              <w:t>3</w:t>
            </w:r>
          </w:p>
        </w:tc>
        <w:tc>
          <w:tcPr>
            <w:tcW w:w="2019" w:type="pct"/>
            <w:noWrap w:val="0"/>
            <w:vAlign w:val="center"/>
          </w:tcPr>
          <w:p w14:paraId="55CC3324">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取得第二学士学位或研究生班毕业</w:t>
            </w:r>
          </w:p>
        </w:tc>
        <w:tc>
          <w:tcPr>
            <w:tcW w:w="1237" w:type="pct"/>
            <w:noWrap w:val="0"/>
            <w:vAlign w:val="center"/>
          </w:tcPr>
          <w:p w14:paraId="018FCF0E">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从事会计工作满</w:t>
            </w:r>
            <w:r>
              <w:rPr>
                <w:rFonts w:hint="eastAsia" w:ascii="仿宋" w:hAnsi="仿宋" w:eastAsia="仿宋" w:cs="宋体"/>
                <w:spacing w:val="-4"/>
                <w:kern w:val="0"/>
                <w:sz w:val="24"/>
              </w:rPr>
              <w:t>2年</w:t>
            </w:r>
          </w:p>
        </w:tc>
        <w:tc>
          <w:tcPr>
            <w:tcW w:w="1392" w:type="pct"/>
            <w:noWrap w:val="0"/>
            <w:vAlign w:val="center"/>
          </w:tcPr>
          <w:p w14:paraId="7ECCF222">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202</w:t>
            </w:r>
            <w:r>
              <w:rPr>
                <w:rFonts w:hint="eastAsia" w:ascii="仿宋" w:hAnsi="仿宋" w:cs="宋体"/>
                <w:spacing w:val="-4"/>
                <w:kern w:val="0"/>
                <w:sz w:val="24"/>
                <w:lang w:val="en-US" w:eastAsia="zh-CN"/>
              </w:rPr>
              <w:t>4</w:t>
            </w:r>
            <w:r>
              <w:rPr>
                <w:rFonts w:hint="eastAsia" w:ascii="仿宋" w:hAnsi="仿宋" w:eastAsia="仿宋" w:cs="宋体"/>
                <w:spacing w:val="-4"/>
                <w:kern w:val="0"/>
                <w:sz w:val="24"/>
              </w:rPr>
              <w:t>年12月31日前</w:t>
            </w:r>
          </w:p>
        </w:tc>
      </w:tr>
      <w:tr w14:paraId="3AE2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62533660">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仿宋" w:hAnsi="仿宋" w:eastAsia="仿宋" w:cs="宋体"/>
                <w:spacing w:val="-4"/>
                <w:kern w:val="0"/>
                <w:sz w:val="24"/>
                <w:lang w:val="en-US" w:eastAsia="zh-CN"/>
              </w:rPr>
            </w:pPr>
            <w:r>
              <w:rPr>
                <w:rFonts w:hint="eastAsia" w:ascii="仿宋" w:hAnsi="仿宋" w:cs="宋体"/>
                <w:spacing w:val="-4"/>
                <w:kern w:val="0"/>
                <w:sz w:val="24"/>
                <w:lang w:val="en-US" w:eastAsia="zh-CN"/>
              </w:rPr>
              <w:t>4</w:t>
            </w:r>
          </w:p>
        </w:tc>
        <w:tc>
          <w:tcPr>
            <w:tcW w:w="2019" w:type="pct"/>
            <w:noWrap w:val="0"/>
            <w:vAlign w:val="center"/>
          </w:tcPr>
          <w:p w14:paraId="7A9AA075">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取得硕士学位</w:t>
            </w:r>
          </w:p>
        </w:tc>
        <w:tc>
          <w:tcPr>
            <w:tcW w:w="1237" w:type="pct"/>
            <w:noWrap w:val="0"/>
            <w:vAlign w:val="center"/>
          </w:tcPr>
          <w:p w14:paraId="235FAFD7">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从事会计工作满</w:t>
            </w:r>
            <w:r>
              <w:rPr>
                <w:rFonts w:hint="eastAsia" w:ascii="仿宋" w:hAnsi="仿宋" w:eastAsia="仿宋" w:cs="宋体"/>
                <w:spacing w:val="-4"/>
                <w:kern w:val="0"/>
                <w:sz w:val="24"/>
              </w:rPr>
              <w:t>1年</w:t>
            </w:r>
          </w:p>
        </w:tc>
        <w:tc>
          <w:tcPr>
            <w:tcW w:w="1392" w:type="pct"/>
            <w:noWrap w:val="0"/>
            <w:vAlign w:val="center"/>
          </w:tcPr>
          <w:p w14:paraId="69E027FC">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202</w:t>
            </w:r>
            <w:r>
              <w:rPr>
                <w:rFonts w:hint="eastAsia" w:ascii="仿宋" w:hAnsi="仿宋" w:cs="宋体"/>
                <w:spacing w:val="-4"/>
                <w:kern w:val="0"/>
                <w:sz w:val="24"/>
                <w:lang w:val="en-US" w:eastAsia="zh-CN"/>
              </w:rPr>
              <w:t>5</w:t>
            </w:r>
            <w:r>
              <w:rPr>
                <w:rFonts w:hint="eastAsia" w:ascii="仿宋" w:hAnsi="仿宋" w:eastAsia="仿宋" w:cs="宋体"/>
                <w:spacing w:val="-4"/>
                <w:kern w:val="0"/>
                <w:sz w:val="24"/>
              </w:rPr>
              <w:t>年12月31日前</w:t>
            </w:r>
          </w:p>
        </w:tc>
      </w:tr>
      <w:tr w14:paraId="21F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62F56C31">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eastAsia" w:ascii="仿宋" w:hAnsi="仿宋" w:eastAsia="仿宋" w:cs="宋体"/>
                <w:spacing w:val="-4"/>
                <w:kern w:val="0"/>
                <w:sz w:val="24"/>
                <w:lang w:val="en-US" w:eastAsia="zh-CN"/>
              </w:rPr>
            </w:pPr>
            <w:r>
              <w:rPr>
                <w:rFonts w:hint="eastAsia" w:ascii="仿宋" w:hAnsi="仿宋" w:cs="宋体"/>
                <w:spacing w:val="-4"/>
                <w:kern w:val="0"/>
                <w:sz w:val="24"/>
                <w:lang w:val="en-US" w:eastAsia="zh-CN"/>
              </w:rPr>
              <w:t>5</w:t>
            </w:r>
          </w:p>
        </w:tc>
        <w:tc>
          <w:tcPr>
            <w:tcW w:w="2019" w:type="pct"/>
            <w:noWrap w:val="0"/>
            <w:vAlign w:val="center"/>
          </w:tcPr>
          <w:p w14:paraId="0622D7AE">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取得博士学位</w:t>
            </w:r>
          </w:p>
        </w:tc>
        <w:tc>
          <w:tcPr>
            <w:tcW w:w="1237" w:type="pct"/>
            <w:noWrap w:val="0"/>
            <w:vAlign w:val="center"/>
          </w:tcPr>
          <w:p w14:paraId="1A6E2362">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w:t>
            </w:r>
          </w:p>
        </w:tc>
        <w:tc>
          <w:tcPr>
            <w:tcW w:w="1392" w:type="pct"/>
            <w:noWrap w:val="0"/>
            <w:vAlign w:val="center"/>
          </w:tcPr>
          <w:p w14:paraId="29BECBCB">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w:t>
            </w:r>
          </w:p>
        </w:tc>
      </w:tr>
      <w:tr w14:paraId="48F5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1" w:type="pct"/>
            <w:noWrap w:val="0"/>
            <w:vAlign w:val="center"/>
          </w:tcPr>
          <w:p w14:paraId="61616388">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hint="default" w:ascii="仿宋" w:hAnsi="仿宋" w:cs="宋体"/>
                <w:spacing w:val="-4"/>
                <w:kern w:val="0"/>
                <w:sz w:val="24"/>
                <w:lang w:val="en-US" w:eastAsia="zh-CN"/>
              </w:rPr>
            </w:pPr>
            <w:r>
              <w:rPr>
                <w:rFonts w:hint="eastAsia" w:ascii="仿宋" w:hAnsi="仿宋" w:cs="宋体"/>
                <w:spacing w:val="-4"/>
                <w:kern w:val="0"/>
                <w:sz w:val="24"/>
                <w:lang w:val="en-US" w:eastAsia="zh-CN"/>
              </w:rPr>
              <w:t>6</w:t>
            </w:r>
          </w:p>
        </w:tc>
        <w:tc>
          <w:tcPr>
            <w:tcW w:w="2019" w:type="pct"/>
            <w:noWrap w:val="0"/>
            <w:vAlign w:val="center"/>
          </w:tcPr>
          <w:p w14:paraId="787C3D34">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hint="eastAsia" w:ascii="仿宋" w:hAnsi="仿宋" w:eastAsia="仿宋" w:cs="宋体"/>
                <w:spacing w:val="-4"/>
                <w:kern w:val="0"/>
                <w:sz w:val="24"/>
              </w:rPr>
              <w:t>取得经济、统计、审计专业技术中级资格</w:t>
            </w:r>
          </w:p>
        </w:tc>
        <w:tc>
          <w:tcPr>
            <w:tcW w:w="1237" w:type="pct"/>
            <w:noWrap w:val="0"/>
            <w:vAlign w:val="center"/>
          </w:tcPr>
          <w:p w14:paraId="74B542F4">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w:t>
            </w:r>
          </w:p>
        </w:tc>
        <w:tc>
          <w:tcPr>
            <w:tcW w:w="1392" w:type="pct"/>
            <w:noWrap w:val="0"/>
            <w:vAlign w:val="center"/>
          </w:tcPr>
          <w:p w14:paraId="222C2B4C">
            <w:pPr>
              <w:keepNext w:val="0"/>
              <w:keepLines w:val="0"/>
              <w:pageBreakBefore w:val="0"/>
              <w:kinsoku/>
              <w:wordWrap/>
              <w:overflowPunct/>
              <w:topLinePunct w:val="0"/>
              <w:bidi w:val="0"/>
              <w:snapToGrid w:val="0"/>
              <w:spacing w:line="580" w:lineRule="exact"/>
              <w:ind w:left="0" w:leftChars="0" w:firstLine="0" w:firstLineChars="0"/>
              <w:jc w:val="center"/>
              <w:textAlignment w:val="auto"/>
              <w:rPr>
                <w:rFonts w:ascii="仿宋" w:hAnsi="仿宋" w:eastAsia="仿宋" w:cs="宋体"/>
                <w:spacing w:val="-4"/>
                <w:kern w:val="0"/>
                <w:sz w:val="24"/>
              </w:rPr>
            </w:pPr>
            <w:r>
              <w:rPr>
                <w:rFonts w:ascii="仿宋" w:hAnsi="仿宋" w:eastAsia="仿宋" w:cs="宋体"/>
                <w:spacing w:val="-4"/>
                <w:kern w:val="0"/>
                <w:sz w:val="24"/>
              </w:rPr>
              <w:t>------</w:t>
            </w:r>
          </w:p>
        </w:tc>
      </w:tr>
    </w:tbl>
    <w:p w14:paraId="2FB5D2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本通知所述学历或学位，是指经国家教育行政部门认可的学历或学位。</w:t>
      </w:r>
    </w:p>
    <w:p w14:paraId="5328F8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获得境内会计硕士专业学位、会计博士专业学位的人员，报考中级资格考试可免试《财务管理》科目。申请免试者应于2026年5月12日至6月25日通过全国会计人员统一服务管理平台“会计专业技术资格考试”模块提交免试申请，经审核确认后可以免试。以往年度已提交免试申请并经审核确认的人员，可在全国会计人员统一服务管理平台“会计专业技术资格考试”模块查询确认，无需再次申请。</w:t>
      </w:r>
    </w:p>
    <w:p w14:paraId="427D04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本通知所述有关会计工作年限，计算截止日期为</w:t>
      </w:r>
      <w:r>
        <w:rPr>
          <w:rFonts w:hint="eastAsia" w:ascii="仿宋_GB2312" w:hAnsi="仿宋_GB2312" w:eastAsia="仿宋_GB2312" w:cs="仿宋_GB2312"/>
          <w:b/>
          <w:bCs/>
          <w:spacing w:val="-4"/>
          <w:kern w:val="2"/>
          <w:sz w:val="32"/>
          <w:szCs w:val="32"/>
          <w:lang w:val="en-US" w:eastAsia="zh-CN" w:bidi="ar-SA"/>
        </w:rPr>
        <w:t>2026年12月31日，但必须扣除全日制在校学习时间，在校生利用业余时间勤工助学不视为正式从事会计工作，相应时间不应计入会计工作年限</w:t>
      </w:r>
      <w:r>
        <w:rPr>
          <w:rFonts w:hint="eastAsia" w:ascii="仿宋_GB2312" w:hAnsi="仿宋_GB2312" w:eastAsia="仿宋_GB2312" w:cs="仿宋_GB2312"/>
          <w:spacing w:val="-4"/>
          <w:kern w:val="2"/>
          <w:sz w:val="32"/>
          <w:szCs w:val="32"/>
          <w:lang w:val="en-US" w:eastAsia="zh-CN" w:bidi="ar-SA"/>
        </w:rPr>
        <w:t>。参加中级资格考试工作年限为取得规定学历前后从事会计工作时间的总和。外籍人员在境外的会计从业经历，可计入从事会计工作年限。</w:t>
      </w:r>
    </w:p>
    <w:p w14:paraId="4CC249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二、报考地域及考点选择</w:t>
      </w:r>
    </w:p>
    <w:p w14:paraId="68231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b/>
          <w:bCs/>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（一）报考地域规定：</w:t>
      </w:r>
    </w:p>
    <w:p w14:paraId="70427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1.符合报名条件的在职在岗人员，按属地化原则在其工作单位所在地报名。</w:t>
      </w:r>
    </w:p>
    <w:p w14:paraId="048EF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2.符合报名条件的在校学生，在其学籍所在地报名。</w:t>
      </w:r>
    </w:p>
    <w:p w14:paraId="3C5D41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3.符合报名条件的其他人员，在其户籍所在地或居住地报名。</w:t>
      </w:r>
    </w:p>
    <w:p w14:paraId="7C1EA4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4.符合报名条件的香港、澳门、台湾居民和外籍人员，按照就近方便原则在内地报名。在中国境内有工作单位的，在其工作单位所在地报名。</w:t>
      </w:r>
    </w:p>
    <w:p w14:paraId="10DBDE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eastAsia" w:ascii="楷体_GB2312" w:hAnsi="楷体_GB2312" w:eastAsia="楷体_GB2312" w:cs="楷体_GB2312"/>
          <w:i w:val="0"/>
          <w:iCs w:val="0"/>
          <w:caps w:val="0"/>
          <w:spacing w:val="-4"/>
          <w:kern w:val="2"/>
          <w:sz w:val="32"/>
          <w:szCs w:val="32"/>
        </w:rPr>
      </w:pPr>
      <w:r>
        <w:rPr>
          <w:rFonts w:hint="eastAsia" w:ascii="楷体_GB2312" w:hAnsi="楷体_GB2312" w:eastAsia="楷体_GB2312" w:cs="楷体_GB2312"/>
          <w:b w:val="0"/>
          <w:bCs w:val="0"/>
          <w:spacing w:val="-4"/>
          <w:kern w:val="2"/>
          <w:sz w:val="32"/>
          <w:szCs w:val="32"/>
          <w:lang w:val="en-US" w:eastAsia="zh-CN" w:bidi="ar-SA"/>
        </w:rPr>
        <w:t>（二）</w:t>
      </w:r>
      <w:r>
        <w:rPr>
          <w:rFonts w:hint="eastAsia" w:ascii="楷体_GB2312" w:hAnsi="楷体_GB2312" w:eastAsia="楷体_GB2312" w:cs="楷体_GB2312"/>
          <w:b w:val="0"/>
          <w:bCs w:val="0"/>
          <w:i w:val="0"/>
          <w:iCs w:val="0"/>
          <w:caps w:val="0"/>
          <w:spacing w:val="-4"/>
          <w:kern w:val="2"/>
          <w:sz w:val="32"/>
          <w:szCs w:val="32"/>
          <w:shd w:val="clear" w:color="auto" w:fill="auto"/>
        </w:rPr>
        <w:t>报名点选择：</w:t>
      </w:r>
    </w:p>
    <w:p w14:paraId="5D465E20">
      <w:pPr>
        <w:keepNext w:val="0"/>
        <w:keepLines w:val="0"/>
        <w:pageBreakBefore w:val="0"/>
        <w:kinsoku/>
        <w:wordWrap/>
        <w:overflowPunct/>
        <w:topLinePunct w:val="0"/>
        <w:bidi w:val="0"/>
        <w:spacing w:line="580" w:lineRule="exact"/>
        <w:ind w:firstLine="616" w:firstLineChars="200"/>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太仓市的考生请在网上报名系统“苏州市”考区下选择“太仓市”报名点报名。</w:t>
      </w:r>
    </w:p>
    <w:p w14:paraId="15BAD817">
      <w:pPr>
        <w:keepNext w:val="0"/>
        <w:keepLines w:val="0"/>
        <w:pageBreakBefore w:val="0"/>
        <w:kinsoku/>
        <w:wordWrap/>
        <w:overflowPunct/>
        <w:topLinePunct w:val="0"/>
        <w:bidi w:val="0"/>
        <w:spacing w:line="580" w:lineRule="exact"/>
        <w:ind w:firstLine="616" w:firstLineChars="200"/>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昆山、常熟不属“苏州市”考区，该地区考生请在“江苏省”下直接选择“昆山市”或“常熟市”考区报名。</w:t>
      </w:r>
    </w:p>
    <w:p w14:paraId="2CD7BF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三、报名费用</w:t>
      </w:r>
    </w:p>
    <w:p w14:paraId="5E2139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依据苏价费函〔2011〕30号规定，我省会计专业技术中级资格考试收费标准为：</w:t>
      </w:r>
    </w:p>
    <w:p w14:paraId="6DD31F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（一）</w:t>
      </w:r>
      <w:r>
        <w:rPr>
          <w:rFonts w:hint="eastAsia" w:ascii="仿宋_GB2312" w:hAnsi="仿宋_GB2312" w:eastAsia="仿宋_GB2312" w:cs="仿宋_GB2312"/>
          <w:spacing w:val="-4"/>
          <w:kern w:val="2"/>
          <w:sz w:val="32"/>
          <w:szCs w:val="32"/>
          <w:lang w:val="en-US" w:eastAsia="zh-CN" w:bidi="ar-SA"/>
        </w:rPr>
        <w:t>报名费，每人 10 元。</w:t>
      </w:r>
    </w:p>
    <w:p w14:paraId="7E5205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（二）</w:t>
      </w:r>
      <w:r>
        <w:rPr>
          <w:rFonts w:hint="eastAsia" w:ascii="仿宋_GB2312" w:hAnsi="仿宋_GB2312" w:eastAsia="仿宋_GB2312" w:cs="仿宋_GB2312"/>
          <w:spacing w:val="-4"/>
          <w:kern w:val="2"/>
          <w:sz w:val="32"/>
          <w:szCs w:val="32"/>
          <w:lang w:val="en-US" w:eastAsia="zh-CN" w:bidi="ar-SA"/>
        </w:rPr>
        <w:t>考试费，每科 60 元。</w:t>
      </w:r>
    </w:p>
    <w:p w14:paraId="26B498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四、考试科目和考试大纲</w:t>
      </w:r>
    </w:p>
    <w:p w14:paraId="2317C1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（一）</w:t>
      </w:r>
      <w:r>
        <w:rPr>
          <w:rFonts w:hint="eastAsia" w:ascii="仿宋_GB2312" w:hAnsi="仿宋_GB2312" w:eastAsia="仿宋_GB2312" w:cs="仿宋_GB2312"/>
          <w:spacing w:val="-4"/>
          <w:kern w:val="2"/>
          <w:sz w:val="32"/>
          <w:szCs w:val="32"/>
          <w:lang w:val="en-US" w:eastAsia="zh-CN" w:bidi="ar-SA"/>
        </w:rPr>
        <w:t>中级资格考试科目包括《中级会计实务》《财务管理》《经济法》。</w:t>
      </w:r>
    </w:p>
    <w:p w14:paraId="35E0ED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（二）</w:t>
      </w:r>
      <w:r>
        <w:rPr>
          <w:rFonts w:hint="eastAsia" w:ascii="仿宋_GB2312" w:hAnsi="仿宋_GB2312" w:eastAsia="仿宋_GB2312" w:cs="仿宋_GB2312"/>
          <w:spacing w:val="-4"/>
          <w:kern w:val="2"/>
          <w:sz w:val="32"/>
          <w:szCs w:val="32"/>
          <w:lang w:val="en-US" w:eastAsia="zh-CN" w:bidi="ar-SA"/>
        </w:rPr>
        <w:t>考试使用全国会计专业技术资格考试领导小组办公室制定的2026年度会计资格考试大纲。</w:t>
      </w:r>
    </w:p>
    <w:p w14:paraId="2E1DBD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楷体_GB2312" w:hAnsi="楷体_GB2312" w:eastAsia="楷体_GB2312" w:cs="楷体_GB2312"/>
          <w:spacing w:val="-4"/>
          <w:kern w:val="2"/>
          <w:sz w:val="32"/>
          <w:szCs w:val="32"/>
          <w:lang w:val="en-US" w:eastAsia="zh-CN" w:bidi="ar-SA"/>
        </w:rPr>
        <w:t>（三）</w:t>
      </w:r>
      <w:r>
        <w:rPr>
          <w:rFonts w:hint="eastAsia" w:ascii="仿宋_GB2312" w:hAnsi="仿宋_GB2312" w:eastAsia="仿宋_GB2312" w:cs="仿宋_GB2312"/>
          <w:spacing w:val="-4"/>
          <w:kern w:val="2"/>
          <w:sz w:val="32"/>
          <w:szCs w:val="32"/>
          <w:lang w:val="en-US" w:eastAsia="zh-CN" w:bidi="ar-SA"/>
        </w:rPr>
        <w:t>我市不统一征订考试用书。报考人员根据自愿原则，可登录“全国会计资格评价网”（http://kzp.mof.gov.cn/）进入“考试用书订购”系统选购或者通过正规书店购买。</w:t>
      </w:r>
    </w:p>
    <w:p w14:paraId="70D654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五、考试时间</w:t>
      </w:r>
    </w:p>
    <w:p w14:paraId="2E4A0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中级资格考试于2026年9月5日至6日举行，共2个批次。报考人员根据准考证上规定的时间和地点，凭准考证和居民身份证（港、澳、台居民和外籍人员凭本人有效身份证明）参加考试。</w:t>
      </w:r>
    </w:p>
    <w:p w14:paraId="480BD5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各科目具体考试时间如下：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6D47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00" w:type="pct"/>
            <w:noWrap w:val="0"/>
            <w:vAlign w:val="center"/>
          </w:tcPr>
          <w:p w14:paraId="4AEDC0DA">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eastAsia" w:ascii="仿宋" w:hAnsi="仿宋" w:eastAsia="仿宋" w:cs="Times New Roman"/>
                <w:spacing w:val="-4"/>
                <w:sz w:val="24"/>
              </w:rPr>
            </w:pPr>
            <w:r>
              <w:rPr>
                <w:rFonts w:hint="eastAsia" w:ascii="仿宋" w:hAnsi="仿宋" w:eastAsia="仿宋" w:cs="Times New Roman"/>
                <w:spacing w:val="-4"/>
                <w:sz w:val="24"/>
              </w:rPr>
              <w:t>考试日期</w:t>
            </w:r>
          </w:p>
        </w:tc>
        <w:tc>
          <w:tcPr>
            <w:tcW w:w="2500" w:type="pct"/>
            <w:noWrap w:val="0"/>
            <w:vAlign w:val="center"/>
          </w:tcPr>
          <w:p w14:paraId="58527524">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eastAsia" w:ascii="仿宋" w:hAnsi="仿宋" w:eastAsia="仿宋" w:cs="Times New Roman"/>
                <w:spacing w:val="-4"/>
                <w:sz w:val="24"/>
              </w:rPr>
            </w:pPr>
            <w:r>
              <w:rPr>
                <w:rFonts w:hint="eastAsia" w:ascii="仿宋" w:hAnsi="仿宋" w:eastAsia="仿宋" w:cs="Times New Roman"/>
                <w:spacing w:val="-4"/>
                <w:sz w:val="24"/>
              </w:rPr>
              <w:t>考试时间及科目</w:t>
            </w:r>
          </w:p>
        </w:tc>
      </w:tr>
      <w:tr w14:paraId="6307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00" w:type="pct"/>
            <w:vMerge w:val="restart"/>
            <w:noWrap w:val="0"/>
            <w:vAlign w:val="center"/>
          </w:tcPr>
          <w:p w14:paraId="30322037">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eastAsia" w:ascii="仿宋" w:hAnsi="仿宋" w:eastAsia="仿宋" w:cs="Times New Roman"/>
                <w:spacing w:val="-4"/>
                <w:sz w:val="24"/>
              </w:rPr>
            </w:pPr>
            <w:r>
              <w:rPr>
                <w:rFonts w:hint="eastAsia" w:ascii="仿宋" w:hAnsi="仿宋" w:eastAsia="仿宋" w:cs="Times New Roman"/>
                <w:spacing w:val="-4"/>
                <w:sz w:val="24"/>
              </w:rPr>
              <w:t>9月</w:t>
            </w:r>
            <w:r>
              <w:rPr>
                <w:rFonts w:hint="eastAsia" w:ascii="仿宋" w:hAnsi="仿宋" w:cs="Times New Roman"/>
                <w:spacing w:val="-4"/>
                <w:sz w:val="24"/>
                <w:lang w:val="en-US" w:eastAsia="zh-CN"/>
              </w:rPr>
              <w:t>5</w:t>
            </w:r>
            <w:r>
              <w:rPr>
                <w:rFonts w:hint="eastAsia" w:ascii="仿宋" w:hAnsi="仿宋" w:eastAsia="仿宋" w:cs="Times New Roman"/>
                <w:spacing w:val="-4"/>
                <w:sz w:val="24"/>
              </w:rPr>
              <w:t>日至</w:t>
            </w:r>
            <w:r>
              <w:rPr>
                <w:rFonts w:hint="eastAsia" w:ascii="仿宋" w:hAnsi="仿宋" w:cs="Times New Roman"/>
                <w:spacing w:val="-4"/>
                <w:sz w:val="24"/>
                <w:lang w:val="en-US" w:eastAsia="zh-CN"/>
              </w:rPr>
              <w:t>6</w:t>
            </w:r>
            <w:r>
              <w:rPr>
                <w:rFonts w:hint="eastAsia" w:ascii="仿宋" w:hAnsi="仿宋" w:eastAsia="仿宋" w:cs="Times New Roman"/>
                <w:spacing w:val="-4"/>
                <w:sz w:val="24"/>
              </w:rPr>
              <w:t>日</w:t>
            </w:r>
          </w:p>
        </w:tc>
        <w:tc>
          <w:tcPr>
            <w:tcW w:w="2500" w:type="pct"/>
            <w:noWrap w:val="0"/>
            <w:vAlign w:val="center"/>
          </w:tcPr>
          <w:p w14:paraId="5483F1C4">
            <w:pPr>
              <w:keepNext w:val="0"/>
              <w:keepLines w:val="0"/>
              <w:pageBreakBefore w:val="0"/>
              <w:widowControl w:val="0"/>
              <w:kinsoku/>
              <w:wordWrap/>
              <w:overflowPunct/>
              <w:topLinePunct w:val="0"/>
              <w:autoSpaceDE w:val="0"/>
              <w:autoSpaceDN w:val="0"/>
              <w:bidi w:val="0"/>
              <w:adjustRightInd/>
              <w:snapToGrid w:val="0"/>
              <w:spacing w:line="580" w:lineRule="exact"/>
              <w:ind w:left="0" w:leftChars="0" w:firstLine="0" w:firstLineChars="0"/>
              <w:jc w:val="center"/>
              <w:textAlignment w:val="auto"/>
              <w:rPr>
                <w:rFonts w:hint="default" w:ascii="仿宋" w:hAnsi="仿宋" w:eastAsia="仿宋" w:cs="Times New Roman"/>
                <w:spacing w:val="-4"/>
                <w:sz w:val="24"/>
                <w:lang w:val="en-US" w:eastAsia="zh-CN"/>
              </w:rPr>
            </w:pPr>
            <w:r>
              <w:rPr>
                <w:rFonts w:hint="eastAsia" w:ascii="仿宋" w:hAnsi="仿宋" w:eastAsia="仿宋" w:cs="Times New Roman"/>
                <w:spacing w:val="-4"/>
                <w:sz w:val="24"/>
              </w:rPr>
              <w:t>8:30－11:</w:t>
            </w:r>
            <w:r>
              <w:rPr>
                <w:rFonts w:hint="eastAsia" w:ascii="仿宋" w:hAnsi="仿宋" w:cs="Times New Roman"/>
                <w:spacing w:val="-4"/>
                <w:sz w:val="24"/>
                <w:lang w:val="en-US" w:eastAsia="zh-CN"/>
              </w:rPr>
              <w:t>00</w:t>
            </w:r>
          </w:p>
          <w:p w14:paraId="20474E22">
            <w:pPr>
              <w:keepNext w:val="0"/>
              <w:keepLines w:val="0"/>
              <w:pageBreakBefore w:val="0"/>
              <w:widowControl w:val="0"/>
              <w:kinsoku/>
              <w:wordWrap/>
              <w:overflowPunct/>
              <w:topLinePunct w:val="0"/>
              <w:autoSpaceDE w:val="0"/>
              <w:autoSpaceDN w:val="0"/>
              <w:bidi w:val="0"/>
              <w:adjustRightInd/>
              <w:snapToGrid w:val="0"/>
              <w:spacing w:line="580" w:lineRule="exact"/>
              <w:ind w:left="0" w:leftChars="0" w:firstLine="0" w:firstLineChars="0"/>
              <w:jc w:val="center"/>
              <w:textAlignment w:val="auto"/>
              <w:rPr>
                <w:rFonts w:hint="eastAsia" w:ascii="仿宋" w:hAnsi="仿宋" w:eastAsia="仿宋" w:cs="Times New Roman"/>
                <w:spacing w:val="-4"/>
                <w:sz w:val="24"/>
              </w:rPr>
            </w:pPr>
            <w:r>
              <w:rPr>
                <w:rFonts w:hint="eastAsia" w:ascii="仿宋" w:hAnsi="仿宋" w:eastAsia="仿宋" w:cs="Times New Roman"/>
                <w:spacing w:val="-4"/>
                <w:sz w:val="24"/>
              </w:rPr>
              <w:t>中级会计实务</w:t>
            </w:r>
          </w:p>
        </w:tc>
      </w:tr>
      <w:tr w14:paraId="64B3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500" w:type="pct"/>
            <w:vMerge w:val="continue"/>
            <w:noWrap w:val="0"/>
            <w:vAlign w:val="center"/>
          </w:tcPr>
          <w:p w14:paraId="287B7246">
            <w:pPr>
              <w:keepNext w:val="0"/>
              <w:keepLines w:val="0"/>
              <w:pageBreakBefore w:val="0"/>
              <w:kinsoku/>
              <w:wordWrap/>
              <w:overflowPunct/>
              <w:topLinePunct w:val="0"/>
              <w:bidi w:val="0"/>
              <w:adjustRightInd/>
              <w:spacing w:line="580" w:lineRule="exact"/>
              <w:ind w:firstLine="456" w:firstLineChars="200"/>
              <w:jc w:val="center"/>
              <w:textAlignment w:val="auto"/>
              <w:rPr>
                <w:rFonts w:hint="eastAsia" w:ascii="仿宋" w:hAnsi="仿宋" w:eastAsia="仿宋" w:cs="Times New Roman"/>
                <w:spacing w:val="-4"/>
                <w:sz w:val="24"/>
              </w:rPr>
            </w:pPr>
          </w:p>
        </w:tc>
        <w:tc>
          <w:tcPr>
            <w:tcW w:w="2500" w:type="pct"/>
            <w:noWrap w:val="0"/>
            <w:vAlign w:val="center"/>
          </w:tcPr>
          <w:p w14:paraId="7DF92FBA">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default" w:ascii="仿宋" w:hAnsi="仿宋" w:eastAsia="仿宋" w:cs="Times New Roman"/>
                <w:spacing w:val="-4"/>
                <w:sz w:val="24"/>
                <w:lang w:val="en-US" w:eastAsia="zh-CN"/>
              </w:rPr>
            </w:pPr>
            <w:r>
              <w:rPr>
                <w:rFonts w:hint="eastAsia" w:ascii="仿宋" w:hAnsi="仿宋" w:eastAsia="仿宋" w:cs="Times New Roman"/>
                <w:spacing w:val="-4"/>
                <w:sz w:val="24"/>
              </w:rPr>
              <w:t>13:</w:t>
            </w:r>
            <w:r>
              <w:rPr>
                <w:rFonts w:hint="eastAsia" w:ascii="仿宋" w:hAnsi="仿宋" w:cs="Times New Roman"/>
                <w:spacing w:val="-4"/>
                <w:sz w:val="24"/>
                <w:lang w:val="en-US" w:eastAsia="zh-CN"/>
              </w:rPr>
              <w:t>0</w:t>
            </w:r>
            <w:r>
              <w:rPr>
                <w:rFonts w:hint="eastAsia" w:ascii="仿宋" w:hAnsi="仿宋" w:eastAsia="仿宋" w:cs="Times New Roman"/>
                <w:spacing w:val="-4"/>
                <w:sz w:val="24"/>
              </w:rPr>
              <w:t>0－15:</w:t>
            </w:r>
            <w:r>
              <w:rPr>
                <w:rFonts w:hint="eastAsia" w:ascii="仿宋" w:hAnsi="仿宋" w:cs="Times New Roman"/>
                <w:spacing w:val="-4"/>
                <w:sz w:val="24"/>
                <w:lang w:val="en-US" w:eastAsia="zh-CN"/>
              </w:rPr>
              <w:t>00</w:t>
            </w:r>
          </w:p>
          <w:p w14:paraId="4E64371C">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eastAsia" w:ascii="仿宋" w:hAnsi="仿宋" w:eastAsia="仿宋" w:cs="Times New Roman"/>
                <w:spacing w:val="-4"/>
                <w:sz w:val="24"/>
                <w:lang w:eastAsia="zh-CN"/>
              </w:rPr>
            </w:pPr>
            <w:r>
              <w:rPr>
                <w:rFonts w:hint="eastAsia" w:ascii="仿宋" w:hAnsi="仿宋" w:cs="Times New Roman"/>
                <w:spacing w:val="-4"/>
                <w:sz w:val="24"/>
                <w:lang w:val="en-US" w:eastAsia="zh-CN"/>
              </w:rPr>
              <w:t>经济法</w:t>
            </w:r>
          </w:p>
        </w:tc>
      </w:tr>
      <w:tr w14:paraId="2C1C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00" w:type="pct"/>
            <w:vMerge w:val="continue"/>
            <w:noWrap w:val="0"/>
            <w:vAlign w:val="center"/>
          </w:tcPr>
          <w:p w14:paraId="25AEEB14">
            <w:pPr>
              <w:keepNext w:val="0"/>
              <w:keepLines w:val="0"/>
              <w:pageBreakBefore w:val="0"/>
              <w:kinsoku/>
              <w:wordWrap/>
              <w:overflowPunct/>
              <w:topLinePunct w:val="0"/>
              <w:bidi w:val="0"/>
              <w:adjustRightInd/>
              <w:spacing w:line="580" w:lineRule="exact"/>
              <w:ind w:firstLine="456" w:firstLineChars="200"/>
              <w:jc w:val="center"/>
              <w:textAlignment w:val="auto"/>
              <w:rPr>
                <w:rFonts w:hint="eastAsia" w:ascii="仿宋" w:hAnsi="仿宋" w:eastAsia="仿宋" w:cs="Times New Roman"/>
                <w:spacing w:val="-4"/>
                <w:sz w:val="24"/>
              </w:rPr>
            </w:pPr>
          </w:p>
        </w:tc>
        <w:tc>
          <w:tcPr>
            <w:tcW w:w="2500" w:type="pct"/>
            <w:noWrap w:val="0"/>
            <w:vAlign w:val="center"/>
          </w:tcPr>
          <w:p w14:paraId="6AE369DA">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default" w:ascii="仿宋" w:hAnsi="仿宋" w:eastAsia="仿宋" w:cs="Times New Roman"/>
                <w:spacing w:val="-4"/>
                <w:sz w:val="24"/>
              </w:rPr>
            </w:pPr>
            <w:r>
              <w:rPr>
                <w:rFonts w:hint="eastAsia" w:ascii="仿宋" w:hAnsi="仿宋" w:cs="Times New Roman"/>
                <w:spacing w:val="-4"/>
                <w:sz w:val="24"/>
                <w:lang w:val="en-US" w:eastAsia="zh-CN"/>
              </w:rPr>
              <w:t>17</w:t>
            </w:r>
            <w:r>
              <w:rPr>
                <w:rFonts w:hint="eastAsia" w:ascii="仿宋" w:hAnsi="仿宋" w:eastAsia="仿宋" w:cs="Times New Roman"/>
                <w:spacing w:val="-4"/>
                <w:sz w:val="24"/>
              </w:rPr>
              <w:t>:</w:t>
            </w:r>
            <w:r>
              <w:rPr>
                <w:rFonts w:hint="eastAsia" w:ascii="仿宋" w:hAnsi="仿宋" w:cs="Times New Roman"/>
                <w:spacing w:val="-4"/>
                <w:sz w:val="24"/>
                <w:lang w:val="en-US" w:eastAsia="zh-CN"/>
              </w:rPr>
              <w:t>00</w:t>
            </w:r>
            <w:r>
              <w:rPr>
                <w:rFonts w:hint="eastAsia" w:ascii="仿宋" w:hAnsi="仿宋" w:eastAsia="仿宋" w:cs="Times New Roman"/>
                <w:spacing w:val="-4"/>
                <w:sz w:val="24"/>
              </w:rPr>
              <w:t>－</w:t>
            </w:r>
            <w:r>
              <w:rPr>
                <w:rFonts w:hint="eastAsia" w:ascii="仿宋" w:hAnsi="仿宋" w:cs="Times New Roman"/>
                <w:spacing w:val="-4"/>
                <w:sz w:val="24"/>
                <w:lang w:val="en-US" w:eastAsia="zh-CN"/>
              </w:rPr>
              <w:t>19</w:t>
            </w:r>
            <w:r>
              <w:rPr>
                <w:rFonts w:hint="eastAsia" w:ascii="仿宋" w:hAnsi="仿宋" w:eastAsia="仿宋" w:cs="Times New Roman"/>
                <w:spacing w:val="-4"/>
                <w:sz w:val="24"/>
              </w:rPr>
              <w:t>:00</w:t>
            </w:r>
          </w:p>
          <w:p w14:paraId="4BC9BF43">
            <w:pPr>
              <w:keepNext w:val="0"/>
              <w:keepLines w:val="0"/>
              <w:pageBreakBefore w:val="0"/>
              <w:kinsoku/>
              <w:wordWrap/>
              <w:overflowPunct/>
              <w:topLinePunct w:val="0"/>
              <w:bidi w:val="0"/>
              <w:adjustRightInd/>
              <w:spacing w:line="580" w:lineRule="exact"/>
              <w:ind w:left="0" w:leftChars="0" w:firstLine="0" w:firstLineChars="0"/>
              <w:jc w:val="center"/>
              <w:textAlignment w:val="auto"/>
              <w:rPr>
                <w:rFonts w:hint="eastAsia" w:ascii="仿宋" w:hAnsi="仿宋" w:eastAsia="仿宋" w:cs="Times New Roman"/>
                <w:spacing w:val="-4"/>
                <w:sz w:val="24"/>
                <w:lang w:eastAsia="zh-CN"/>
              </w:rPr>
            </w:pPr>
            <w:r>
              <w:rPr>
                <w:rFonts w:hint="eastAsia" w:ascii="仿宋" w:hAnsi="仿宋" w:cs="Times New Roman"/>
                <w:spacing w:val="-4"/>
                <w:sz w:val="24"/>
                <w:lang w:val="en-US" w:eastAsia="zh-CN"/>
              </w:rPr>
              <w:t>财务管理</w:t>
            </w:r>
          </w:p>
        </w:tc>
      </w:tr>
    </w:tbl>
    <w:p w14:paraId="6E8425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六、报名时间</w:t>
      </w:r>
    </w:p>
    <w:p w14:paraId="126A77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2026年度中级资格考试实行网上报名。报名及缴费时间为2026年6月12日至7月2日，报名统一在7月2日12:00截止，缴费统一在7月2日18:00截止，逾期不再受理。报考人员应于7月1日12:00前完成信息采集。</w:t>
      </w:r>
    </w:p>
    <w:p w14:paraId="71044A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黑体" w:hAnsi="黑体" w:eastAsia="黑体" w:cs="黑体"/>
          <w:snapToGrid w:val="0"/>
          <w:spacing w:val="-4"/>
          <w:kern w:val="0"/>
          <w:sz w:val="32"/>
          <w:szCs w:val="32"/>
          <w:lang w:val="en-US" w:eastAsia="zh-CN" w:bidi="ar-SA"/>
        </w:rPr>
        <w:t>七、报名流程</w:t>
      </w:r>
    </w:p>
    <w:p w14:paraId="46246C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楷体_GB2312" w:hAnsi="楷体_GB2312" w:eastAsia="楷体_GB2312" w:cs="楷体_GB2312"/>
          <w:b w:val="0"/>
          <w:bCs w:val="0"/>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（一）信息采集</w:t>
      </w:r>
    </w:p>
    <w:p w14:paraId="27A882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登录“全国会计人员统一服务管理平台”（https://ausm.mof.gov.cn）完成信息采集并通过审核后方可报考。</w:t>
      </w:r>
    </w:p>
    <w:p w14:paraId="406073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楷体_GB2312" w:hAnsi="楷体_GB2312" w:eastAsia="楷体_GB2312" w:cs="楷体_GB2312"/>
          <w:b w:val="0"/>
          <w:bCs w:val="0"/>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（二）网上报名及审核</w:t>
      </w:r>
    </w:p>
    <w:p w14:paraId="6EB6B5CD">
      <w:pPr>
        <w:keepNext w:val="0"/>
        <w:keepLines w:val="0"/>
        <w:pageBreakBefore w:val="0"/>
        <w:tabs>
          <w:tab w:val="left" w:pos="2475"/>
        </w:tabs>
        <w:kinsoku/>
        <w:wordWrap/>
        <w:overflowPunct/>
        <w:topLinePunct w:val="0"/>
        <w:bidi w:val="0"/>
        <w:adjustRightInd w:val="0"/>
        <w:spacing w:line="580" w:lineRule="exact"/>
        <w:ind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报名期间登录“全国会计人员统一服务管理平台”，进入“会计专业技术资格考试”模块，按系统要求和流程进行报名（报考人员填报的联系电话及地址务必准确无误，以免影响后期证书邮寄），经系统审核通过后进入缴费环节。</w:t>
      </w:r>
    </w:p>
    <w:p w14:paraId="5ADEBD51">
      <w:pPr>
        <w:keepNext w:val="0"/>
        <w:keepLines w:val="0"/>
        <w:pageBreakBefore w:val="0"/>
        <w:tabs>
          <w:tab w:val="left" w:pos="2475"/>
        </w:tabs>
        <w:kinsoku/>
        <w:wordWrap/>
        <w:overflowPunct/>
        <w:topLinePunct w:val="0"/>
        <w:bidi w:val="0"/>
        <w:adjustRightInd w:val="0"/>
        <w:spacing w:line="580" w:lineRule="exact"/>
        <w:ind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b/>
          <w:bCs/>
          <w:spacing w:val="-4"/>
          <w:kern w:val="2"/>
          <w:sz w:val="32"/>
          <w:szCs w:val="32"/>
          <w:lang w:val="en-US" w:eastAsia="zh-CN" w:bidi="ar-SA"/>
        </w:rPr>
        <w:t>1.</w:t>
      </w:r>
      <w:r>
        <w:rPr>
          <w:rFonts w:hint="eastAsia" w:ascii="仿宋_GB2312" w:hAnsi="仿宋_GB2312" w:eastAsia="仿宋_GB2312" w:cs="仿宋_GB2312"/>
          <w:spacing w:val="-4"/>
          <w:kern w:val="2"/>
          <w:sz w:val="32"/>
          <w:szCs w:val="32"/>
          <w:lang w:val="en-US" w:eastAsia="zh-CN" w:bidi="ar-SA"/>
        </w:rPr>
        <w:t>学历（学位）证书扫描件。对于国（境）外学历学位审核，按照苏财会函〔2019〕6号文执行（见江苏省财政厅网站）。</w:t>
      </w:r>
    </w:p>
    <w:p w14:paraId="3EFC68C2">
      <w:pPr>
        <w:keepNext w:val="0"/>
        <w:keepLines w:val="0"/>
        <w:pageBreakBefore w:val="0"/>
        <w:tabs>
          <w:tab w:val="left" w:pos="2475"/>
        </w:tabs>
        <w:kinsoku/>
        <w:wordWrap/>
        <w:overflowPunct/>
        <w:topLinePunct w:val="0"/>
        <w:bidi w:val="0"/>
        <w:adjustRightInd w:val="0"/>
        <w:spacing w:line="580" w:lineRule="exact"/>
        <w:ind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2.</w:t>
      </w:r>
      <w:r>
        <w:rPr>
          <w:rFonts w:hint="eastAsia" w:ascii="仿宋_GB2312" w:hAnsi="仿宋_GB2312" w:eastAsia="仿宋_GB2312" w:cs="仿宋_GB2312"/>
          <w:i w:val="0"/>
          <w:iCs w:val="0"/>
          <w:caps w:val="0"/>
          <w:spacing w:val="-4"/>
          <w:kern w:val="2"/>
          <w:sz w:val="32"/>
          <w:szCs w:val="32"/>
          <w:shd w:val="clear" w:color="auto" w:fill="auto"/>
        </w:rPr>
        <w:t>属地证明。在职在岗人员提供</w:t>
      </w:r>
      <w:r>
        <w:rPr>
          <w:rFonts w:hint="eastAsia" w:ascii="仿宋_GB2312" w:hAnsi="仿宋_GB2312" w:eastAsia="仿宋_GB2312" w:cs="仿宋_GB2312"/>
          <w:i w:val="0"/>
          <w:iCs w:val="0"/>
          <w:caps w:val="0"/>
          <w:spacing w:val="-4"/>
          <w:kern w:val="2"/>
          <w:sz w:val="32"/>
          <w:szCs w:val="32"/>
          <w:shd w:val="clear" w:color="auto" w:fill="auto"/>
          <w:lang w:val="en-US" w:eastAsia="zh-CN"/>
        </w:rPr>
        <w:t>近1-6个月在太仓</w:t>
      </w:r>
      <w:r>
        <w:rPr>
          <w:rFonts w:hint="eastAsia" w:ascii="仿宋_GB2312" w:hAnsi="仿宋_GB2312" w:eastAsia="仿宋_GB2312" w:cs="仿宋_GB2312"/>
          <w:i w:val="0"/>
          <w:iCs w:val="0"/>
          <w:caps w:val="0"/>
          <w:spacing w:val="-4"/>
          <w:kern w:val="2"/>
          <w:sz w:val="32"/>
          <w:szCs w:val="32"/>
          <w:shd w:val="clear" w:color="auto" w:fill="auto"/>
        </w:rPr>
        <w:t>工作单位缴纳社保的证明（</w:t>
      </w:r>
      <w:r>
        <w:rPr>
          <w:rFonts w:hint="eastAsia" w:ascii="仿宋_GB2312" w:hAnsi="仿宋_GB2312" w:eastAsia="仿宋_GB2312" w:cs="仿宋_GB2312"/>
          <w:spacing w:val="-4"/>
          <w:kern w:val="2"/>
          <w:sz w:val="32"/>
          <w:szCs w:val="32"/>
          <w:lang w:val="en-US" w:eastAsia="zh-CN" w:bidi="ar-SA"/>
        </w:rPr>
        <w:t>江苏智慧人社APP或支付宝中搜索江苏省社会保险权益记录单下载打印</w:t>
      </w:r>
      <w:r>
        <w:rPr>
          <w:rFonts w:hint="eastAsia" w:ascii="仿宋_GB2312" w:hAnsi="仿宋_GB2312" w:eastAsia="仿宋_GB2312" w:cs="仿宋_GB2312"/>
          <w:i w:val="0"/>
          <w:iCs w:val="0"/>
          <w:caps w:val="0"/>
          <w:spacing w:val="-4"/>
          <w:kern w:val="2"/>
          <w:sz w:val="32"/>
          <w:szCs w:val="32"/>
          <w:shd w:val="clear" w:color="auto" w:fill="auto"/>
        </w:rPr>
        <w:t>）；在校学生提供</w:t>
      </w:r>
      <w:r>
        <w:rPr>
          <w:rFonts w:hint="eastAsia" w:ascii="仿宋_GB2312" w:hAnsi="仿宋_GB2312" w:eastAsia="仿宋_GB2312" w:cs="仿宋_GB2312"/>
          <w:i w:val="0"/>
          <w:iCs w:val="0"/>
          <w:caps w:val="0"/>
          <w:spacing w:val="-4"/>
          <w:kern w:val="2"/>
          <w:sz w:val="32"/>
          <w:szCs w:val="32"/>
          <w:shd w:val="clear" w:color="auto" w:fill="auto"/>
          <w:lang w:val="en-US" w:eastAsia="zh-CN"/>
        </w:rPr>
        <w:t>太仓</w:t>
      </w:r>
      <w:r>
        <w:rPr>
          <w:rFonts w:hint="eastAsia" w:ascii="仿宋_GB2312" w:hAnsi="仿宋_GB2312" w:eastAsia="仿宋_GB2312" w:cs="仿宋_GB2312"/>
          <w:i w:val="0"/>
          <w:iCs w:val="0"/>
          <w:caps w:val="0"/>
          <w:spacing w:val="-4"/>
          <w:kern w:val="2"/>
          <w:sz w:val="32"/>
          <w:szCs w:val="32"/>
          <w:shd w:val="clear" w:color="auto" w:fill="auto"/>
        </w:rPr>
        <w:t>学籍证明；其他人员提供</w:t>
      </w:r>
      <w:r>
        <w:rPr>
          <w:rFonts w:hint="eastAsia" w:ascii="仿宋_GB2312" w:hAnsi="仿宋_GB2312" w:eastAsia="仿宋_GB2312" w:cs="仿宋_GB2312"/>
          <w:i w:val="0"/>
          <w:iCs w:val="0"/>
          <w:caps w:val="0"/>
          <w:spacing w:val="-4"/>
          <w:kern w:val="2"/>
          <w:sz w:val="32"/>
          <w:szCs w:val="32"/>
          <w:shd w:val="clear" w:color="auto" w:fill="auto"/>
          <w:lang w:val="en-US" w:eastAsia="zh-CN"/>
        </w:rPr>
        <w:t>太仓</w:t>
      </w:r>
      <w:r>
        <w:rPr>
          <w:rFonts w:hint="eastAsia" w:ascii="仿宋_GB2312" w:hAnsi="仿宋_GB2312" w:eastAsia="仿宋_GB2312" w:cs="仿宋_GB2312"/>
          <w:i w:val="0"/>
          <w:iCs w:val="0"/>
          <w:caps w:val="0"/>
          <w:spacing w:val="-4"/>
          <w:kern w:val="2"/>
          <w:sz w:val="32"/>
          <w:szCs w:val="32"/>
          <w:shd w:val="clear" w:color="auto" w:fill="auto"/>
        </w:rPr>
        <w:t>属地户籍证或居住证（可提供“苏周到”APP中“户口簿”或“居民身份证”或“江苏省居住证”电子凭证截图）。</w:t>
      </w:r>
    </w:p>
    <w:p w14:paraId="33D30D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仿宋_GB2312" w:hAnsi="仿宋_GB2312" w:eastAsia="仿宋_GB2312" w:cs="仿宋_GB2312"/>
          <w:spacing w:val="-4"/>
          <w:kern w:val="2"/>
          <w:sz w:val="32"/>
          <w:szCs w:val="32"/>
          <w:lang w:val="en-US" w:eastAsia="zh-CN" w:bidi="ar-SA"/>
        </w:rPr>
        <w:t>3.</w:t>
      </w:r>
      <w:r>
        <w:rPr>
          <w:rFonts w:hint="eastAsia" w:ascii="仿宋_GB2312" w:hAnsi="仿宋_GB2312" w:eastAsia="仿宋_GB2312" w:cs="仿宋_GB2312"/>
          <w:i w:val="0"/>
          <w:iCs w:val="0"/>
          <w:caps w:val="0"/>
          <w:snapToGrid w:val="0"/>
          <w:spacing w:val="-4"/>
          <w:kern w:val="2"/>
          <w:sz w:val="32"/>
          <w:szCs w:val="32"/>
          <w:shd w:val="clear" w:color="auto" w:fill="auto"/>
        </w:rPr>
        <w:t>香港、澳门、台湾居民和外籍人员本人有效身份证明扫描件。</w:t>
      </w:r>
    </w:p>
    <w:p w14:paraId="03947B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4.通过全国统一考试，取得经济、统计、审计专业技术中级资格的，提供相关专业技术中级资格证件扫描件。</w:t>
      </w:r>
    </w:p>
    <w:p w14:paraId="68C65E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楷体_GB2312" w:hAnsi="楷体_GB2312" w:eastAsia="楷体_GB2312" w:cs="楷体_GB2312"/>
          <w:b w:val="0"/>
          <w:bCs w:val="0"/>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（三）网上资格审核</w:t>
      </w:r>
    </w:p>
    <w:p w14:paraId="123331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textAlignment w:val="auto"/>
        <w:rPr>
          <w:rFonts w:hint="default"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i w:val="0"/>
          <w:iCs w:val="0"/>
          <w:caps w:val="0"/>
          <w:spacing w:val="-4"/>
          <w:kern w:val="2"/>
          <w:sz w:val="32"/>
          <w:szCs w:val="32"/>
          <w:shd w:val="clear" w:color="auto" w:fill="auto"/>
          <w:lang w:val="en-US" w:eastAsia="zh-CN"/>
        </w:rPr>
        <w:t>属地财政部门按照统一规定的时间，对照报名条件和报考地区，严格做好审核工作。凡不符合报名要求的报考人员，一律不予通过资格审核。</w:t>
      </w:r>
    </w:p>
    <w:p w14:paraId="6A5578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楷体_GB2312" w:hAnsi="楷体_GB2312" w:eastAsia="楷体_GB2312" w:cs="楷体_GB2312"/>
          <w:b w:val="0"/>
          <w:bCs w:val="0"/>
          <w:spacing w:val="-4"/>
          <w:kern w:val="2"/>
          <w:sz w:val="32"/>
          <w:szCs w:val="32"/>
          <w:lang w:val="en-US" w:eastAsia="zh-CN" w:bidi="ar-SA"/>
        </w:rPr>
      </w:pPr>
      <w:r>
        <w:rPr>
          <w:rFonts w:hint="eastAsia" w:ascii="楷体_GB2312" w:hAnsi="楷体_GB2312" w:eastAsia="楷体_GB2312" w:cs="楷体_GB2312"/>
          <w:b w:val="0"/>
          <w:bCs w:val="0"/>
          <w:spacing w:val="-4"/>
          <w:kern w:val="2"/>
          <w:sz w:val="32"/>
          <w:szCs w:val="32"/>
          <w:lang w:val="en-US" w:eastAsia="zh-CN" w:bidi="ar-SA"/>
        </w:rPr>
        <w:t>（四）网上缴费</w:t>
      </w:r>
    </w:p>
    <w:p w14:paraId="23E7A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i w:val="0"/>
          <w:iCs w:val="0"/>
          <w:caps w:val="0"/>
          <w:spacing w:val="-4"/>
          <w:kern w:val="2"/>
          <w:sz w:val="32"/>
          <w:szCs w:val="32"/>
          <w:shd w:val="clear" w:color="auto" w:fill="auto"/>
        </w:rPr>
      </w:pPr>
      <w:r>
        <w:rPr>
          <w:rFonts w:hint="eastAsia" w:ascii="仿宋_GB2312" w:hAnsi="仿宋_GB2312" w:eastAsia="仿宋_GB2312" w:cs="仿宋_GB2312"/>
          <w:i w:val="0"/>
          <w:iCs w:val="0"/>
          <w:caps w:val="0"/>
          <w:spacing w:val="-4"/>
          <w:kern w:val="2"/>
          <w:sz w:val="32"/>
          <w:szCs w:val="32"/>
          <w:shd w:val="clear" w:color="auto" w:fill="auto"/>
        </w:rPr>
        <w:t>资格审核通过的报考人员，根据系统提示交纳有关考试费用。已在网上报名但未成功缴费的，视同放弃报名。缴费确认后，不再办理退费（</w:t>
      </w:r>
      <w:r>
        <w:rPr>
          <w:rFonts w:hint="eastAsia" w:ascii="仿宋_GB2312" w:hAnsi="仿宋_GB2312" w:eastAsia="仿宋_GB2312" w:cs="仿宋_GB2312"/>
          <w:b/>
          <w:bCs/>
          <w:i w:val="0"/>
          <w:iCs w:val="0"/>
          <w:caps w:val="0"/>
          <w:spacing w:val="-4"/>
          <w:kern w:val="2"/>
          <w:sz w:val="32"/>
          <w:szCs w:val="32"/>
          <w:shd w:val="clear" w:color="auto" w:fill="auto"/>
        </w:rPr>
        <w:t>提示：</w:t>
      </w:r>
      <w:r>
        <w:rPr>
          <w:rFonts w:hint="eastAsia" w:ascii="仿宋_GB2312" w:hAnsi="仿宋_GB2312" w:eastAsia="仿宋_GB2312" w:cs="仿宋_GB2312"/>
          <w:i w:val="0"/>
          <w:iCs w:val="0"/>
          <w:caps w:val="0"/>
          <w:spacing w:val="-4"/>
          <w:kern w:val="2"/>
          <w:sz w:val="32"/>
          <w:szCs w:val="32"/>
          <w:shd w:val="clear" w:color="auto" w:fill="auto"/>
        </w:rPr>
        <w:t>考生缴费完成后，如果系统未提示缴费成功，务必先核实账户信息，切勿连续重复操作缴费环节）。</w:t>
      </w:r>
    </w:p>
    <w:p w14:paraId="363C5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i w:val="0"/>
          <w:iCs w:val="0"/>
          <w:caps w:val="0"/>
          <w:spacing w:val="-4"/>
          <w:kern w:val="2"/>
          <w:sz w:val="32"/>
          <w:szCs w:val="32"/>
          <w:shd w:val="clear" w:color="auto" w:fill="auto"/>
        </w:rPr>
      </w:pPr>
      <w:r>
        <w:rPr>
          <w:rFonts w:hint="eastAsia" w:ascii="仿宋_GB2312" w:hAnsi="仿宋_GB2312" w:eastAsia="仿宋_GB2312" w:cs="仿宋_GB2312"/>
          <w:i w:val="0"/>
          <w:iCs w:val="0"/>
          <w:caps w:val="0"/>
          <w:spacing w:val="-4"/>
          <w:kern w:val="2"/>
          <w:sz w:val="32"/>
          <w:szCs w:val="32"/>
          <w:shd w:val="clear" w:color="auto" w:fill="auto"/>
        </w:rPr>
        <w:t>缴费成功后，报考人员根据系统提示</w:t>
      </w:r>
      <w:r>
        <w:rPr>
          <w:rFonts w:hint="eastAsia" w:ascii="仿宋_GB2312" w:hAnsi="仿宋_GB2312" w:eastAsia="仿宋_GB2312" w:cs="仿宋_GB2312"/>
          <w:i w:val="0"/>
          <w:iCs w:val="0"/>
          <w:caps w:val="0"/>
          <w:spacing w:val="-4"/>
          <w:kern w:val="2"/>
          <w:sz w:val="32"/>
          <w:szCs w:val="32"/>
          <w:shd w:val="clear" w:color="auto" w:fill="auto"/>
          <w:lang w:val="en-US" w:eastAsia="zh-CN"/>
        </w:rPr>
        <w:t>选择是否</w:t>
      </w:r>
      <w:r>
        <w:rPr>
          <w:rFonts w:hint="eastAsia" w:ascii="仿宋_GB2312" w:hAnsi="仿宋_GB2312" w:eastAsia="仿宋_GB2312" w:cs="仿宋_GB2312"/>
          <w:i w:val="0"/>
          <w:iCs w:val="0"/>
          <w:caps w:val="0"/>
          <w:spacing w:val="-4"/>
          <w:kern w:val="2"/>
          <w:sz w:val="32"/>
          <w:szCs w:val="32"/>
          <w:shd w:val="clear" w:color="auto" w:fill="auto"/>
        </w:rPr>
        <w:t>下载</w:t>
      </w:r>
      <w:r>
        <w:rPr>
          <w:rFonts w:hint="eastAsia" w:ascii="仿宋_GB2312" w:hAnsi="仿宋_GB2312" w:eastAsia="仿宋_GB2312" w:cs="仿宋_GB2312"/>
          <w:i w:val="0"/>
          <w:iCs w:val="0"/>
          <w:caps w:val="0"/>
          <w:spacing w:val="-4"/>
          <w:kern w:val="2"/>
          <w:sz w:val="32"/>
          <w:szCs w:val="32"/>
          <w:shd w:val="clear" w:color="auto" w:fill="auto"/>
          <w:lang w:val="en-US" w:eastAsia="zh-CN"/>
        </w:rPr>
        <w:t>打印</w:t>
      </w:r>
      <w:r>
        <w:rPr>
          <w:rFonts w:hint="eastAsia" w:ascii="仿宋_GB2312" w:hAnsi="仿宋_GB2312" w:eastAsia="仿宋_GB2312" w:cs="仿宋_GB2312"/>
          <w:i w:val="0"/>
          <w:iCs w:val="0"/>
          <w:caps w:val="0"/>
          <w:spacing w:val="-4"/>
          <w:kern w:val="2"/>
          <w:sz w:val="32"/>
          <w:szCs w:val="32"/>
          <w:shd w:val="clear" w:color="auto" w:fill="auto"/>
        </w:rPr>
        <w:t>电子票据，各地财政部门不再提供纸质票据。后期</w:t>
      </w:r>
      <w:r>
        <w:rPr>
          <w:rFonts w:hint="eastAsia" w:ascii="仿宋_GB2312" w:hAnsi="仿宋_GB2312" w:eastAsia="仿宋_GB2312" w:cs="仿宋_GB2312"/>
          <w:i w:val="0"/>
          <w:iCs w:val="0"/>
          <w:caps w:val="0"/>
          <w:spacing w:val="-4"/>
          <w:kern w:val="2"/>
          <w:sz w:val="32"/>
          <w:szCs w:val="32"/>
          <w:shd w:val="clear" w:color="auto" w:fill="auto"/>
          <w:lang w:val="en-US" w:eastAsia="zh-CN"/>
        </w:rPr>
        <w:t>补打</w:t>
      </w:r>
      <w:r>
        <w:rPr>
          <w:rFonts w:hint="eastAsia" w:ascii="仿宋_GB2312" w:hAnsi="仿宋_GB2312" w:eastAsia="仿宋_GB2312" w:cs="仿宋_GB2312"/>
          <w:i w:val="0"/>
          <w:iCs w:val="0"/>
          <w:caps w:val="0"/>
          <w:spacing w:val="-4"/>
          <w:kern w:val="2"/>
          <w:sz w:val="32"/>
          <w:szCs w:val="32"/>
          <w:shd w:val="clear" w:color="auto" w:fill="auto"/>
        </w:rPr>
        <w:t>可通过 “苏服办”APP</w:t>
      </w:r>
      <w:r>
        <w:rPr>
          <w:rFonts w:hint="eastAsia" w:ascii="仿宋_GB2312" w:hAnsi="仿宋_GB2312" w:eastAsia="仿宋_GB2312" w:cs="仿宋_GB2312"/>
          <w:i w:val="0"/>
          <w:iCs w:val="0"/>
          <w:caps w:val="0"/>
          <w:spacing w:val="-4"/>
          <w:kern w:val="2"/>
          <w:sz w:val="32"/>
          <w:szCs w:val="32"/>
          <w:shd w:val="clear" w:color="auto" w:fill="auto"/>
          <w:lang w:eastAsia="zh-CN"/>
        </w:rPr>
        <w:t>—</w:t>
      </w:r>
      <w:r>
        <w:rPr>
          <w:rFonts w:hint="eastAsia" w:ascii="仿宋_GB2312" w:hAnsi="仿宋_GB2312" w:eastAsia="仿宋_GB2312" w:cs="仿宋_GB2312"/>
          <w:i w:val="0"/>
          <w:iCs w:val="0"/>
          <w:caps w:val="0"/>
          <w:spacing w:val="-4"/>
          <w:kern w:val="2"/>
          <w:sz w:val="32"/>
          <w:szCs w:val="32"/>
          <w:shd w:val="clear" w:color="auto" w:fill="auto"/>
        </w:rPr>
        <w:t>“江苏省财政电子票夹”下载相应的电子票据。</w:t>
      </w:r>
    </w:p>
    <w:p w14:paraId="1E1E97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楷体_GB2312" w:hAnsi="楷体_GB2312" w:eastAsia="楷体_GB2312" w:cs="楷体_GB2312"/>
          <w:b w:val="0"/>
          <w:bCs w:val="0"/>
          <w:snapToGrid/>
          <w:spacing w:val="-4"/>
          <w:kern w:val="2"/>
          <w:sz w:val="32"/>
          <w:szCs w:val="32"/>
          <w:lang w:val="en-US" w:eastAsia="zh-CN" w:bidi="ar-SA"/>
        </w:rPr>
      </w:pPr>
      <w:r>
        <w:rPr>
          <w:rFonts w:hint="eastAsia" w:ascii="楷体_GB2312" w:hAnsi="楷体_GB2312" w:eastAsia="楷体_GB2312" w:cs="楷体_GB2312"/>
          <w:b w:val="0"/>
          <w:bCs w:val="0"/>
          <w:snapToGrid/>
          <w:spacing w:val="-4"/>
          <w:kern w:val="2"/>
          <w:sz w:val="32"/>
          <w:szCs w:val="32"/>
          <w:lang w:val="en-US" w:eastAsia="zh-CN" w:bidi="ar-SA"/>
        </w:rPr>
        <w:t>（五）准考证打印</w:t>
      </w:r>
    </w:p>
    <w:p w14:paraId="14F6F3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仿宋_GB2312" w:hAnsi="仿宋_GB2312" w:eastAsia="仿宋_GB2312" w:cs="仿宋_GB2312"/>
          <w:i w:val="0"/>
          <w:iCs w:val="0"/>
          <w:caps w:val="0"/>
          <w:snapToGrid w:val="0"/>
          <w:spacing w:val="-4"/>
          <w:kern w:val="2"/>
          <w:sz w:val="32"/>
          <w:szCs w:val="32"/>
          <w:shd w:val="clear" w:color="auto" w:fill="auto"/>
        </w:rPr>
        <w:t>准考证打印时间为</w:t>
      </w:r>
      <w:r>
        <w:rPr>
          <w:rFonts w:hint="eastAsia" w:ascii="仿宋_GB2312" w:hAnsi="仿宋_GB2312" w:eastAsia="仿宋_GB2312" w:cs="仿宋_GB2312"/>
          <w:i w:val="0"/>
          <w:iCs w:val="0"/>
          <w:caps w:val="0"/>
          <w:snapToGrid w:val="0"/>
          <w:spacing w:val="-4"/>
          <w:kern w:val="2"/>
          <w:sz w:val="32"/>
          <w:szCs w:val="32"/>
          <w:shd w:val="clear" w:color="auto" w:fill="auto"/>
          <w:lang w:eastAsia="zh-CN"/>
        </w:rPr>
        <w:t>2026</w:t>
      </w:r>
      <w:r>
        <w:rPr>
          <w:rFonts w:hint="eastAsia" w:ascii="仿宋_GB2312" w:hAnsi="仿宋_GB2312" w:eastAsia="仿宋_GB2312" w:cs="仿宋_GB2312"/>
          <w:i w:val="0"/>
          <w:iCs w:val="0"/>
          <w:caps w:val="0"/>
          <w:snapToGrid w:val="0"/>
          <w:spacing w:val="-4"/>
          <w:kern w:val="2"/>
          <w:sz w:val="32"/>
          <w:szCs w:val="32"/>
          <w:shd w:val="clear" w:color="auto" w:fill="auto"/>
        </w:rPr>
        <w:t>年8月2</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5</w:t>
      </w:r>
      <w:r>
        <w:rPr>
          <w:rFonts w:hint="eastAsia" w:ascii="仿宋_GB2312" w:hAnsi="仿宋_GB2312" w:eastAsia="仿宋_GB2312" w:cs="仿宋_GB2312"/>
          <w:i w:val="0"/>
          <w:iCs w:val="0"/>
          <w:caps w:val="0"/>
          <w:snapToGrid w:val="0"/>
          <w:spacing w:val="-4"/>
          <w:kern w:val="2"/>
          <w:sz w:val="32"/>
          <w:szCs w:val="32"/>
          <w:shd w:val="clear" w:color="auto" w:fill="auto"/>
        </w:rPr>
        <w:t>日</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至</w:t>
      </w:r>
      <w:r>
        <w:rPr>
          <w:rFonts w:hint="eastAsia" w:ascii="仿宋_GB2312" w:hAnsi="仿宋_GB2312" w:eastAsia="仿宋_GB2312" w:cs="仿宋_GB2312"/>
          <w:i w:val="0"/>
          <w:iCs w:val="0"/>
          <w:caps w:val="0"/>
          <w:snapToGrid w:val="0"/>
          <w:spacing w:val="-4"/>
          <w:kern w:val="2"/>
          <w:sz w:val="32"/>
          <w:szCs w:val="32"/>
          <w:shd w:val="clear" w:color="auto" w:fill="auto"/>
        </w:rPr>
        <w:t>9月</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4</w:t>
      </w:r>
      <w:r>
        <w:rPr>
          <w:rFonts w:hint="eastAsia" w:ascii="仿宋_GB2312" w:hAnsi="仿宋_GB2312" w:eastAsia="仿宋_GB2312" w:cs="仿宋_GB2312"/>
          <w:i w:val="0"/>
          <w:iCs w:val="0"/>
          <w:caps w:val="0"/>
          <w:snapToGrid w:val="0"/>
          <w:spacing w:val="-4"/>
          <w:kern w:val="2"/>
          <w:sz w:val="32"/>
          <w:szCs w:val="32"/>
          <w:shd w:val="clear" w:color="auto" w:fill="auto"/>
        </w:rPr>
        <w:t>日。</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报考人员</w:t>
      </w:r>
      <w:r>
        <w:rPr>
          <w:rFonts w:hint="eastAsia" w:ascii="仿宋_GB2312" w:hAnsi="仿宋_GB2312" w:eastAsia="仿宋_GB2312" w:cs="仿宋_GB2312"/>
          <w:i w:val="0"/>
          <w:iCs w:val="0"/>
          <w:caps w:val="0"/>
          <w:snapToGrid w:val="0"/>
          <w:spacing w:val="-4"/>
          <w:kern w:val="2"/>
          <w:sz w:val="32"/>
          <w:szCs w:val="32"/>
          <w:shd w:val="clear" w:color="auto" w:fill="auto"/>
        </w:rPr>
        <w:t>登</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录</w:t>
      </w:r>
      <w:r>
        <w:rPr>
          <w:rFonts w:hint="eastAsia" w:ascii="仿宋_GB2312" w:hAnsi="仿宋_GB2312" w:eastAsia="仿宋_GB2312" w:cs="仿宋_GB2312"/>
          <w:i w:val="0"/>
          <w:iCs w:val="0"/>
          <w:caps w:val="0"/>
          <w:snapToGrid w:val="0"/>
          <w:spacing w:val="-4"/>
          <w:kern w:val="2"/>
          <w:sz w:val="32"/>
          <w:szCs w:val="32"/>
          <w:shd w:val="clear" w:color="auto" w:fill="auto"/>
        </w:rPr>
        <w:t>“全国会计人员统一服务管理平台”打印准考证。准考证相关信息必须和身份证一致，否则无法参加考试。</w:t>
      </w:r>
    </w:p>
    <w:p w14:paraId="4A6F5C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eastAsia" w:ascii="黑体" w:hAnsi="黑体" w:eastAsia="黑体" w:cs="黑体"/>
          <w:i w:val="0"/>
          <w:iCs w:val="0"/>
          <w:caps w:val="0"/>
          <w:snapToGrid w:val="0"/>
          <w:spacing w:val="-4"/>
          <w:sz w:val="32"/>
          <w:szCs w:val="32"/>
        </w:rPr>
      </w:pPr>
      <w:r>
        <w:rPr>
          <w:rFonts w:hint="eastAsia" w:ascii="黑体" w:hAnsi="黑体" w:eastAsia="黑体" w:cs="黑体"/>
          <w:i w:val="0"/>
          <w:iCs w:val="0"/>
          <w:caps w:val="0"/>
          <w:snapToGrid w:val="0"/>
          <w:spacing w:val="-4"/>
          <w:sz w:val="32"/>
          <w:szCs w:val="32"/>
          <w:shd w:val="clear" w:color="auto" w:fill="auto"/>
        </w:rPr>
        <w:t>八、成绩查询</w:t>
      </w:r>
    </w:p>
    <w:p w14:paraId="004CB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仿宋_GB2312" w:hAnsi="仿宋_GB2312" w:eastAsia="仿宋_GB2312" w:cs="仿宋_GB2312"/>
          <w:i w:val="0"/>
          <w:iCs w:val="0"/>
          <w:caps w:val="0"/>
          <w:snapToGrid w:val="0"/>
          <w:spacing w:val="-4"/>
          <w:kern w:val="2"/>
          <w:sz w:val="32"/>
          <w:szCs w:val="32"/>
          <w:shd w:val="clear" w:color="auto" w:fill="auto"/>
        </w:rPr>
        <w:t>中级资格考试成绩于</w:t>
      </w:r>
      <w:r>
        <w:rPr>
          <w:rFonts w:hint="eastAsia" w:ascii="仿宋_GB2312" w:hAnsi="仿宋_GB2312" w:eastAsia="仿宋_GB2312" w:cs="仿宋_GB2312"/>
          <w:i w:val="0"/>
          <w:iCs w:val="0"/>
          <w:caps w:val="0"/>
          <w:snapToGrid w:val="0"/>
          <w:spacing w:val="-4"/>
          <w:kern w:val="2"/>
          <w:sz w:val="32"/>
          <w:szCs w:val="32"/>
          <w:shd w:val="clear" w:color="auto" w:fill="auto"/>
          <w:lang w:eastAsia="zh-CN"/>
        </w:rPr>
        <w:t>2026</w:t>
      </w:r>
      <w:r>
        <w:rPr>
          <w:rFonts w:hint="eastAsia" w:ascii="仿宋_GB2312" w:hAnsi="仿宋_GB2312" w:eastAsia="仿宋_GB2312" w:cs="仿宋_GB2312"/>
          <w:i w:val="0"/>
          <w:iCs w:val="0"/>
          <w:caps w:val="0"/>
          <w:snapToGrid w:val="0"/>
          <w:spacing w:val="-4"/>
          <w:kern w:val="2"/>
          <w:sz w:val="32"/>
          <w:szCs w:val="32"/>
          <w:shd w:val="clear" w:color="auto" w:fill="auto"/>
        </w:rPr>
        <w:t>年10月3</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0</w:t>
      </w:r>
      <w:r>
        <w:rPr>
          <w:rFonts w:hint="eastAsia" w:ascii="仿宋_GB2312" w:hAnsi="仿宋_GB2312" w:eastAsia="仿宋_GB2312" w:cs="仿宋_GB2312"/>
          <w:i w:val="0"/>
          <w:iCs w:val="0"/>
          <w:caps w:val="0"/>
          <w:snapToGrid w:val="0"/>
          <w:spacing w:val="-4"/>
          <w:kern w:val="2"/>
          <w:sz w:val="32"/>
          <w:szCs w:val="32"/>
          <w:shd w:val="clear" w:color="auto" w:fill="auto"/>
        </w:rPr>
        <w:t>日前公布。考生可登录“全国会计人员统一服务管理平台”查询。</w:t>
      </w:r>
    </w:p>
    <w:p w14:paraId="6131B8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default" w:ascii="仿宋_GB2312" w:hAnsi="仿宋_GB2312" w:eastAsia="仿宋_GB2312" w:cs="仿宋_GB2312"/>
          <w:snapToGrid w:val="0"/>
          <w:spacing w:val="-4"/>
          <w:kern w:val="2"/>
          <w:sz w:val="32"/>
          <w:szCs w:val="32"/>
          <w:lang w:val="en-US" w:eastAsia="zh-CN" w:bidi="ar-SA"/>
        </w:rPr>
      </w:pPr>
      <w:r>
        <w:rPr>
          <w:rFonts w:hint="eastAsia" w:ascii="仿宋_GB2312" w:hAnsi="仿宋_GB2312" w:eastAsia="仿宋_GB2312" w:cs="仿宋_GB2312"/>
          <w:i w:val="0"/>
          <w:iCs w:val="0"/>
          <w:caps w:val="0"/>
          <w:snapToGrid w:val="0"/>
          <w:spacing w:val="-4"/>
          <w:kern w:val="2"/>
          <w:sz w:val="32"/>
          <w:szCs w:val="32"/>
          <w:shd w:val="clear" w:color="auto" w:fill="auto"/>
        </w:rPr>
        <w:t>考试成绩公布后，</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如考生对成绩有异议的</w:t>
      </w:r>
      <w:r>
        <w:rPr>
          <w:rFonts w:hint="eastAsia" w:ascii="仿宋_GB2312" w:hAnsi="仿宋_GB2312" w:eastAsia="仿宋_GB2312" w:cs="仿宋_GB2312"/>
          <w:i w:val="0"/>
          <w:iCs w:val="0"/>
          <w:caps w:val="0"/>
          <w:snapToGrid w:val="0"/>
          <w:spacing w:val="-4"/>
          <w:kern w:val="2"/>
          <w:sz w:val="32"/>
          <w:szCs w:val="32"/>
          <w:shd w:val="clear" w:color="auto" w:fill="auto"/>
        </w:rPr>
        <w:t>，</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应在考试成绩公布之日起30日</w:t>
      </w:r>
      <w:r>
        <w:rPr>
          <w:rFonts w:hint="eastAsia" w:ascii="仿宋_GB2312" w:hAnsi="仿宋_GB2312" w:eastAsia="仿宋_GB2312" w:cs="仿宋_GB2312"/>
          <w:i w:val="0"/>
          <w:iCs w:val="0"/>
          <w:caps w:val="0"/>
          <w:snapToGrid w:val="0"/>
          <w:spacing w:val="-4"/>
          <w:kern w:val="2"/>
          <w:sz w:val="32"/>
          <w:szCs w:val="32"/>
          <w:shd w:val="clear" w:color="auto" w:fill="auto"/>
        </w:rPr>
        <w:t>内</w:t>
      </w:r>
      <w:r>
        <w:rPr>
          <w:rFonts w:hint="eastAsia" w:ascii="仿宋_GB2312" w:hAnsi="仿宋_GB2312" w:eastAsia="仿宋_GB2312" w:cs="仿宋_GB2312"/>
          <w:i w:val="0"/>
          <w:iCs w:val="0"/>
          <w:caps w:val="0"/>
          <w:snapToGrid w:val="0"/>
          <w:spacing w:val="-4"/>
          <w:kern w:val="2"/>
          <w:sz w:val="32"/>
          <w:szCs w:val="32"/>
          <w:shd w:val="clear" w:color="auto" w:fill="auto"/>
          <w:lang w:eastAsia="zh-CN"/>
        </w:rPr>
        <w:t>，</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在“全国会计人员统一服务管理平台”提出成绩复核申请，未按规定方式或未在规定时间内提出申请的不予受理。</w:t>
      </w:r>
    </w:p>
    <w:p w14:paraId="67438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黑体" w:hAnsi="黑体" w:eastAsia="黑体" w:cs="黑体"/>
          <w:snapToGrid w:val="0"/>
          <w:spacing w:val="-4"/>
          <w:kern w:val="0"/>
          <w:sz w:val="32"/>
          <w:szCs w:val="32"/>
          <w:lang w:val="en-US" w:eastAsia="zh-CN" w:bidi="ar-SA"/>
        </w:rPr>
      </w:pPr>
      <w:r>
        <w:rPr>
          <w:rFonts w:hint="eastAsia" w:ascii="黑体" w:hAnsi="黑体" w:eastAsia="黑体" w:cs="黑体"/>
          <w:snapToGrid w:val="0"/>
          <w:spacing w:val="-4"/>
          <w:kern w:val="0"/>
          <w:sz w:val="32"/>
          <w:szCs w:val="32"/>
          <w:lang w:val="en-US" w:eastAsia="zh-CN" w:bidi="ar-SA"/>
        </w:rPr>
        <w:t>九、证书发放</w:t>
      </w:r>
    </w:p>
    <w:p w14:paraId="06C163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仿宋_GB2312" w:hAnsi="仿宋_GB2312" w:eastAsia="仿宋_GB2312" w:cs="仿宋_GB2312"/>
          <w:i w:val="0"/>
          <w:iCs w:val="0"/>
          <w:caps w:val="0"/>
          <w:snapToGrid w:val="0"/>
          <w:spacing w:val="-4"/>
          <w:kern w:val="2"/>
          <w:sz w:val="32"/>
          <w:szCs w:val="32"/>
          <w:shd w:val="clear" w:color="auto" w:fill="auto"/>
        </w:rPr>
        <w:t>参加中级资格考试的人员，应在连续2个考试年度内通过全部科目的考试，才可取得中级资格证书。</w:t>
      </w:r>
    </w:p>
    <w:p w14:paraId="065F89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default" w:ascii="仿宋_GB2312" w:hAnsi="仿宋_GB2312" w:eastAsia="仿宋_GB2312" w:cs="仿宋_GB2312"/>
          <w:i w:val="0"/>
          <w:iCs w:val="0"/>
          <w:caps w:val="0"/>
          <w:snapToGrid w:val="0"/>
          <w:spacing w:val="-4"/>
          <w:kern w:val="2"/>
          <w:sz w:val="32"/>
          <w:szCs w:val="32"/>
          <w:shd w:val="clear" w:color="auto" w:fill="auto"/>
          <w:lang w:val="en-US" w:eastAsia="zh-CN"/>
        </w:rPr>
      </w:pPr>
      <w:r>
        <w:rPr>
          <w:rFonts w:hint="eastAsia" w:ascii="仿宋_GB2312" w:hAnsi="仿宋_GB2312" w:eastAsia="仿宋_GB2312" w:cs="仿宋_GB2312"/>
          <w:i w:val="0"/>
          <w:iCs w:val="0"/>
          <w:caps w:val="0"/>
          <w:snapToGrid w:val="0"/>
          <w:spacing w:val="-4"/>
          <w:kern w:val="2"/>
          <w:sz w:val="32"/>
          <w:szCs w:val="32"/>
          <w:shd w:val="clear" w:color="auto" w:fill="auto"/>
        </w:rPr>
        <w:t>中级资格证书由人力资源和社会保障部统一印制，具体发放时间另行通知，考生可关注各级财政部门官方网站信息。证书发放</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由江苏省财政厅</w:t>
      </w:r>
      <w:r>
        <w:rPr>
          <w:rFonts w:hint="eastAsia" w:ascii="仿宋_GB2312" w:hAnsi="仿宋_GB2312" w:eastAsia="仿宋_GB2312" w:cs="仿宋_GB2312"/>
          <w:i w:val="0"/>
          <w:iCs w:val="0"/>
          <w:caps w:val="0"/>
          <w:snapToGrid w:val="0"/>
          <w:spacing w:val="-4"/>
          <w:kern w:val="2"/>
          <w:sz w:val="32"/>
          <w:szCs w:val="32"/>
          <w:shd w:val="clear" w:color="auto" w:fill="auto"/>
        </w:rPr>
        <w:t>采取邮寄到付的方式，通过中国邮政速递物流统一送达至考生本人签收。</w:t>
      </w:r>
      <w:r>
        <w:rPr>
          <w:rFonts w:hint="eastAsia" w:ascii="仿宋_GB2312" w:hAnsi="仿宋_GB2312" w:eastAsia="仿宋_GB2312" w:cs="仿宋_GB2312"/>
          <w:i w:val="0"/>
          <w:iCs w:val="0"/>
          <w:caps w:val="0"/>
          <w:snapToGrid w:val="0"/>
          <w:spacing w:val="-4"/>
          <w:kern w:val="2"/>
          <w:sz w:val="32"/>
          <w:szCs w:val="32"/>
          <w:shd w:val="clear" w:color="auto" w:fill="auto"/>
          <w:lang w:val="en-US" w:eastAsia="zh-CN"/>
        </w:rPr>
        <w:t>考试管理机构不再发放《全国会计专业技术资格考试取得资格登记表》。</w:t>
      </w:r>
    </w:p>
    <w:p w14:paraId="5881E5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仿宋_GB2312" w:hAnsi="仿宋_GB2312" w:eastAsia="仿宋_GB2312" w:cs="仿宋_GB2312"/>
          <w:i w:val="0"/>
          <w:iCs w:val="0"/>
          <w:caps w:val="0"/>
          <w:snapToGrid w:val="0"/>
          <w:spacing w:val="-4"/>
          <w:kern w:val="2"/>
          <w:sz w:val="32"/>
          <w:szCs w:val="32"/>
          <w:shd w:val="clear" w:color="auto" w:fill="auto"/>
        </w:rPr>
        <w:t>在证书领取前，考生可以登录</w:t>
      </w:r>
      <w:r>
        <w:rPr>
          <w:rFonts w:hint="eastAsia" w:ascii="仿宋_GB2312" w:hAnsi="仿宋_GB2312" w:eastAsia="仿宋_GB2312" w:cs="仿宋_GB2312"/>
          <w:i w:val="0"/>
          <w:iCs w:val="0"/>
          <w:caps w:val="0"/>
          <w:snapToGrid w:val="0"/>
          <w:spacing w:val="-4"/>
          <w:kern w:val="2"/>
          <w:sz w:val="32"/>
          <w:szCs w:val="32"/>
          <w:shd w:val="clear" w:color="auto" w:fill="auto"/>
          <w:lang w:eastAsia="zh-CN"/>
        </w:rPr>
        <w:t>“</w:t>
      </w:r>
      <w:r>
        <w:rPr>
          <w:rFonts w:hint="eastAsia" w:ascii="仿宋_GB2312" w:hAnsi="仿宋_GB2312" w:eastAsia="仿宋_GB2312" w:cs="仿宋_GB2312"/>
          <w:i w:val="0"/>
          <w:iCs w:val="0"/>
          <w:caps w:val="0"/>
          <w:snapToGrid w:val="0"/>
          <w:spacing w:val="-4"/>
          <w:kern w:val="2"/>
          <w:sz w:val="32"/>
          <w:szCs w:val="32"/>
          <w:shd w:val="clear" w:color="auto" w:fill="auto"/>
        </w:rPr>
        <w:t>全国会计人员统一服务管理平台”打印成绩合格单作为证明办理相关事项。</w:t>
      </w:r>
    </w:p>
    <w:p w14:paraId="3210D3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both"/>
        <w:textAlignment w:val="auto"/>
        <w:rPr>
          <w:rFonts w:hint="eastAsia" w:ascii="黑体" w:hAnsi="黑体" w:eastAsia="黑体" w:cs="黑体"/>
          <w:i w:val="0"/>
          <w:iCs w:val="0"/>
          <w:caps w:val="0"/>
          <w:snapToGrid w:val="0"/>
          <w:spacing w:val="-4"/>
          <w:kern w:val="0"/>
          <w:sz w:val="32"/>
          <w:szCs w:val="32"/>
        </w:rPr>
      </w:pPr>
      <w:r>
        <w:rPr>
          <w:rFonts w:hint="eastAsia" w:ascii="黑体" w:hAnsi="黑体" w:eastAsia="黑体" w:cs="黑体"/>
          <w:i w:val="0"/>
          <w:iCs w:val="0"/>
          <w:caps w:val="0"/>
          <w:snapToGrid w:val="0"/>
          <w:spacing w:val="-4"/>
          <w:kern w:val="0"/>
          <w:sz w:val="32"/>
          <w:szCs w:val="32"/>
          <w:shd w:val="clear" w:color="auto" w:fill="auto"/>
        </w:rPr>
        <w:t>十、其他事项</w:t>
      </w:r>
    </w:p>
    <w:p w14:paraId="4918BF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textAlignment w:val="auto"/>
        <w:rPr>
          <w:rFonts w:hint="eastAsia" w:ascii="仿宋_GB2312" w:hAnsi="仿宋_GB2312" w:eastAsia="仿宋_GB2312" w:cs="仿宋_GB2312"/>
          <w:i w:val="0"/>
          <w:iCs w:val="0"/>
          <w:caps w:val="0"/>
          <w:snapToGrid w:val="0"/>
          <w:spacing w:val="-4"/>
          <w:kern w:val="2"/>
          <w:sz w:val="32"/>
          <w:szCs w:val="32"/>
        </w:rPr>
      </w:pP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楷体_GB2312" w:hAnsi="楷体_GB2312" w:eastAsia="楷体_GB2312" w:cs="楷体_GB2312"/>
          <w:i w:val="0"/>
          <w:iCs w:val="0"/>
          <w:caps w:val="0"/>
          <w:snapToGrid/>
          <w:spacing w:val="-4"/>
          <w:kern w:val="2"/>
          <w:sz w:val="32"/>
          <w:szCs w:val="32"/>
          <w:shd w:val="clear" w:color="auto" w:fill="auto"/>
          <w:lang w:val="en-US" w:eastAsia="zh-CN"/>
        </w:rPr>
        <w:t>一</w:t>
      </w: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仿宋_GB2312" w:hAnsi="仿宋_GB2312" w:eastAsia="仿宋_GB2312" w:cs="仿宋_GB2312"/>
          <w:i w:val="0"/>
          <w:iCs w:val="0"/>
          <w:caps w:val="0"/>
          <w:snapToGrid w:val="0"/>
          <w:spacing w:val="-4"/>
          <w:kern w:val="2"/>
          <w:sz w:val="32"/>
          <w:szCs w:val="32"/>
          <w:shd w:val="clear" w:color="auto" w:fill="auto"/>
        </w:rPr>
        <w:t>考试报名实行告知承诺制，报考人员应对网上报名信息的真实性、有效性负责。</w:t>
      </w:r>
    </w:p>
    <w:p w14:paraId="1061E3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楷体_GB2312" w:hAnsi="楷体_GB2312" w:eastAsia="楷体_GB2312" w:cs="楷体_GB2312"/>
          <w:i w:val="0"/>
          <w:iCs w:val="0"/>
          <w:caps w:val="0"/>
          <w:snapToGrid/>
          <w:spacing w:val="-4"/>
          <w:kern w:val="2"/>
          <w:sz w:val="32"/>
          <w:szCs w:val="32"/>
          <w:shd w:val="clear" w:color="auto" w:fill="auto"/>
          <w:lang w:val="en-US" w:eastAsia="zh-CN"/>
        </w:rPr>
        <w:t>二</w:t>
      </w: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仿宋_GB2312" w:hAnsi="仿宋_GB2312" w:eastAsia="仿宋_GB2312" w:cs="仿宋_GB2312"/>
          <w:i w:val="0"/>
          <w:iCs w:val="0"/>
          <w:caps w:val="0"/>
          <w:snapToGrid w:val="0"/>
          <w:spacing w:val="-4"/>
          <w:kern w:val="2"/>
          <w:sz w:val="32"/>
          <w:szCs w:val="32"/>
          <w:shd w:val="clear" w:color="auto" w:fill="auto"/>
        </w:rPr>
        <w:t>报考人员填报相关信息时，务必认真细致，确保准确无误。</w:t>
      </w:r>
    </w:p>
    <w:p w14:paraId="2B0816B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leftChars="0" w:right="0" w:firstLine="616" w:firstLineChars="200"/>
        <w:textAlignment w:val="auto"/>
        <w:rPr>
          <w:rFonts w:hint="eastAsia" w:ascii="仿宋_GB2312" w:hAnsi="仿宋_GB2312" w:eastAsia="仿宋_GB2312" w:cs="仿宋_GB2312"/>
          <w:i w:val="0"/>
          <w:iCs w:val="0"/>
          <w:caps w:val="0"/>
          <w:snapToGrid w:val="0"/>
          <w:spacing w:val="-4"/>
          <w:kern w:val="2"/>
          <w:sz w:val="32"/>
          <w:szCs w:val="32"/>
          <w:shd w:val="clear" w:color="auto" w:fill="auto"/>
        </w:rPr>
      </w:pP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楷体_GB2312" w:hAnsi="楷体_GB2312" w:eastAsia="楷体_GB2312" w:cs="楷体_GB2312"/>
          <w:i w:val="0"/>
          <w:iCs w:val="0"/>
          <w:caps w:val="0"/>
          <w:snapToGrid/>
          <w:spacing w:val="-4"/>
          <w:kern w:val="2"/>
          <w:sz w:val="32"/>
          <w:szCs w:val="32"/>
          <w:shd w:val="clear" w:color="auto" w:fill="auto"/>
          <w:lang w:val="en-US" w:eastAsia="zh-CN"/>
        </w:rPr>
        <w:t>三</w:t>
      </w:r>
      <w:r>
        <w:rPr>
          <w:rFonts w:hint="eastAsia" w:ascii="楷体_GB2312" w:hAnsi="楷体_GB2312" w:eastAsia="楷体_GB2312" w:cs="楷体_GB2312"/>
          <w:i w:val="0"/>
          <w:iCs w:val="0"/>
          <w:caps w:val="0"/>
          <w:snapToGrid/>
          <w:spacing w:val="-4"/>
          <w:kern w:val="2"/>
          <w:sz w:val="32"/>
          <w:szCs w:val="32"/>
          <w:shd w:val="clear" w:color="auto" w:fill="auto"/>
          <w:lang w:eastAsia="zh-CN"/>
        </w:rPr>
        <w:t>）</w:t>
      </w:r>
      <w:r>
        <w:rPr>
          <w:rFonts w:hint="eastAsia" w:ascii="仿宋_GB2312" w:hAnsi="仿宋_GB2312" w:eastAsia="仿宋_GB2312" w:cs="仿宋_GB2312"/>
          <w:i w:val="0"/>
          <w:iCs w:val="0"/>
          <w:caps w:val="0"/>
          <w:snapToGrid w:val="0"/>
          <w:spacing w:val="-4"/>
          <w:kern w:val="2"/>
          <w:sz w:val="32"/>
          <w:szCs w:val="32"/>
          <w:shd w:val="clear" w:color="auto" w:fill="auto"/>
        </w:rPr>
        <w:t>报名考生请务必关注苏州市财政局官网“苏州会计之窗”栏目或微信服务号“苏州会计之窗”，及时了解相关考试考务信息。</w:t>
      </w:r>
    </w:p>
    <w:p w14:paraId="48D44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p>
    <w:p w14:paraId="75323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left="0" w:right="0" w:firstLine="616" w:firstLineChars="200"/>
        <w:jc w:val="left"/>
        <w:textAlignment w:val="auto"/>
        <w:rPr>
          <w:rFonts w:hint="eastAsia" w:ascii="仿宋_GB2312" w:hAnsi="仿宋_GB2312" w:eastAsia="仿宋_GB2312" w:cs="仿宋_GB2312"/>
          <w:spacing w:val="-4"/>
          <w:kern w:val="2"/>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太仓市咨询电话：0512-53540711</w:t>
      </w:r>
    </w:p>
    <w:p w14:paraId="4B293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16" w:firstLineChars="200"/>
        <w:jc w:val="left"/>
        <w:textAlignment w:val="auto"/>
        <w:rPr>
          <w:rFonts w:hint="eastAsia" w:ascii="仿宋_GB2312" w:hAnsi="仿宋_GB2312" w:eastAsia="仿宋_GB2312" w:cs="仿宋_GB2312"/>
          <w:color w:val="000000"/>
          <w:spacing w:val="-4"/>
          <w:kern w:val="0"/>
          <w:sz w:val="32"/>
          <w:szCs w:val="32"/>
          <w:lang w:val="en-US" w:eastAsia="zh-CN" w:bidi="ar-SA"/>
        </w:rPr>
      </w:pPr>
      <w:r>
        <w:rPr>
          <w:rFonts w:hint="eastAsia" w:ascii="仿宋_GB2312" w:hAnsi="仿宋_GB2312" w:eastAsia="仿宋_GB2312" w:cs="仿宋_GB2312"/>
          <w:spacing w:val="-4"/>
          <w:kern w:val="2"/>
          <w:sz w:val="32"/>
          <w:szCs w:val="32"/>
          <w:lang w:val="en-US" w:eastAsia="zh-CN" w:bidi="ar-SA"/>
        </w:rPr>
        <w:t>咨询时间：工作日上午9:00-11:30；下午1:30-5:30</w:t>
      </w:r>
    </w:p>
    <w:p w14:paraId="3E94AC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eastAsia" w:ascii="仿宋_GB2312" w:hAnsi="仿宋_GB2312" w:eastAsia="仿宋_GB2312" w:cs="仿宋_GB2312"/>
          <w:color w:val="000000"/>
          <w:spacing w:val="-4"/>
          <w:kern w:val="0"/>
          <w:sz w:val="32"/>
          <w:szCs w:val="32"/>
          <w:lang w:val="en-US" w:eastAsia="zh-CN" w:bidi="ar-SA"/>
        </w:rPr>
      </w:pPr>
    </w:p>
    <w:p w14:paraId="6ACE6F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16" w:firstLineChars="200"/>
        <w:jc w:val="left"/>
        <w:textAlignment w:val="auto"/>
        <w:rPr>
          <w:rFonts w:hint="eastAsia" w:ascii="仿宋_GB2312" w:hAnsi="仿宋_GB2312" w:eastAsia="仿宋_GB2312" w:cs="仿宋_GB2312"/>
          <w:color w:val="000000"/>
          <w:spacing w:val="-4"/>
          <w:kern w:val="0"/>
          <w:sz w:val="32"/>
          <w:szCs w:val="32"/>
          <w:lang w:val="en-US" w:eastAsia="zh-CN" w:bidi="ar-SA"/>
        </w:rPr>
      </w:pPr>
    </w:p>
    <w:p w14:paraId="0B03D5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16" w:firstLineChars="200"/>
        <w:jc w:val="left"/>
        <w:textAlignment w:val="auto"/>
        <w:rPr>
          <w:rFonts w:hint="default" w:ascii="仿宋_GB2312" w:hAnsi="仿宋_GB2312" w:eastAsia="仿宋_GB2312" w:cs="仿宋_GB2312"/>
          <w:color w:val="000000"/>
          <w:spacing w:val="-4"/>
          <w:kern w:val="0"/>
          <w:sz w:val="32"/>
          <w:szCs w:val="32"/>
          <w:lang w:val="en-US" w:eastAsia="zh-CN" w:bidi="ar-SA"/>
        </w:rPr>
      </w:pPr>
      <w:r>
        <w:rPr>
          <w:rFonts w:hint="eastAsia" w:ascii="仿宋_GB2312" w:hAnsi="仿宋_GB2312" w:eastAsia="仿宋_GB2312" w:cs="仿宋_GB2312"/>
          <w:color w:val="000000"/>
          <w:spacing w:val="-4"/>
          <w:kern w:val="0"/>
          <w:sz w:val="32"/>
          <w:szCs w:val="32"/>
          <w:lang w:val="en-US" w:eastAsia="zh-CN" w:bidi="ar-SA"/>
        </w:rPr>
        <w:t>太仓市财政局               太仓市人力资源和社会保障局</w:t>
      </w:r>
    </w:p>
    <w:p w14:paraId="469759A1">
      <w:pPr>
        <w:keepNext w:val="0"/>
        <w:keepLines w:val="0"/>
        <w:pageBreakBefore w:val="0"/>
        <w:kinsoku/>
        <w:wordWrap/>
        <w:overflowPunct/>
        <w:topLinePunct w:val="0"/>
        <w:bidi w:val="0"/>
        <w:spacing w:line="580" w:lineRule="exact"/>
        <w:ind w:firstLine="616" w:firstLineChars="200"/>
        <w:jc w:val="center"/>
        <w:textAlignment w:val="auto"/>
        <w:rPr>
          <w:rFonts w:ascii="Times New Roman"/>
        </w:rPr>
      </w:pPr>
      <w:r>
        <w:rPr>
          <w:rFonts w:hint="eastAsia" w:ascii="仿宋_GB2312" w:hAnsi="仿宋_GB2312" w:eastAsia="仿宋_GB2312" w:cs="仿宋_GB2312"/>
          <w:color w:val="000000"/>
          <w:spacing w:val="-4"/>
          <w:kern w:val="0"/>
          <w:sz w:val="32"/>
          <w:szCs w:val="32"/>
          <w:lang w:val="en-US" w:eastAsia="zh-CN" w:bidi="ar-SA"/>
        </w:rPr>
        <w:t xml:space="preserve">                          2026年5月14日</w:t>
      </w:r>
    </w:p>
    <w:sectPr>
      <w:headerReference r:id="rId5" w:type="default"/>
      <w:footerReference r:id="rId6" w:type="default"/>
      <w:footerReference r:id="rId7" w:type="even"/>
      <w:pgSz w:w="11906" w:h="16838"/>
      <w:pgMar w:top="2154" w:right="1417" w:bottom="2041" w:left="1531" w:header="851" w:footer="1587" w:gutter="0"/>
      <w:pgNumType w:fmt="numberInDash" w:start="1"/>
      <w:cols w:space="720" w:num="1"/>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鼎简仿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汉鼎简黑体">
    <w:altName w:val="宋体"/>
    <w:panose1 w:val="02010609000101010101"/>
    <w:charset w:val="86"/>
    <w:family w:val="modern"/>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汉鼎简楷体">
    <w:altName w:val="宋体"/>
    <w:panose1 w:val="0201060900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D56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D0BC5">
                          <w:pPr>
                            <w:pStyle w:val="8"/>
                            <w:rPr>
                              <w:rFonts w:hint="eastAsia" w:eastAsia="汉鼎简仿宋"/>
                            </w:rPr>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F2D0BC5">
                    <w:pPr>
                      <w:pStyle w:val="8"/>
                      <w:rPr>
                        <w:rFonts w:hint="eastAsia" w:eastAsia="汉鼎简仿宋"/>
                      </w:rPr>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D53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75A27">
                          <w:pPr>
                            <w:pStyle w:val="8"/>
                            <w:rPr>
                              <w:rFonts w:hint="eastAsia" w:eastAsia="仿宋"/>
                            </w:rPr>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74E75A27">
                    <w:pPr>
                      <w:pStyle w:val="8"/>
                      <w:rPr>
                        <w:rFonts w:hint="eastAsia" w:eastAsia="仿宋"/>
                      </w:rPr>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7A14">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315"/>
  <w:drawingGridVerticalSpacing w:val="290"/>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39"/>
    <w:rsid w:val="00000D19"/>
    <w:rsid w:val="00003841"/>
    <w:rsid w:val="00013238"/>
    <w:rsid w:val="00013CD1"/>
    <w:rsid w:val="00023AFF"/>
    <w:rsid w:val="0003667F"/>
    <w:rsid w:val="00053161"/>
    <w:rsid w:val="0007516B"/>
    <w:rsid w:val="0008675F"/>
    <w:rsid w:val="00092659"/>
    <w:rsid w:val="00097AD3"/>
    <w:rsid w:val="000A3662"/>
    <w:rsid w:val="000B6825"/>
    <w:rsid w:val="000C4B8D"/>
    <w:rsid w:val="000D3AA4"/>
    <w:rsid w:val="000D4105"/>
    <w:rsid w:val="000E27E5"/>
    <w:rsid w:val="000F3866"/>
    <w:rsid w:val="001021A3"/>
    <w:rsid w:val="00102DF7"/>
    <w:rsid w:val="00103A52"/>
    <w:rsid w:val="00105ED3"/>
    <w:rsid w:val="00112728"/>
    <w:rsid w:val="00122C9F"/>
    <w:rsid w:val="00126123"/>
    <w:rsid w:val="0015208E"/>
    <w:rsid w:val="00167A51"/>
    <w:rsid w:val="00167DF4"/>
    <w:rsid w:val="00174155"/>
    <w:rsid w:val="001944FD"/>
    <w:rsid w:val="00194616"/>
    <w:rsid w:val="00196C25"/>
    <w:rsid w:val="001E4589"/>
    <w:rsid w:val="001F0139"/>
    <w:rsid w:val="00212F04"/>
    <w:rsid w:val="00216EB2"/>
    <w:rsid w:val="00220157"/>
    <w:rsid w:val="002219DA"/>
    <w:rsid w:val="00237490"/>
    <w:rsid w:val="002375D6"/>
    <w:rsid w:val="0024259C"/>
    <w:rsid w:val="0024482D"/>
    <w:rsid w:val="00254E7B"/>
    <w:rsid w:val="002577FC"/>
    <w:rsid w:val="00270F65"/>
    <w:rsid w:val="0027135C"/>
    <w:rsid w:val="00277C4B"/>
    <w:rsid w:val="0028333C"/>
    <w:rsid w:val="002919D3"/>
    <w:rsid w:val="002A7426"/>
    <w:rsid w:val="002B006A"/>
    <w:rsid w:val="002B0C83"/>
    <w:rsid w:val="002D0E8E"/>
    <w:rsid w:val="002D2E11"/>
    <w:rsid w:val="003023FC"/>
    <w:rsid w:val="0032144A"/>
    <w:rsid w:val="003228D8"/>
    <w:rsid w:val="0033551D"/>
    <w:rsid w:val="003434D8"/>
    <w:rsid w:val="003455D7"/>
    <w:rsid w:val="00350FBA"/>
    <w:rsid w:val="00390A47"/>
    <w:rsid w:val="003947D8"/>
    <w:rsid w:val="00395405"/>
    <w:rsid w:val="003A2A4F"/>
    <w:rsid w:val="003A3F06"/>
    <w:rsid w:val="003E5AD1"/>
    <w:rsid w:val="003F60A5"/>
    <w:rsid w:val="00400C45"/>
    <w:rsid w:val="00421510"/>
    <w:rsid w:val="00424BAF"/>
    <w:rsid w:val="004319D7"/>
    <w:rsid w:val="0044667F"/>
    <w:rsid w:val="00447723"/>
    <w:rsid w:val="004606CD"/>
    <w:rsid w:val="004631A1"/>
    <w:rsid w:val="00463453"/>
    <w:rsid w:val="004709B8"/>
    <w:rsid w:val="004775DA"/>
    <w:rsid w:val="004A0479"/>
    <w:rsid w:val="004A5CC1"/>
    <w:rsid w:val="004A5E94"/>
    <w:rsid w:val="004B6DDB"/>
    <w:rsid w:val="004C0E5F"/>
    <w:rsid w:val="004D17C3"/>
    <w:rsid w:val="004D5875"/>
    <w:rsid w:val="004D6777"/>
    <w:rsid w:val="004E0701"/>
    <w:rsid w:val="00510222"/>
    <w:rsid w:val="005110E9"/>
    <w:rsid w:val="005114A6"/>
    <w:rsid w:val="00516FAB"/>
    <w:rsid w:val="00517931"/>
    <w:rsid w:val="005179D8"/>
    <w:rsid w:val="00524CC2"/>
    <w:rsid w:val="005379C6"/>
    <w:rsid w:val="00552DC8"/>
    <w:rsid w:val="00560370"/>
    <w:rsid w:val="00564564"/>
    <w:rsid w:val="00570F1C"/>
    <w:rsid w:val="005766E4"/>
    <w:rsid w:val="0058318E"/>
    <w:rsid w:val="00594463"/>
    <w:rsid w:val="005A5E1A"/>
    <w:rsid w:val="005A630D"/>
    <w:rsid w:val="005B0272"/>
    <w:rsid w:val="005B06E7"/>
    <w:rsid w:val="005B23C1"/>
    <w:rsid w:val="005B4576"/>
    <w:rsid w:val="005B7D6A"/>
    <w:rsid w:val="005C69D7"/>
    <w:rsid w:val="005D76B4"/>
    <w:rsid w:val="005F1D3C"/>
    <w:rsid w:val="005F7A57"/>
    <w:rsid w:val="00612B21"/>
    <w:rsid w:val="006131E7"/>
    <w:rsid w:val="00615B05"/>
    <w:rsid w:val="00620B95"/>
    <w:rsid w:val="006569EC"/>
    <w:rsid w:val="00657764"/>
    <w:rsid w:val="00681CD0"/>
    <w:rsid w:val="00685640"/>
    <w:rsid w:val="00690C2B"/>
    <w:rsid w:val="006A0859"/>
    <w:rsid w:val="006B11A3"/>
    <w:rsid w:val="006B1D23"/>
    <w:rsid w:val="006B35E1"/>
    <w:rsid w:val="006C025B"/>
    <w:rsid w:val="006C46A1"/>
    <w:rsid w:val="006D5860"/>
    <w:rsid w:val="006E34B2"/>
    <w:rsid w:val="006F5F5E"/>
    <w:rsid w:val="00710FB4"/>
    <w:rsid w:val="00726260"/>
    <w:rsid w:val="007409B2"/>
    <w:rsid w:val="00743FAC"/>
    <w:rsid w:val="007452F9"/>
    <w:rsid w:val="00757E9E"/>
    <w:rsid w:val="00761242"/>
    <w:rsid w:val="00764BA1"/>
    <w:rsid w:val="007726EF"/>
    <w:rsid w:val="00774A97"/>
    <w:rsid w:val="00780DBC"/>
    <w:rsid w:val="00783CA8"/>
    <w:rsid w:val="007A417A"/>
    <w:rsid w:val="007A625C"/>
    <w:rsid w:val="007A6681"/>
    <w:rsid w:val="007A70E7"/>
    <w:rsid w:val="007B0E62"/>
    <w:rsid w:val="007B3C5D"/>
    <w:rsid w:val="007C03F9"/>
    <w:rsid w:val="007C0B84"/>
    <w:rsid w:val="007C1D8D"/>
    <w:rsid w:val="007D2FD2"/>
    <w:rsid w:val="007D2FF7"/>
    <w:rsid w:val="007E44EF"/>
    <w:rsid w:val="007E639A"/>
    <w:rsid w:val="007F29FD"/>
    <w:rsid w:val="007F6318"/>
    <w:rsid w:val="007F6F2D"/>
    <w:rsid w:val="008049AD"/>
    <w:rsid w:val="00811E24"/>
    <w:rsid w:val="0081744B"/>
    <w:rsid w:val="00834112"/>
    <w:rsid w:val="00852639"/>
    <w:rsid w:val="00857B4B"/>
    <w:rsid w:val="00862C88"/>
    <w:rsid w:val="00867F9A"/>
    <w:rsid w:val="008832A4"/>
    <w:rsid w:val="00883506"/>
    <w:rsid w:val="00894C60"/>
    <w:rsid w:val="00895B4D"/>
    <w:rsid w:val="008A33F4"/>
    <w:rsid w:val="008A7473"/>
    <w:rsid w:val="008B222B"/>
    <w:rsid w:val="008B7312"/>
    <w:rsid w:val="008C24EA"/>
    <w:rsid w:val="008C7E6A"/>
    <w:rsid w:val="008D24B7"/>
    <w:rsid w:val="008D3511"/>
    <w:rsid w:val="008D4B8E"/>
    <w:rsid w:val="008E3EA6"/>
    <w:rsid w:val="008E5B31"/>
    <w:rsid w:val="009011C5"/>
    <w:rsid w:val="0090290D"/>
    <w:rsid w:val="00910517"/>
    <w:rsid w:val="009154B8"/>
    <w:rsid w:val="00952C6A"/>
    <w:rsid w:val="00955940"/>
    <w:rsid w:val="00957BF3"/>
    <w:rsid w:val="009766D4"/>
    <w:rsid w:val="009859FE"/>
    <w:rsid w:val="009951A1"/>
    <w:rsid w:val="00996170"/>
    <w:rsid w:val="009A1B02"/>
    <w:rsid w:val="009A39B1"/>
    <w:rsid w:val="009C6D7E"/>
    <w:rsid w:val="009F4617"/>
    <w:rsid w:val="009F5851"/>
    <w:rsid w:val="009F6B61"/>
    <w:rsid w:val="00A027A0"/>
    <w:rsid w:val="00A0631A"/>
    <w:rsid w:val="00A14A4B"/>
    <w:rsid w:val="00A2616B"/>
    <w:rsid w:val="00A41B7D"/>
    <w:rsid w:val="00A4352B"/>
    <w:rsid w:val="00A91AC5"/>
    <w:rsid w:val="00AA1BFE"/>
    <w:rsid w:val="00AA6C89"/>
    <w:rsid w:val="00AC1BB3"/>
    <w:rsid w:val="00AD4A95"/>
    <w:rsid w:val="00AD5A3F"/>
    <w:rsid w:val="00AD6BDF"/>
    <w:rsid w:val="00AF2197"/>
    <w:rsid w:val="00AF7BCF"/>
    <w:rsid w:val="00B04BBA"/>
    <w:rsid w:val="00B06242"/>
    <w:rsid w:val="00B06F95"/>
    <w:rsid w:val="00B126C5"/>
    <w:rsid w:val="00B3382C"/>
    <w:rsid w:val="00B46355"/>
    <w:rsid w:val="00B567DA"/>
    <w:rsid w:val="00B61EF8"/>
    <w:rsid w:val="00B737CD"/>
    <w:rsid w:val="00B75A17"/>
    <w:rsid w:val="00B82947"/>
    <w:rsid w:val="00B839BD"/>
    <w:rsid w:val="00B909C5"/>
    <w:rsid w:val="00B91B80"/>
    <w:rsid w:val="00BB3FA8"/>
    <w:rsid w:val="00BC1586"/>
    <w:rsid w:val="00BC33F9"/>
    <w:rsid w:val="00BE6291"/>
    <w:rsid w:val="00BE7FEB"/>
    <w:rsid w:val="00C140A5"/>
    <w:rsid w:val="00C240D8"/>
    <w:rsid w:val="00C26200"/>
    <w:rsid w:val="00C32584"/>
    <w:rsid w:val="00C50736"/>
    <w:rsid w:val="00C64067"/>
    <w:rsid w:val="00C64242"/>
    <w:rsid w:val="00C72822"/>
    <w:rsid w:val="00C7652B"/>
    <w:rsid w:val="00C8261B"/>
    <w:rsid w:val="00C905CD"/>
    <w:rsid w:val="00C9276B"/>
    <w:rsid w:val="00C93F27"/>
    <w:rsid w:val="00CA0679"/>
    <w:rsid w:val="00CA1589"/>
    <w:rsid w:val="00CD5176"/>
    <w:rsid w:val="00D0690F"/>
    <w:rsid w:val="00D144E1"/>
    <w:rsid w:val="00D25A01"/>
    <w:rsid w:val="00D35EE3"/>
    <w:rsid w:val="00D3680A"/>
    <w:rsid w:val="00D369D8"/>
    <w:rsid w:val="00D36D3E"/>
    <w:rsid w:val="00D413D1"/>
    <w:rsid w:val="00D465C0"/>
    <w:rsid w:val="00D707F0"/>
    <w:rsid w:val="00D8787B"/>
    <w:rsid w:val="00D879EB"/>
    <w:rsid w:val="00DA7A3E"/>
    <w:rsid w:val="00DB52DE"/>
    <w:rsid w:val="00DC4E10"/>
    <w:rsid w:val="00DC606A"/>
    <w:rsid w:val="00DD0DCC"/>
    <w:rsid w:val="00DD2640"/>
    <w:rsid w:val="00DE3DF3"/>
    <w:rsid w:val="00DE6BB2"/>
    <w:rsid w:val="00DF7192"/>
    <w:rsid w:val="00E0273C"/>
    <w:rsid w:val="00E06585"/>
    <w:rsid w:val="00E0696D"/>
    <w:rsid w:val="00E12246"/>
    <w:rsid w:val="00E206FC"/>
    <w:rsid w:val="00E465D1"/>
    <w:rsid w:val="00E5032A"/>
    <w:rsid w:val="00E50570"/>
    <w:rsid w:val="00E57760"/>
    <w:rsid w:val="00E63370"/>
    <w:rsid w:val="00E738B3"/>
    <w:rsid w:val="00E7714C"/>
    <w:rsid w:val="00E84EB5"/>
    <w:rsid w:val="00E878CF"/>
    <w:rsid w:val="00EA5527"/>
    <w:rsid w:val="00EB2996"/>
    <w:rsid w:val="00ED33AE"/>
    <w:rsid w:val="00ED7ED5"/>
    <w:rsid w:val="00EE6E99"/>
    <w:rsid w:val="00EE7BDA"/>
    <w:rsid w:val="00EF42F3"/>
    <w:rsid w:val="00EF6D7C"/>
    <w:rsid w:val="00F00ACC"/>
    <w:rsid w:val="00F01E30"/>
    <w:rsid w:val="00F02FCF"/>
    <w:rsid w:val="00F31843"/>
    <w:rsid w:val="00F35807"/>
    <w:rsid w:val="00F36CDD"/>
    <w:rsid w:val="00F5463E"/>
    <w:rsid w:val="00F77B3A"/>
    <w:rsid w:val="00F90D99"/>
    <w:rsid w:val="00F936C6"/>
    <w:rsid w:val="00F977BA"/>
    <w:rsid w:val="00FA1239"/>
    <w:rsid w:val="00FA36CB"/>
    <w:rsid w:val="00FC08CE"/>
    <w:rsid w:val="00FC0BEB"/>
    <w:rsid w:val="00FD013B"/>
    <w:rsid w:val="00FE2486"/>
    <w:rsid w:val="00FF6178"/>
    <w:rsid w:val="01B07B33"/>
    <w:rsid w:val="02987B92"/>
    <w:rsid w:val="039F5999"/>
    <w:rsid w:val="03B63D26"/>
    <w:rsid w:val="04A14C29"/>
    <w:rsid w:val="058A7125"/>
    <w:rsid w:val="06973494"/>
    <w:rsid w:val="06A12170"/>
    <w:rsid w:val="06C82F8B"/>
    <w:rsid w:val="07051E94"/>
    <w:rsid w:val="07366E7B"/>
    <w:rsid w:val="07FA7E23"/>
    <w:rsid w:val="0CAF4C63"/>
    <w:rsid w:val="0CF827D4"/>
    <w:rsid w:val="102E361B"/>
    <w:rsid w:val="10347723"/>
    <w:rsid w:val="10473F8C"/>
    <w:rsid w:val="108252A3"/>
    <w:rsid w:val="11BE4BA1"/>
    <w:rsid w:val="130804C5"/>
    <w:rsid w:val="1418439F"/>
    <w:rsid w:val="1443739E"/>
    <w:rsid w:val="153C26D7"/>
    <w:rsid w:val="15E15BF9"/>
    <w:rsid w:val="1671672F"/>
    <w:rsid w:val="16BE1FF4"/>
    <w:rsid w:val="18DB2F5A"/>
    <w:rsid w:val="18EA2666"/>
    <w:rsid w:val="195E21AF"/>
    <w:rsid w:val="1A616F0C"/>
    <w:rsid w:val="1B422295"/>
    <w:rsid w:val="1B741899"/>
    <w:rsid w:val="1CA448B7"/>
    <w:rsid w:val="1CF65524"/>
    <w:rsid w:val="1DA170C9"/>
    <w:rsid w:val="1E620C67"/>
    <w:rsid w:val="219A58AD"/>
    <w:rsid w:val="220D61EA"/>
    <w:rsid w:val="22235F69"/>
    <w:rsid w:val="22734C95"/>
    <w:rsid w:val="23046782"/>
    <w:rsid w:val="23A87290"/>
    <w:rsid w:val="2424465B"/>
    <w:rsid w:val="24CA7D88"/>
    <w:rsid w:val="25001A40"/>
    <w:rsid w:val="274D535A"/>
    <w:rsid w:val="29DC63B2"/>
    <w:rsid w:val="2B503D9E"/>
    <w:rsid w:val="2B9D691E"/>
    <w:rsid w:val="2C4A1E3B"/>
    <w:rsid w:val="2C9F6F43"/>
    <w:rsid w:val="2FEC65BB"/>
    <w:rsid w:val="303A1CAD"/>
    <w:rsid w:val="30D318CB"/>
    <w:rsid w:val="311C64D7"/>
    <w:rsid w:val="314E4190"/>
    <w:rsid w:val="32D64AF4"/>
    <w:rsid w:val="34EF7369"/>
    <w:rsid w:val="36600DB6"/>
    <w:rsid w:val="36636C0B"/>
    <w:rsid w:val="3683687F"/>
    <w:rsid w:val="36E8395A"/>
    <w:rsid w:val="372D44CE"/>
    <w:rsid w:val="385976EB"/>
    <w:rsid w:val="38A218A7"/>
    <w:rsid w:val="3A454E26"/>
    <w:rsid w:val="3B870ECD"/>
    <w:rsid w:val="3D611597"/>
    <w:rsid w:val="3EA65166"/>
    <w:rsid w:val="3EE95EF5"/>
    <w:rsid w:val="3F4A332C"/>
    <w:rsid w:val="41C660F7"/>
    <w:rsid w:val="4578305A"/>
    <w:rsid w:val="457F5E93"/>
    <w:rsid w:val="45EE699E"/>
    <w:rsid w:val="46D509C3"/>
    <w:rsid w:val="47A348B4"/>
    <w:rsid w:val="484C4939"/>
    <w:rsid w:val="4B51629E"/>
    <w:rsid w:val="4C0D5F29"/>
    <w:rsid w:val="4C850506"/>
    <w:rsid w:val="4E925476"/>
    <w:rsid w:val="4E9A004A"/>
    <w:rsid w:val="4F183E29"/>
    <w:rsid w:val="4F6219FA"/>
    <w:rsid w:val="4F807EB0"/>
    <w:rsid w:val="5415227F"/>
    <w:rsid w:val="54601682"/>
    <w:rsid w:val="54C46B9F"/>
    <w:rsid w:val="55487179"/>
    <w:rsid w:val="56C24CF0"/>
    <w:rsid w:val="57101FE7"/>
    <w:rsid w:val="57CC7219"/>
    <w:rsid w:val="585722FF"/>
    <w:rsid w:val="59BB35A6"/>
    <w:rsid w:val="5C001E00"/>
    <w:rsid w:val="5C052A04"/>
    <w:rsid w:val="5C2B4825"/>
    <w:rsid w:val="5CC93411"/>
    <w:rsid w:val="5D11008D"/>
    <w:rsid w:val="5DAC4E29"/>
    <w:rsid w:val="5E544C2B"/>
    <w:rsid w:val="5EF27BD4"/>
    <w:rsid w:val="5F7D686C"/>
    <w:rsid w:val="6219297F"/>
    <w:rsid w:val="62EC0759"/>
    <w:rsid w:val="63411200"/>
    <w:rsid w:val="63613B41"/>
    <w:rsid w:val="63B86BA8"/>
    <w:rsid w:val="644B252D"/>
    <w:rsid w:val="64E01E8E"/>
    <w:rsid w:val="65790D87"/>
    <w:rsid w:val="65B53A3A"/>
    <w:rsid w:val="66791C63"/>
    <w:rsid w:val="66D954CC"/>
    <w:rsid w:val="68AE5FFE"/>
    <w:rsid w:val="69153478"/>
    <w:rsid w:val="69904740"/>
    <w:rsid w:val="69BA0575"/>
    <w:rsid w:val="6A235C61"/>
    <w:rsid w:val="6A8211B0"/>
    <w:rsid w:val="6B8A7D7E"/>
    <w:rsid w:val="6C040EB1"/>
    <w:rsid w:val="6C0618C6"/>
    <w:rsid w:val="6D2E27D5"/>
    <w:rsid w:val="6D883FC0"/>
    <w:rsid w:val="6DE14265"/>
    <w:rsid w:val="71A67303"/>
    <w:rsid w:val="7204189B"/>
    <w:rsid w:val="7252741C"/>
    <w:rsid w:val="737B5F85"/>
    <w:rsid w:val="744B2DDA"/>
    <w:rsid w:val="76FD35EA"/>
    <w:rsid w:val="77916E0B"/>
    <w:rsid w:val="79B96D7B"/>
    <w:rsid w:val="7A0C1112"/>
    <w:rsid w:val="7A514939"/>
    <w:rsid w:val="7ABB6566"/>
    <w:rsid w:val="7B224CE7"/>
    <w:rsid w:val="7BAB6FC2"/>
    <w:rsid w:val="7E7D15DF"/>
    <w:rsid w:val="7E886628"/>
    <w:rsid w:val="7EAF64E7"/>
    <w:rsid w:val="7F743B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汉鼎简仿宋" w:hAnsi="Times New Roman" w:eastAsia="仿宋"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snapToGrid/>
      <w:ind w:firstLine="0"/>
      <w:jc w:val="left"/>
    </w:pPr>
    <w:rPr>
      <w:spacing w:val="-25"/>
      <w:kern w:val="0"/>
    </w:rPr>
  </w:style>
  <w:style w:type="paragraph" w:styleId="5">
    <w:name w:val="annotation text"/>
    <w:basedOn w:val="1"/>
    <w:link w:val="18"/>
    <w:qFormat/>
    <w:uiPriority w:val="0"/>
    <w:pPr>
      <w:jc w:val="left"/>
    </w:pPr>
    <w:rPr>
      <w:snapToGrid/>
    </w:rPr>
  </w:style>
  <w:style w:type="paragraph" w:styleId="6">
    <w:name w:val="Body Text 3"/>
    <w:basedOn w:val="1"/>
    <w:link w:val="19"/>
    <w:qFormat/>
    <w:uiPriority w:val="0"/>
    <w:pPr>
      <w:autoSpaceDE/>
      <w:autoSpaceDN/>
      <w:snapToGrid/>
      <w:spacing w:line="560" w:lineRule="atLeast"/>
      <w:ind w:right="-544" w:rightChars="-259" w:firstLine="0"/>
    </w:pPr>
    <w:rPr>
      <w:rFonts w:ascii="黑体" w:eastAsia="黑体"/>
      <w:snapToGrid/>
      <w:kern w:val="2"/>
      <w:sz w:val="24"/>
      <w:szCs w:val="24"/>
    </w:rPr>
  </w:style>
  <w:style w:type="paragraph" w:styleId="7">
    <w:name w:val="Balloon Text"/>
    <w:basedOn w:val="1"/>
    <w:semiHidden/>
    <w:uiPriority w:val="0"/>
    <w:rPr>
      <w:sz w:val="18"/>
      <w:szCs w:val="18"/>
    </w:rPr>
  </w:style>
  <w:style w:type="paragraph" w:styleId="8">
    <w:name w:val="footer"/>
    <w:basedOn w:val="1"/>
    <w:link w:val="20"/>
    <w:uiPriority w:val="99"/>
    <w:pPr>
      <w:tabs>
        <w:tab w:val="center" w:pos="4153"/>
        <w:tab w:val="right" w:pos="8306"/>
      </w:tabs>
      <w:spacing w:line="400" w:lineRule="atLeast"/>
      <w:ind w:firstLine="0"/>
      <w:jc w:val="center"/>
    </w:pPr>
    <w:rPr>
      <w:rFonts w:ascii="宋体" w:hAnsi="宋体" w:eastAsia="宋体"/>
      <w:snapToGrid/>
      <w:sz w:val="28"/>
    </w:rPr>
  </w:style>
  <w:style w:type="paragraph" w:styleId="9">
    <w:name w:val="header"/>
    <w:basedOn w:val="1"/>
    <w:link w:val="21"/>
    <w:uiPriority w:val="99"/>
    <w:pPr>
      <w:pBdr>
        <w:bottom w:val="single" w:color="auto" w:sz="6" w:space="1"/>
      </w:pBdr>
      <w:tabs>
        <w:tab w:val="center" w:pos="4153"/>
        <w:tab w:val="right" w:pos="8306"/>
      </w:tabs>
      <w:snapToGrid w:val="0"/>
      <w:spacing w:line="240" w:lineRule="atLeast"/>
      <w:jc w:val="center"/>
    </w:pPr>
    <w:rPr>
      <w:snapToGrid/>
      <w:sz w:val="18"/>
    </w:rPr>
  </w:style>
  <w:style w:type="paragraph" w:styleId="10">
    <w:name w:val="Normal (Web)"/>
    <w:basedOn w:val="1"/>
    <w:qFormat/>
    <w:uiPriority w:val="99"/>
    <w:pPr>
      <w:widowControl/>
      <w:autoSpaceDE/>
      <w:autoSpaceDN/>
      <w:snapToGrid/>
      <w:spacing w:before="100" w:beforeAutospacing="1" w:after="100" w:afterAutospacing="1" w:line="240" w:lineRule="auto"/>
      <w:ind w:firstLine="0"/>
      <w:jc w:val="left"/>
    </w:pPr>
    <w:rPr>
      <w:rFonts w:ascii="宋体" w:hAnsi="宋体" w:eastAsia="宋体"/>
      <w:snapToGrid/>
      <w:sz w:val="21"/>
      <w:szCs w:val="21"/>
    </w:rPr>
  </w:style>
  <w:style w:type="paragraph" w:styleId="11">
    <w:name w:val="annotation subject"/>
    <w:basedOn w:val="5"/>
    <w:next w:val="5"/>
    <w:link w:val="22"/>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unhideWhenUsed/>
    <w:uiPriority w:val="99"/>
    <w:rPr>
      <w:color w:val="0000FF"/>
      <w:u w:val="single"/>
    </w:rPr>
  </w:style>
  <w:style w:type="character" w:styleId="17">
    <w:name w:val="annotation reference"/>
    <w:uiPriority w:val="0"/>
    <w:rPr>
      <w:sz w:val="21"/>
      <w:szCs w:val="21"/>
    </w:rPr>
  </w:style>
  <w:style w:type="character" w:customStyle="1" w:styleId="18">
    <w:name w:val="批注文字 Char"/>
    <w:link w:val="5"/>
    <w:qFormat/>
    <w:uiPriority w:val="0"/>
    <w:rPr>
      <w:rFonts w:ascii="汉鼎简仿宋" w:eastAsia="汉鼎简仿宋"/>
      <w:snapToGrid/>
      <w:sz w:val="32"/>
    </w:rPr>
  </w:style>
  <w:style w:type="character" w:customStyle="1" w:styleId="19">
    <w:name w:val="正文文本 3 Char"/>
    <w:link w:val="6"/>
    <w:qFormat/>
    <w:uiPriority w:val="0"/>
    <w:rPr>
      <w:rFonts w:ascii="黑体" w:eastAsia="黑体"/>
      <w:kern w:val="2"/>
      <w:sz w:val="24"/>
      <w:szCs w:val="24"/>
    </w:rPr>
  </w:style>
  <w:style w:type="character" w:customStyle="1" w:styleId="20">
    <w:name w:val="页脚 Char"/>
    <w:link w:val="8"/>
    <w:uiPriority w:val="99"/>
    <w:rPr>
      <w:rFonts w:ascii="宋体" w:hAnsi="宋体"/>
      <w:snapToGrid/>
      <w:sz w:val="28"/>
    </w:rPr>
  </w:style>
  <w:style w:type="character" w:customStyle="1" w:styleId="21">
    <w:name w:val="页眉 Char"/>
    <w:link w:val="9"/>
    <w:qFormat/>
    <w:uiPriority w:val="99"/>
    <w:rPr>
      <w:rFonts w:ascii="汉鼎简仿宋" w:eastAsia="汉鼎简仿宋"/>
      <w:snapToGrid/>
      <w:sz w:val="18"/>
    </w:rPr>
  </w:style>
  <w:style w:type="character" w:customStyle="1" w:styleId="22">
    <w:name w:val="批注主题 Char"/>
    <w:link w:val="11"/>
    <w:uiPriority w:val="0"/>
    <w:rPr>
      <w:rFonts w:ascii="汉鼎简仿宋" w:eastAsia="汉鼎简仿宋"/>
      <w:b/>
      <w:bCs/>
      <w:snapToGrid/>
      <w:sz w:val="32"/>
    </w:rPr>
  </w:style>
  <w:style w:type="paragraph" w:customStyle="1" w:styleId="23">
    <w:name w:val="密级"/>
    <w:basedOn w:val="1"/>
    <w:qFormat/>
    <w:uiPriority w:val="0"/>
    <w:pPr>
      <w:autoSpaceDE w:val="0"/>
      <w:autoSpaceDN w:val="0"/>
      <w:adjustRightInd w:val="0"/>
      <w:snapToGrid/>
      <w:spacing w:line="425" w:lineRule="atLeast"/>
      <w:ind w:firstLine="0"/>
      <w:jc w:val="right"/>
    </w:pPr>
    <w:rPr>
      <w:rFonts w:ascii="黑体" w:eastAsia="黑体"/>
      <w:spacing w:val="0"/>
      <w:kern w:val="0"/>
      <w:sz w:val="30"/>
    </w:rPr>
  </w:style>
  <w:style w:type="paragraph" w:styleId="24">
    <w:name w:val="List Paragraph"/>
    <w:basedOn w:val="1"/>
    <w:qFormat/>
    <w:uiPriority w:val="0"/>
    <w:pPr>
      <w:widowControl/>
      <w:autoSpaceDE/>
      <w:autoSpaceDN/>
      <w:adjustRightInd w:val="0"/>
      <w:spacing w:after="200" w:line="240" w:lineRule="auto"/>
      <w:ind w:firstLine="420" w:firstLineChars="200"/>
      <w:jc w:val="left"/>
    </w:pPr>
    <w:rPr>
      <w:rFonts w:ascii="Tahoma" w:hAnsi="Tahoma" w:eastAsia="微软雅黑" w:cs="Tahoma"/>
      <w:snapToGrid/>
      <w:sz w:val="22"/>
      <w:szCs w:val="22"/>
    </w:rPr>
  </w:style>
  <w:style w:type="paragraph" w:customStyle="1" w:styleId="25">
    <w:name w:val="主题词"/>
    <w:basedOn w:val="1"/>
    <w:uiPriority w:val="0"/>
    <w:pPr>
      <w:autoSpaceDE w:val="0"/>
      <w:autoSpaceDN w:val="0"/>
      <w:adjustRightInd w:val="0"/>
      <w:snapToGrid/>
      <w:spacing w:line="240" w:lineRule="atLeast"/>
      <w:ind w:firstLine="0"/>
      <w:jc w:val="left"/>
    </w:pPr>
    <w:rPr>
      <w:rFonts w:ascii="宋体" w:eastAsia="宋体"/>
      <w:b/>
      <w:spacing w:val="0"/>
      <w:kern w:val="0"/>
    </w:rPr>
  </w:style>
  <w:style w:type="paragraph" w:customStyle="1" w:styleId="26">
    <w:name w:val="印发栏"/>
    <w:basedOn w:val="4"/>
    <w:uiPriority w:val="0"/>
    <w:pPr>
      <w:tabs>
        <w:tab w:val="left" w:pos="284"/>
        <w:tab w:val="left" w:pos="5387"/>
      </w:tabs>
      <w:spacing w:line="397" w:lineRule="atLeast"/>
    </w:pPr>
    <w:rPr>
      <w:spacing w:val="0"/>
      <w:sz w:val="28"/>
    </w:rPr>
  </w:style>
  <w:style w:type="paragraph" w:customStyle="1" w:styleId="27">
    <w:name w:val="线型"/>
    <w:basedOn w:val="28"/>
    <w:uiPriority w:val="0"/>
    <w:pPr>
      <w:spacing w:line="240" w:lineRule="auto"/>
      <w:ind w:left="0" w:firstLine="0"/>
      <w:jc w:val="center"/>
    </w:pPr>
    <w:rPr>
      <w:sz w:val="21"/>
    </w:rPr>
  </w:style>
  <w:style w:type="paragraph" w:customStyle="1" w:styleId="28">
    <w:name w:val="抄送栏"/>
    <w:basedOn w:val="1"/>
    <w:uiPriority w:val="0"/>
    <w:pPr>
      <w:autoSpaceDE w:val="0"/>
      <w:autoSpaceDN w:val="0"/>
      <w:adjustRightInd w:val="0"/>
      <w:snapToGrid/>
      <w:spacing w:line="454" w:lineRule="atLeast"/>
      <w:ind w:left="851" w:hanging="851"/>
    </w:pPr>
    <w:rPr>
      <w:spacing w:val="0"/>
      <w:kern w:val="0"/>
      <w:sz w:val="28"/>
    </w:rPr>
  </w:style>
  <w:style w:type="paragraph" w:customStyle="1" w:styleId="29">
    <w:name w:val="附件栏"/>
    <w:basedOn w:val="1"/>
    <w:uiPriority w:val="0"/>
  </w:style>
  <w:style w:type="paragraph" w:customStyle="1" w:styleId="30">
    <w:name w:val="红线"/>
    <w:basedOn w:val="2"/>
    <w:uiPriority w:val="0"/>
    <w:pPr>
      <w:keepNext w:val="0"/>
      <w:keepLines w:val="0"/>
      <w:autoSpaceDE w:val="0"/>
      <w:autoSpaceDN w:val="0"/>
      <w:adjustRightInd w:val="0"/>
      <w:snapToGrid/>
      <w:spacing w:before="0" w:after="851" w:line="227" w:lineRule="atLeast"/>
      <w:ind w:right="-142" w:firstLine="0"/>
      <w:jc w:val="center"/>
      <w:outlineLvl w:val="9"/>
    </w:pPr>
    <w:rPr>
      <w:rFonts w:ascii="宋体" w:eastAsia="宋体"/>
      <w:spacing w:val="0"/>
      <w:kern w:val="0"/>
      <w:sz w:val="10"/>
    </w:rPr>
  </w:style>
  <w:style w:type="paragraph" w:customStyle="1" w:styleId="31">
    <w:name w:val="紧急程度"/>
    <w:basedOn w:val="23"/>
    <w:uiPriority w:val="0"/>
    <w:pPr>
      <w:spacing w:line="397" w:lineRule="atLeast"/>
    </w:pPr>
    <w:rPr>
      <w:rFonts w:ascii="汉鼎简黑体" w:hAnsi="汉鼎简黑体" w:eastAsia="汉鼎简黑体"/>
      <w:sz w:val="32"/>
    </w:rPr>
  </w:style>
  <w:style w:type="paragraph" w:customStyle="1" w:styleId="32">
    <w:name w:val="标题1"/>
    <w:basedOn w:val="1"/>
    <w:next w:val="1"/>
    <w:uiPriority w:val="0"/>
    <w:pPr>
      <w:tabs>
        <w:tab w:val="left" w:pos="9193"/>
        <w:tab w:val="left" w:pos="9827"/>
      </w:tabs>
      <w:autoSpaceDE w:val="0"/>
      <w:autoSpaceDN w:val="0"/>
      <w:spacing w:line="700" w:lineRule="atLeast"/>
      <w:ind w:firstLine="0"/>
      <w:jc w:val="center"/>
    </w:pPr>
    <w:rPr>
      <w:rFonts w:ascii="汉鼎简大宋" w:eastAsia="汉鼎简大宋"/>
      <w:snapToGrid w:val="0"/>
      <w:kern w:val="0"/>
      <w:sz w:val="44"/>
    </w:rPr>
  </w:style>
  <w:style w:type="paragraph" w:customStyle="1" w:styleId="33">
    <w:name w:val="文头"/>
    <w:basedOn w:val="1"/>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34">
    <w:name w:val="印数"/>
    <w:basedOn w:val="26"/>
    <w:uiPriority w:val="0"/>
    <w:pPr>
      <w:jc w:val="right"/>
    </w:pPr>
  </w:style>
  <w:style w:type="paragraph" w:customStyle="1" w:styleId="35">
    <w:name w:val="标题2"/>
    <w:basedOn w:val="1"/>
    <w:next w:val="1"/>
    <w:uiPriority w:val="0"/>
    <w:pPr>
      <w:autoSpaceDE w:val="0"/>
      <w:autoSpaceDN w:val="0"/>
      <w:ind w:firstLine="0"/>
      <w:jc w:val="center"/>
    </w:pPr>
    <w:rPr>
      <w:rFonts w:ascii="汉鼎简楷体" w:hAnsi="Book Antiqua" w:eastAsia="汉鼎简楷体"/>
      <w:snapToGrid w:val="0"/>
      <w:kern w:val="0"/>
    </w:rPr>
  </w:style>
  <w:style w:type="paragraph" w:customStyle="1" w:styleId="36">
    <w:name w:val="标题3"/>
    <w:basedOn w:val="1"/>
    <w:next w:val="1"/>
    <w:uiPriority w:val="0"/>
    <w:pPr>
      <w:autoSpaceDE w:val="0"/>
      <w:autoSpaceDN w:val="0"/>
    </w:pPr>
    <w:rPr>
      <w:rFonts w:ascii="汉鼎简黑体" w:eastAsia="汉鼎简黑体"/>
      <w:snapToGrid w:val="0"/>
      <w:kern w:val="0"/>
    </w:rPr>
  </w:style>
  <w:style w:type="paragraph" w:customStyle="1" w:styleId="37">
    <w:name w:val="_Style 1"/>
    <w:basedOn w:val="1"/>
    <w:qFormat/>
    <w:uiPriority w:val="0"/>
    <w:pPr>
      <w:widowControl/>
      <w:autoSpaceDE/>
      <w:autoSpaceDN/>
      <w:adjustRightInd w:val="0"/>
      <w:spacing w:after="200" w:line="240" w:lineRule="auto"/>
      <w:ind w:firstLine="420" w:firstLineChars="200"/>
      <w:jc w:val="left"/>
    </w:pPr>
    <w:rPr>
      <w:rFonts w:ascii="Tahoma" w:hAnsi="Tahoma" w:eastAsia="微软雅黑" w:cs="Tahoma"/>
      <w:snapToGrid/>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太政办2015.dot</Template>
  <Company>Microsoft</Company>
  <Pages>8</Pages>
  <Words>3003</Words>
  <Characters>3244</Characters>
  <Lines>42</Lines>
  <Paragraphs>12</Paragraphs>
  <TotalTime>12</TotalTime>
  <ScaleCrop>false</ScaleCrop>
  <LinksUpToDate>false</LinksUpToDate>
  <CharactersWithSpaces>3291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2019-02-28T07:09:00Z</dcterms:created>
  <dc:creator>X</dc:creator>
  <cp:lastModifiedBy>200096</cp:lastModifiedBy>
  <cp:lastPrinted>2024-05-24T03:29:00Z</cp:lastPrinted>
  <dcterms:modified xsi:type="dcterms:W3CDTF">2026-05-15T08:18:47Z</dcterms:modified>
  <dc:title>下行文（平行文）</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A0CF5B7F74774D3F852C2A3E3A5A48EF_13</vt:lpwstr>
  </property>
  <property fmtid="{D5CDD505-2E9C-101B-9397-08002B2CF9AE}" pid="4" name="KSOTemplateDocerSaveRecord">
    <vt:lpwstr>eyJoZGlkIjoiZjJiYzRjZDg4ODIxMmZkMzVjYzYxNzIzMDEwYjJjY2IiLCJ1c2VySWQiOiIxMDU1MTQ2NDEwIn0=</vt:lpwstr>
  </property>
</Properties>
</file>