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关于印发《202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太仓市社区教育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工作要点》的通知</w:t>
      </w:r>
    </w:p>
    <w:p>
      <w:pPr>
        <w:spacing w:line="36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太教职社〔202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spacing w:line="300" w:lineRule="exact"/>
        <w:rPr>
          <w:rFonts w:hint="default" w:ascii="Times New Roman" w:hAnsi="Times New Roman" w:cs="Times New Roman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太仓开放大学、各区镇（街道）社区教育中心：</w:t>
      </w:r>
    </w:p>
    <w:p>
      <w:pPr>
        <w:spacing w:line="580" w:lineRule="exact"/>
        <w:ind w:firstLine="624" w:firstLineChars="200"/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现将《202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太仓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社区教育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工作要点》印发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给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你们，请结合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区镇（街道）、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单位实际，认真贯彻落实。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</w:t>
      </w:r>
    </w:p>
    <w:p>
      <w:pPr>
        <w:spacing w:line="58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                               </w:t>
      </w:r>
    </w:p>
    <w:p>
      <w:pPr>
        <w:spacing w:line="58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              太仓市教育局</w:t>
      </w:r>
    </w:p>
    <w:p>
      <w:pPr>
        <w:spacing w:line="580" w:lineRule="exact"/>
        <w:ind w:firstLine="5616" w:firstLineChars="1800"/>
        <w:rPr>
          <w:rFonts w:hint="default" w:ascii="Times New Roman" w:hAnsi="Times New Roman" w:eastAsia="仿宋_GB2312" w:cs="Times New Roman"/>
          <w:spacing w:val="-4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</w:t>
      </w:r>
    </w:p>
    <w:p>
      <w:pPr>
        <w:spacing w:line="58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    （此件公开发布）</w:t>
      </w:r>
    </w:p>
    <w:p>
      <w:pPr>
        <w:spacing w:line="24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120" w:lineRule="exac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</w:rPr>
      </w:pPr>
    </w:p>
    <w:tbl>
      <w:tblPr>
        <w:tblStyle w:val="14"/>
        <w:tblW w:w="89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957" w:type="dxa"/>
            <w:tcBorders>
              <w:left w:val="nil"/>
              <w:bottom w:val="single" w:color="auto" w:sz="12" w:space="0"/>
              <w:right w:val="nil"/>
            </w:tcBorders>
          </w:tcPr>
          <w:p>
            <w:pPr>
              <w:pStyle w:val="43"/>
              <w:overflowPunct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   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>
      <w:pPr>
        <w:pStyle w:val="12"/>
        <w:widowControl w:val="0"/>
        <w:shd w:val="clear" w:color="auto" w:fill="FFFFFF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  <w:lang w:val="en-US" w:eastAsia="zh-CN"/>
        </w:rPr>
        <w:t>太仓市社区</w:t>
      </w: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36"/>
          <w:szCs w:val="36"/>
        </w:rPr>
        <w:t>教育工作要点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我市社区教育工作的总体要求是：坚持以习近平新时代中国特色社会主义思想为指导，全面贯彻党的二十大精神和习近平总书记对江苏、苏州工作重要讲话重要指示精神，贯彻实施《苏州市终身学习促进条例》（以下简称《条例》），积极构建方式更加灵活、资源更加丰富、学习更加便捷的终身学习体系，创新发展方式，丰富发展内容，继续加强社区教育、老年教育服务供给，深入推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学习型城市建设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一、统筹政校社资源，完善制度建设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sz w:val="32"/>
          <w:szCs w:val="32"/>
          <w:lang w:val="en-US" w:eastAsia="zh-CN"/>
        </w:rPr>
        <w:t>1.加强政校社协作。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加强各区镇（街道）社区教育中心与开放大学、企事业单位、社会组织、行业学会等合作，创新社区教育、老年教育项目建设，发挥社会组织的专业化优势，加强人才队伍培养和课程体系建设，促进社区教育内涵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2.宣传落实法律政策。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根据《条例》要求，完成“太仓市终身教育促进委员会”更名工作，调整太仓市终身学习促进委员会成员单位，落实部门职责，完善各部门常态化协作机制，牵头做好统筹、协调、指导工作，实现社会学习资源统筹利用，服务保障市民终身学习活动。加强《条例》宣传工作，增加社会知晓度，鼓励市民积极履行条例规定的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二、夯实办学基础，拓展学习阵地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sz w:val="32"/>
          <w:szCs w:val="32"/>
          <w:lang w:val="en-US" w:eastAsia="zh-CN"/>
        </w:rPr>
        <w:t>3.推进社区教育阵地建设。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发挥好太仓开放大学基地作用，建设终身学习成果展示基地。加强学习阵地申报管理，培育特色有潜力的项目，组织开展太仓市级游学、市民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学习苑、养教联动、优质项目化基地申报工作，统筹推介优秀特色项目申报省、市级社区教育、老年教育特色品牌项目。开展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“家门口的老年大学”提质增效工程，加强办学水平，提升服务能力。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sz w:val="32"/>
          <w:szCs w:val="32"/>
          <w:lang w:val="en-US" w:eastAsia="zh-CN"/>
        </w:rPr>
        <w:t>4.打造特色品牌。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积极开展社区教育惠民项目，重点开发社区教育惠农惠企项目，遴选优秀的社区教育成果项目进行培育，组织相关指导和培训，择优申报省、市级品牌项目。加强项目运行管理，规范项目经费使用，提高资金使用效益。尝试建立资源共享机制，促进各区镇（街道）之间的合作，拓展与兄弟县市的合作联盟，促进社区教育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三、丰富课程资源，加强科学研究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5.加强数字课程建设。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开展社区教育精品课程的申报、指导、建设、考核、评比工作，有效利用属地中小学教育资源，积极开展社区教育优秀课程培育工作，不断提升社区教育课程资源建设的整体水平。开展老年教育系列微课程建设，加强老年教育学习资源库建设，择优申报省、市老年教育学习资源子库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sz w:val="32"/>
          <w:szCs w:val="32"/>
          <w:lang w:val="en-US" w:eastAsia="zh-CN"/>
        </w:rPr>
        <w:t>6.推进社区教育科研工作。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围绕热点问题，积极组织参加省、市两级课题申报答辩工作，组织参加省、市两级社区教育优秀论文评比。鼓励、指导各社区教育中心、老年教育机构积极</w:t>
      </w:r>
      <w:r>
        <w:rPr>
          <w:rFonts w:hint="eastAsia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提炼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社区教育教学成果，积极参加苏州市级教育系统教育教学成果展示、评奖，发挥示范性引领性。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四、加强专业培训，提升师资水平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7.加强师资队伍专业培养。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积极组织社区教育管理人员、专兼职教师参加省、市、县各级各类社区教育专业能力提升培训。结合“家门口的老年大学”建设、老年教育赋能项目建设等，加强老年教育师资队伍建设，合理有效组织开展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8.持续开展教师能力大赛。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继续组织太仓市第五届社区教育教师能力大赛，遴选和指导优秀教师参加省、苏州市比赛及社区教育公开课观摩评比。做好首批苏州市社区教育优秀团队考核迎检工作，开展第二批苏州市级社区教育优秀团队建设申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五、完善信息管理，加强宣传推广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9.完善社区教育信息管理。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各区镇（街道）社区教育中心、太仓开放大学要做好社区教育、老年教育项目活动数据在线统计填报工作，扩大我市社区居民省学分银行注册开户率，做好数据录入。太仓开放大学要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统筹协调</w:t>
      </w:r>
      <w:r>
        <w:rPr>
          <w:rFonts w:hint="default" w:ascii="Times New Roman" w:hAnsi="Times New Roman" w:cs="Times New Roman"/>
          <w:color w:val="auto"/>
          <w:spacing w:val="-6"/>
          <w:sz w:val="32"/>
          <w:szCs w:val="32"/>
          <w:lang w:val="en-US" w:eastAsia="zh-CN"/>
        </w:rPr>
        <w:t>现有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社区教育数字化平台、市民学习在线，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lang w:val="en-US" w:eastAsia="zh-CN"/>
        </w:rPr>
        <w:t>整合学习资源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，健全学分银行体系，完善终身学习服务平台。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pacing w:val="-6"/>
          <w:sz w:val="32"/>
          <w:szCs w:val="32"/>
          <w:lang w:val="en-US" w:eastAsia="zh-CN"/>
        </w:rPr>
        <w:t>10.宣传学习成果。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指导制作社区教育项目宣传手册，进一步优化推广“太仓市民学习在线”微信公众号，积极开展对外交流合作，开展终身学习系列表彰活动，举办年度全民终身学习活动周，宣传终身学习成果，营造全民共享共学的终身学习氛围。</w:t>
      </w:r>
    </w:p>
    <w:p>
      <w:pPr>
        <w:pStyle w:val="12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t>附件：2024年社区教育重点工作安排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kern w:val="0"/>
          <w:sz w:val="32"/>
          <w:szCs w:val="32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2041" w:right="1474" w:bottom="1701" w:left="1474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2"/>
        <w:widowControl w:val="0"/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bCs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-4"/>
          <w:sz w:val="32"/>
          <w:szCs w:val="32"/>
        </w:rPr>
        <w:t>附件：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4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pacing w:val="-4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-4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Cs/>
          <w:spacing w:val="-4"/>
          <w:sz w:val="36"/>
          <w:szCs w:val="36"/>
          <w:lang w:val="en-US" w:eastAsia="zh-CN"/>
        </w:rPr>
        <w:t>社区</w:t>
      </w:r>
      <w:r>
        <w:rPr>
          <w:rFonts w:hint="default" w:ascii="Times New Roman" w:hAnsi="Times New Roman" w:eastAsia="方正小标宋简体" w:cs="Times New Roman"/>
          <w:bCs/>
          <w:spacing w:val="-4"/>
          <w:sz w:val="36"/>
          <w:szCs w:val="36"/>
        </w:rPr>
        <w:t>教育重点工作安排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69"/>
        <w:gridCol w:w="8475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>
            <w:pPr>
              <w:pStyle w:val="12"/>
              <w:widowControl w:val="0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69" w:type="dxa"/>
            <w:shd w:val="clear" w:color="auto" w:fill="auto"/>
          </w:tcPr>
          <w:p>
            <w:pPr>
              <w:pStyle w:val="12"/>
              <w:widowControl w:val="0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475" w:type="dxa"/>
            <w:shd w:val="clear" w:color="auto" w:fill="auto"/>
          </w:tcPr>
          <w:p>
            <w:pPr>
              <w:pStyle w:val="12"/>
              <w:widowControl w:val="0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4"/>
                <w:sz w:val="28"/>
                <w:szCs w:val="28"/>
              </w:rPr>
              <w:t>工作任务</w:t>
            </w:r>
          </w:p>
        </w:tc>
        <w:tc>
          <w:tcPr>
            <w:tcW w:w="2714" w:type="dxa"/>
            <w:shd w:val="clear" w:color="auto" w:fill="auto"/>
          </w:tcPr>
          <w:p>
            <w:pPr>
              <w:pStyle w:val="12"/>
              <w:widowControl w:val="0"/>
              <w:spacing w:before="0" w:beforeAutospacing="0" w:after="0" w:afterAutospacing="0"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pacing w:val="-4"/>
                <w:sz w:val="28"/>
                <w:szCs w:val="28"/>
              </w:rPr>
              <w:t>主要责任单位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制度建设</w:t>
            </w:r>
          </w:p>
        </w:tc>
        <w:tc>
          <w:tcPr>
            <w:tcW w:w="8475" w:type="dxa"/>
            <w:shd w:val="clear" w:color="auto" w:fill="auto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1.完成“太仓市终身教育促进委员会”更名工作，调整太仓市终身学习促进委员会成员单位，落实部门职责；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2.做好《条例》宣传工作，切实推进《条例》实施。</w:t>
            </w: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市终身教育促进委员会办公室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</w:rPr>
              <w:t>阵地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建设</w:t>
            </w:r>
          </w:p>
        </w:tc>
        <w:tc>
          <w:tcPr>
            <w:tcW w:w="8475" w:type="dxa"/>
            <w:shd w:val="clear" w:color="auto" w:fill="auto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1.做好第四批苏州市社区教育游学项目验收及第五批申报工作，争创省级游学阵地；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2.培育苏州市级养教联动基地1个；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3.实施一批普惠性项目，项目化开展教育惠民社区教育活动；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4.申报立项苏州市级终身教育品牌1个。</w:t>
            </w: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各区镇（街道）社区教育中心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课程建设与教科研</w:t>
            </w:r>
          </w:p>
        </w:tc>
        <w:tc>
          <w:tcPr>
            <w:tcW w:w="847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1.完成5门以上社区教育课程资源建设；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2.苏州市第四批老年教育赋能项目申报立项；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3.新增省、市两级立项课题1项。</w:t>
            </w: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市教育局、太仓开放大学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师资建设</w:t>
            </w:r>
          </w:p>
        </w:tc>
        <w:tc>
          <w:tcPr>
            <w:tcW w:w="8475" w:type="dxa"/>
            <w:shd w:val="clear" w:color="auto" w:fill="auto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1.组织太仓市第五届社区教育教师能力大赛（苏州市赛选拔赛）；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2.申报第二批苏州市级社区教育优秀团队。</w:t>
            </w: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</w:rPr>
              <w:t>太仓开放大学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宣传推广</w:t>
            </w:r>
          </w:p>
        </w:tc>
        <w:tc>
          <w:tcPr>
            <w:tcW w:w="8475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1.组织开展2024年太仓市全民终身活动学习周开幕式及相关活动；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2.扩大社区居民省学分银行注册开户率，做好社区教育、老年教育项目活动数据在线统计填报工作。</w:t>
            </w: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市终身教育促进委员会办公室、太仓开放大学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spacing w:val="-4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474" w:right="1418" w:bottom="147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汉鼎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6</w:t>
    </w:r>
    <w:r>
      <w:rPr>
        <w:rStyle w:val="18"/>
      </w:rPr>
      <w:fldChar w:fldCharType="end"/>
    </w:r>
  </w:p>
  <w:p>
    <w:pPr>
      <w:pStyle w:val="10"/>
      <w:jc w:val="center"/>
    </w:pPr>
  </w:p>
  <w:p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6A1"/>
    <w:rsid w:val="000015B2"/>
    <w:rsid w:val="00004914"/>
    <w:rsid w:val="00007100"/>
    <w:rsid w:val="00007B99"/>
    <w:rsid w:val="000150DF"/>
    <w:rsid w:val="00015830"/>
    <w:rsid w:val="00021DE8"/>
    <w:rsid w:val="00024A2D"/>
    <w:rsid w:val="00024C87"/>
    <w:rsid w:val="00025159"/>
    <w:rsid w:val="000318FC"/>
    <w:rsid w:val="0003240E"/>
    <w:rsid w:val="000326B0"/>
    <w:rsid w:val="000327CA"/>
    <w:rsid w:val="00041B18"/>
    <w:rsid w:val="0004507C"/>
    <w:rsid w:val="000462B1"/>
    <w:rsid w:val="000502DA"/>
    <w:rsid w:val="00051735"/>
    <w:rsid w:val="00052487"/>
    <w:rsid w:val="0005282F"/>
    <w:rsid w:val="00052C2D"/>
    <w:rsid w:val="00055ED4"/>
    <w:rsid w:val="00056015"/>
    <w:rsid w:val="00057536"/>
    <w:rsid w:val="00062CAE"/>
    <w:rsid w:val="00065B8C"/>
    <w:rsid w:val="00073F6B"/>
    <w:rsid w:val="00075B98"/>
    <w:rsid w:val="00082473"/>
    <w:rsid w:val="0008550F"/>
    <w:rsid w:val="00087967"/>
    <w:rsid w:val="0009044A"/>
    <w:rsid w:val="00090B02"/>
    <w:rsid w:val="00093DF0"/>
    <w:rsid w:val="000963C3"/>
    <w:rsid w:val="000A0139"/>
    <w:rsid w:val="000A07EA"/>
    <w:rsid w:val="000A0D93"/>
    <w:rsid w:val="000A175A"/>
    <w:rsid w:val="000A1DED"/>
    <w:rsid w:val="000A4577"/>
    <w:rsid w:val="000A63DA"/>
    <w:rsid w:val="000A694A"/>
    <w:rsid w:val="000B0B74"/>
    <w:rsid w:val="000B3E69"/>
    <w:rsid w:val="000B4E7B"/>
    <w:rsid w:val="000B755C"/>
    <w:rsid w:val="000B75D6"/>
    <w:rsid w:val="000C1D3E"/>
    <w:rsid w:val="000C1D67"/>
    <w:rsid w:val="000D0019"/>
    <w:rsid w:val="000D041A"/>
    <w:rsid w:val="000D0DDE"/>
    <w:rsid w:val="000D3F20"/>
    <w:rsid w:val="000D4071"/>
    <w:rsid w:val="000D6C69"/>
    <w:rsid w:val="000D7BFB"/>
    <w:rsid w:val="000E0195"/>
    <w:rsid w:val="000E07BB"/>
    <w:rsid w:val="000E23E5"/>
    <w:rsid w:val="000E3F85"/>
    <w:rsid w:val="000E4C32"/>
    <w:rsid w:val="000E755E"/>
    <w:rsid w:val="000E75D9"/>
    <w:rsid w:val="000F0A03"/>
    <w:rsid w:val="0010269E"/>
    <w:rsid w:val="00104B9D"/>
    <w:rsid w:val="00105306"/>
    <w:rsid w:val="001072F8"/>
    <w:rsid w:val="00107F81"/>
    <w:rsid w:val="001111C4"/>
    <w:rsid w:val="001115C4"/>
    <w:rsid w:val="00111DBC"/>
    <w:rsid w:val="00112420"/>
    <w:rsid w:val="0011299D"/>
    <w:rsid w:val="00113547"/>
    <w:rsid w:val="001159CE"/>
    <w:rsid w:val="0011789B"/>
    <w:rsid w:val="001216EB"/>
    <w:rsid w:val="0012255F"/>
    <w:rsid w:val="00123092"/>
    <w:rsid w:val="00125E8E"/>
    <w:rsid w:val="001264F5"/>
    <w:rsid w:val="00137206"/>
    <w:rsid w:val="00142DF6"/>
    <w:rsid w:val="001438E0"/>
    <w:rsid w:val="001440A7"/>
    <w:rsid w:val="00147117"/>
    <w:rsid w:val="0015124B"/>
    <w:rsid w:val="001523DC"/>
    <w:rsid w:val="00152633"/>
    <w:rsid w:val="001527FB"/>
    <w:rsid w:val="00154476"/>
    <w:rsid w:val="00155F25"/>
    <w:rsid w:val="00162E3A"/>
    <w:rsid w:val="00163D60"/>
    <w:rsid w:val="00164CE8"/>
    <w:rsid w:val="00166900"/>
    <w:rsid w:val="001710FF"/>
    <w:rsid w:val="001712A7"/>
    <w:rsid w:val="00173B0F"/>
    <w:rsid w:val="00175F5C"/>
    <w:rsid w:val="00176FCB"/>
    <w:rsid w:val="001825D1"/>
    <w:rsid w:val="00186EFB"/>
    <w:rsid w:val="001A258A"/>
    <w:rsid w:val="001A29AE"/>
    <w:rsid w:val="001A2EFC"/>
    <w:rsid w:val="001A2F94"/>
    <w:rsid w:val="001A3400"/>
    <w:rsid w:val="001A368D"/>
    <w:rsid w:val="001A384A"/>
    <w:rsid w:val="001A465F"/>
    <w:rsid w:val="001A611E"/>
    <w:rsid w:val="001B0840"/>
    <w:rsid w:val="001B1E4F"/>
    <w:rsid w:val="001B4DD6"/>
    <w:rsid w:val="001C7F18"/>
    <w:rsid w:val="001D2F32"/>
    <w:rsid w:val="001D71A1"/>
    <w:rsid w:val="001F2A6B"/>
    <w:rsid w:val="001F3481"/>
    <w:rsid w:val="001F417C"/>
    <w:rsid w:val="001F6FBA"/>
    <w:rsid w:val="00203E47"/>
    <w:rsid w:val="002045BB"/>
    <w:rsid w:val="00205DB5"/>
    <w:rsid w:val="002063A6"/>
    <w:rsid w:val="0021038A"/>
    <w:rsid w:val="00212236"/>
    <w:rsid w:val="00216D79"/>
    <w:rsid w:val="00220B27"/>
    <w:rsid w:val="002234CF"/>
    <w:rsid w:val="00231D91"/>
    <w:rsid w:val="00242134"/>
    <w:rsid w:val="00242251"/>
    <w:rsid w:val="00242BA5"/>
    <w:rsid w:val="00243013"/>
    <w:rsid w:val="00243992"/>
    <w:rsid w:val="00244E92"/>
    <w:rsid w:val="0024570E"/>
    <w:rsid w:val="00245713"/>
    <w:rsid w:val="00256A6E"/>
    <w:rsid w:val="002607CD"/>
    <w:rsid w:val="002638C0"/>
    <w:rsid w:val="00264069"/>
    <w:rsid w:val="002656A1"/>
    <w:rsid w:val="00266F2A"/>
    <w:rsid w:val="00267909"/>
    <w:rsid w:val="00272B5E"/>
    <w:rsid w:val="00276291"/>
    <w:rsid w:val="00276591"/>
    <w:rsid w:val="00277D36"/>
    <w:rsid w:val="00281A0C"/>
    <w:rsid w:val="00292068"/>
    <w:rsid w:val="00295663"/>
    <w:rsid w:val="002961FA"/>
    <w:rsid w:val="00297B13"/>
    <w:rsid w:val="00297E22"/>
    <w:rsid w:val="002A2138"/>
    <w:rsid w:val="002A6EFC"/>
    <w:rsid w:val="002A7182"/>
    <w:rsid w:val="002B2BB6"/>
    <w:rsid w:val="002B5393"/>
    <w:rsid w:val="002B7C43"/>
    <w:rsid w:val="002B7CBD"/>
    <w:rsid w:val="002C1D4A"/>
    <w:rsid w:val="002C62E2"/>
    <w:rsid w:val="002D036B"/>
    <w:rsid w:val="002D4851"/>
    <w:rsid w:val="002D588E"/>
    <w:rsid w:val="002D6840"/>
    <w:rsid w:val="002D7224"/>
    <w:rsid w:val="002E35CC"/>
    <w:rsid w:val="002E4D22"/>
    <w:rsid w:val="002E7A4D"/>
    <w:rsid w:val="002F0E4D"/>
    <w:rsid w:val="002F10C8"/>
    <w:rsid w:val="002F2656"/>
    <w:rsid w:val="00307AFA"/>
    <w:rsid w:val="00307CBB"/>
    <w:rsid w:val="00310839"/>
    <w:rsid w:val="00312269"/>
    <w:rsid w:val="003171C1"/>
    <w:rsid w:val="003220E2"/>
    <w:rsid w:val="0032391C"/>
    <w:rsid w:val="0032533A"/>
    <w:rsid w:val="00326FC2"/>
    <w:rsid w:val="00332A09"/>
    <w:rsid w:val="00340EB5"/>
    <w:rsid w:val="00341759"/>
    <w:rsid w:val="0034638D"/>
    <w:rsid w:val="00351ED0"/>
    <w:rsid w:val="0035734C"/>
    <w:rsid w:val="003605F4"/>
    <w:rsid w:val="00363CF5"/>
    <w:rsid w:val="003654F3"/>
    <w:rsid w:val="00376E3F"/>
    <w:rsid w:val="00385418"/>
    <w:rsid w:val="0038564C"/>
    <w:rsid w:val="003912FB"/>
    <w:rsid w:val="00391D2B"/>
    <w:rsid w:val="00394D7B"/>
    <w:rsid w:val="003954E3"/>
    <w:rsid w:val="003A19F4"/>
    <w:rsid w:val="003A31E5"/>
    <w:rsid w:val="003A45FA"/>
    <w:rsid w:val="003A4BD1"/>
    <w:rsid w:val="003A5FD1"/>
    <w:rsid w:val="003B0FBD"/>
    <w:rsid w:val="003B1EFD"/>
    <w:rsid w:val="003B6ED4"/>
    <w:rsid w:val="003C5406"/>
    <w:rsid w:val="003C5CC0"/>
    <w:rsid w:val="003C68BC"/>
    <w:rsid w:val="003C763B"/>
    <w:rsid w:val="003E0115"/>
    <w:rsid w:val="003E5EF4"/>
    <w:rsid w:val="003F19CA"/>
    <w:rsid w:val="003F1BAD"/>
    <w:rsid w:val="003F3199"/>
    <w:rsid w:val="004004A6"/>
    <w:rsid w:val="00405030"/>
    <w:rsid w:val="004054C8"/>
    <w:rsid w:val="00407FE2"/>
    <w:rsid w:val="00411103"/>
    <w:rsid w:val="00411AED"/>
    <w:rsid w:val="00413F76"/>
    <w:rsid w:val="00427370"/>
    <w:rsid w:val="00430823"/>
    <w:rsid w:val="0043181E"/>
    <w:rsid w:val="0043583C"/>
    <w:rsid w:val="004360C5"/>
    <w:rsid w:val="0044083D"/>
    <w:rsid w:val="0044226D"/>
    <w:rsid w:val="004424C1"/>
    <w:rsid w:val="00443F5B"/>
    <w:rsid w:val="00443FFF"/>
    <w:rsid w:val="00447309"/>
    <w:rsid w:val="0044736C"/>
    <w:rsid w:val="0045176E"/>
    <w:rsid w:val="00454C13"/>
    <w:rsid w:val="00457DC1"/>
    <w:rsid w:val="00460663"/>
    <w:rsid w:val="00460D3C"/>
    <w:rsid w:val="00461CAF"/>
    <w:rsid w:val="00462620"/>
    <w:rsid w:val="004772CC"/>
    <w:rsid w:val="00477BCE"/>
    <w:rsid w:val="00477FB8"/>
    <w:rsid w:val="00481415"/>
    <w:rsid w:val="00481CFB"/>
    <w:rsid w:val="0048285C"/>
    <w:rsid w:val="00493B54"/>
    <w:rsid w:val="004946AA"/>
    <w:rsid w:val="004A51BB"/>
    <w:rsid w:val="004B39EA"/>
    <w:rsid w:val="004B6C1E"/>
    <w:rsid w:val="004B779D"/>
    <w:rsid w:val="004C2637"/>
    <w:rsid w:val="004C45BF"/>
    <w:rsid w:val="004C6C91"/>
    <w:rsid w:val="004C71B8"/>
    <w:rsid w:val="004D0FB5"/>
    <w:rsid w:val="004D11DC"/>
    <w:rsid w:val="004D28EF"/>
    <w:rsid w:val="004D2BC0"/>
    <w:rsid w:val="004D328D"/>
    <w:rsid w:val="004E18BF"/>
    <w:rsid w:val="004E54F8"/>
    <w:rsid w:val="004E5541"/>
    <w:rsid w:val="004E5998"/>
    <w:rsid w:val="004F6378"/>
    <w:rsid w:val="005005E2"/>
    <w:rsid w:val="0050657E"/>
    <w:rsid w:val="00506735"/>
    <w:rsid w:val="00507713"/>
    <w:rsid w:val="0051071D"/>
    <w:rsid w:val="005112E1"/>
    <w:rsid w:val="0051513A"/>
    <w:rsid w:val="005167F5"/>
    <w:rsid w:val="00517F89"/>
    <w:rsid w:val="005208B4"/>
    <w:rsid w:val="0052177D"/>
    <w:rsid w:val="00521FF0"/>
    <w:rsid w:val="0052215C"/>
    <w:rsid w:val="0052538F"/>
    <w:rsid w:val="0053272F"/>
    <w:rsid w:val="00535047"/>
    <w:rsid w:val="00535E1C"/>
    <w:rsid w:val="005374F3"/>
    <w:rsid w:val="00543A80"/>
    <w:rsid w:val="0054461B"/>
    <w:rsid w:val="00545F5D"/>
    <w:rsid w:val="00546B21"/>
    <w:rsid w:val="00551F8C"/>
    <w:rsid w:val="00554142"/>
    <w:rsid w:val="00554D33"/>
    <w:rsid w:val="005575E1"/>
    <w:rsid w:val="005577BF"/>
    <w:rsid w:val="0056357E"/>
    <w:rsid w:val="00565170"/>
    <w:rsid w:val="00565501"/>
    <w:rsid w:val="0057044B"/>
    <w:rsid w:val="00571616"/>
    <w:rsid w:val="00574C3E"/>
    <w:rsid w:val="00574EEE"/>
    <w:rsid w:val="00585680"/>
    <w:rsid w:val="00586E16"/>
    <w:rsid w:val="00592159"/>
    <w:rsid w:val="00592B83"/>
    <w:rsid w:val="00596BB3"/>
    <w:rsid w:val="005A1B2D"/>
    <w:rsid w:val="005A3C90"/>
    <w:rsid w:val="005A5766"/>
    <w:rsid w:val="005A6575"/>
    <w:rsid w:val="005B0685"/>
    <w:rsid w:val="005B1679"/>
    <w:rsid w:val="005B3503"/>
    <w:rsid w:val="005B46B5"/>
    <w:rsid w:val="005B51DE"/>
    <w:rsid w:val="005C0E3A"/>
    <w:rsid w:val="005C1D14"/>
    <w:rsid w:val="005C6B10"/>
    <w:rsid w:val="005C7093"/>
    <w:rsid w:val="005C7F8C"/>
    <w:rsid w:val="005D0C1E"/>
    <w:rsid w:val="005D2206"/>
    <w:rsid w:val="005D4A1A"/>
    <w:rsid w:val="005D4F32"/>
    <w:rsid w:val="005D526F"/>
    <w:rsid w:val="005D7092"/>
    <w:rsid w:val="005E224B"/>
    <w:rsid w:val="005E6F05"/>
    <w:rsid w:val="005E7C02"/>
    <w:rsid w:val="005F1038"/>
    <w:rsid w:val="005F646C"/>
    <w:rsid w:val="005F7250"/>
    <w:rsid w:val="006012B2"/>
    <w:rsid w:val="006024AE"/>
    <w:rsid w:val="00603DB3"/>
    <w:rsid w:val="006078EB"/>
    <w:rsid w:val="00611A15"/>
    <w:rsid w:val="00611DF7"/>
    <w:rsid w:val="006122E1"/>
    <w:rsid w:val="0061324A"/>
    <w:rsid w:val="0061477C"/>
    <w:rsid w:val="0061529E"/>
    <w:rsid w:val="006213DA"/>
    <w:rsid w:val="00624650"/>
    <w:rsid w:val="00625D62"/>
    <w:rsid w:val="006269DD"/>
    <w:rsid w:val="00626AD7"/>
    <w:rsid w:val="00627FC0"/>
    <w:rsid w:val="00630A87"/>
    <w:rsid w:val="00630DF6"/>
    <w:rsid w:val="00633F67"/>
    <w:rsid w:val="0063638F"/>
    <w:rsid w:val="0064016F"/>
    <w:rsid w:val="0064287A"/>
    <w:rsid w:val="00643C8F"/>
    <w:rsid w:val="006467F7"/>
    <w:rsid w:val="00653B75"/>
    <w:rsid w:val="00654AA3"/>
    <w:rsid w:val="006552E2"/>
    <w:rsid w:val="00660717"/>
    <w:rsid w:val="00661A04"/>
    <w:rsid w:val="0066377B"/>
    <w:rsid w:val="006709BF"/>
    <w:rsid w:val="00674611"/>
    <w:rsid w:val="0067706A"/>
    <w:rsid w:val="006807E4"/>
    <w:rsid w:val="00680F19"/>
    <w:rsid w:val="006821C6"/>
    <w:rsid w:val="00684576"/>
    <w:rsid w:val="006856A6"/>
    <w:rsid w:val="00694350"/>
    <w:rsid w:val="006949C6"/>
    <w:rsid w:val="006A1287"/>
    <w:rsid w:val="006A3B05"/>
    <w:rsid w:val="006B19C9"/>
    <w:rsid w:val="006B51C1"/>
    <w:rsid w:val="006B6FFA"/>
    <w:rsid w:val="006C2264"/>
    <w:rsid w:val="006C4F28"/>
    <w:rsid w:val="006D5A63"/>
    <w:rsid w:val="006D637D"/>
    <w:rsid w:val="006D6A10"/>
    <w:rsid w:val="006D6FCD"/>
    <w:rsid w:val="006E16F2"/>
    <w:rsid w:val="006E4EFD"/>
    <w:rsid w:val="006E7E42"/>
    <w:rsid w:val="006F3415"/>
    <w:rsid w:val="006F38E9"/>
    <w:rsid w:val="006F5DEE"/>
    <w:rsid w:val="006F733B"/>
    <w:rsid w:val="006F7A2B"/>
    <w:rsid w:val="007016C9"/>
    <w:rsid w:val="0070409A"/>
    <w:rsid w:val="007129F2"/>
    <w:rsid w:val="0071311E"/>
    <w:rsid w:val="00713380"/>
    <w:rsid w:val="00715C57"/>
    <w:rsid w:val="00716AD9"/>
    <w:rsid w:val="00724A10"/>
    <w:rsid w:val="0072509D"/>
    <w:rsid w:val="00726C92"/>
    <w:rsid w:val="00733567"/>
    <w:rsid w:val="00742B40"/>
    <w:rsid w:val="00743B0C"/>
    <w:rsid w:val="0074409E"/>
    <w:rsid w:val="00744984"/>
    <w:rsid w:val="00750AAA"/>
    <w:rsid w:val="00753495"/>
    <w:rsid w:val="00754A21"/>
    <w:rsid w:val="007568F5"/>
    <w:rsid w:val="007625E5"/>
    <w:rsid w:val="0076493E"/>
    <w:rsid w:val="00765C13"/>
    <w:rsid w:val="00772461"/>
    <w:rsid w:val="0078233C"/>
    <w:rsid w:val="00782D55"/>
    <w:rsid w:val="00784E82"/>
    <w:rsid w:val="0078639C"/>
    <w:rsid w:val="00795426"/>
    <w:rsid w:val="00797290"/>
    <w:rsid w:val="00797B44"/>
    <w:rsid w:val="007A2809"/>
    <w:rsid w:val="007A4D85"/>
    <w:rsid w:val="007A7997"/>
    <w:rsid w:val="007B02BC"/>
    <w:rsid w:val="007B46A6"/>
    <w:rsid w:val="007B480A"/>
    <w:rsid w:val="007B4DB5"/>
    <w:rsid w:val="007B4F91"/>
    <w:rsid w:val="007B620B"/>
    <w:rsid w:val="007B664D"/>
    <w:rsid w:val="007B7E68"/>
    <w:rsid w:val="007C07B8"/>
    <w:rsid w:val="007C2C72"/>
    <w:rsid w:val="007D155E"/>
    <w:rsid w:val="007D36E9"/>
    <w:rsid w:val="007D5703"/>
    <w:rsid w:val="007D5976"/>
    <w:rsid w:val="007D5C69"/>
    <w:rsid w:val="007D6680"/>
    <w:rsid w:val="007D7CCC"/>
    <w:rsid w:val="007F48F0"/>
    <w:rsid w:val="007F5B47"/>
    <w:rsid w:val="0080007C"/>
    <w:rsid w:val="008010D3"/>
    <w:rsid w:val="00804836"/>
    <w:rsid w:val="0082178B"/>
    <w:rsid w:val="00822DAD"/>
    <w:rsid w:val="008301F8"/>
    <w:rsid w:val="00831591"/>
    <w:rsid w:val="00836E4E"/>
    <w:rsid w:val="0083728F"/>
    <w:rsid w:val="00841699"/>
    <w:rsid w:val="00841C7B"/>
    <w:rsid w:val="00842235"/>
    <w:rsid w:val="008433FC"/>
    <w:rsid w:val="00847FC2"/>
    <w:rsid w:val="00854F78"/>
    <w:rsid w:val="00857AFB"/>
    <w:rsid w:val="008607A8"/>
    <w:rsid w:val="008610DF"/>
    <w:rsid w:val="00862F74"/>
    <w:rsid w:val="0086416F"/>
    <w:rsid w:val="008646B4"/>
    <w:rsid w:val="00864A62"/>
    <w:rsid w:val="00870FE3"/>
    <w:rsid w:val="00872CC1"/>
    <w:rsid w:val="008745D3"/>
    <w:rsid w:val="008766AF"/>
    <w:rsid w:val="00876BFC"/>
    <w:rsid w:val="00876FED"/>
    <w:rsid w:val="00880632"/>
    <w:rsid w:val="00881630"/>
    <w:rsid w:val="00884E7D"/>
    <w:rsid w:val="008879BF"/>
    <w:rsid w:val="00891E64"/>
    <w:rsid w:val="00897F2D"/>
    <w:rsid w:val="008A4640"/>
    <w:rsid w:val="008A58E7"/>
    <w:rsid w:val="008B0982"/>
    <w:rsid w:val="008B1165"/>
    <w:rsid w:val="008B2195"/>
    <w:rsid w:val="008B544B"/>
    <w:rsid w:val="008B7174"/>
    <w:rsid w:val="008B77AB"/>
    <w:rsid w:val="008C388C"/>
    <w:rsid w:val="008C431D"/>
    <w:rsid w:val="008C540B"/>
    <w:rsid w:val="008C6088"/>
    <w:rsid w:val="008C7498"/>
    <w:rsid w:val="008C7CA0"/>
    <w:rsid w:val="008D1BB8"/>
    <w:rsid w:val="008D4180"/>
    <w:rsid w:val="008D5FCF"/>
    <w:rsid w:val="008E0B41"/>
    <w:rsid w:val="008E172E"/>
    <w:rsid w:val="008F086F"/>
    <w:rsid w:val="00901D76"/>
    <w:rsid w:val="00905AE1"/>
    <w:rsid w:val="00917CD8"/>
    <w:rsid w:val="00920C9E"/>
    <w:rsid w:val="00921A06"/>
    <w:rsid w:val="00922A97"/>
    <w:rsid w:val="00924882"/>
    <w:rsid w:val="00932C04"/>
    <w:rsid w:val="00940498"/>
    <w:rsid w:val="0094746B"/>
    <w:rsid w:val="00950169"/>
    <w:rsid w:val="00951071"/>
    <w:rsid w:val="00954D87"/>
    <w:rsid w:val="0095604D"/>
    <w:rsid w:val="00957F31"/>
    <w:rsid w:val="0096623F"/>
    <w:rsid w:val="00967331"/>
    <w:rsid w:val="00972A23"/>
    <w:rsid w:val="00974922"/>
    <w:rsid w:val="00980D4C"/>
    <w:rsid w:val="00981FFC"/>
    <w:rsid w:val="009850CE"/>
    <w:rsid w:val="009870DC"/>
    <w:rsid w:val="00990A50"/>
    <w:rsid w:val="00991641"/>
    <w:rsid w:val="00992BED"/>
    <w:rsid w:val="00993438"/>
    <w:rsid w:val="00993D4B"/>
    <w:rsid w:val="00994815"/>
    <w:rsid w:val="009A1885"/>
    <w:rsid w:val="009A1DC5"/>
    <w:rsid w:val="009A3F2E"/>
    <w:rsid w:val="009A4A9D"/>
    <w:rsid w:val="009A54DA"/>
    <w:rsid w:val="009A66F3"/>
    <w:rsid w:val="009B4ED8"/>
    <w:rsid w:val="009B5725"/>
    <w:rsid w:val="009B5B9E"/>
    <w:rsid w:val="009C0345"/>
    <w:rsid w:val="009C1CB9"/>
    <w:rsid w:val="009C23DD"/>
    <w:rsid w:val="009C37A3"/>
    <w:rsid w:val="009C4D50"/>
    <w:rsid w:val="009C5302"/>
    <w:rsid w:val="009C665A"/>
    <w:rsid w:val="009C67ED"/>
    <w:rsid w:val="009D30DF"/>
    <w:rsid w:val="009D3B3D"/>
    <w:rsid w:val="009D4042"/>
    <w:rsid w:val="009D5047"/>
    <w:rsid w:val="009D7070"/>
    <w:rsid w:val="009D7939"/>
    <w:rsid w:val="009D7E53"/>
    <w:rsid w:val="009E0374"/>
    <w:rsid w:val="009E074D"/>
    <w:rsid w:val="009E1EF4"/>
    <w:rsid w:val="009E6D94"/>
    <w:rsid w:val="009F1689"/>
    <w:rsid w:val="009F3507"/>
    <w:rsid w:val="009F53F9"/>
    <w:rsid w:val="00A032CC"/>
    <w:rsid w:val="00A05D5B"/>
    <w:rsid w:val="00A12AD7"/>
    <w:rsid w:val="00A152A6"/>
    <w:rsid w:val="00A23FF7"/>
    <w:rsid w:val="00A258D3"/>
    <w:rsid w:val="00A27C2F"/>
    <w:rsid w:val="00A31C20"/>
    <w:rsid w:val="00A32220"/>
    <w:rsid w:val="00A32AA1"/>
    <w:rsid w:val="00A332E9"/>
    <w:rsid w:val="00A35486"/>
    <w:rsid w:val="00A35FDA"/>
    <w:rsid w:val="00A3720D"/>
    <w:rsid w:val="00A37A62"/>
    <w:rsid w:val="00A46060"/>
    <w:rsid w:val="00A4756D"/>
    <w:rsid w:val="00A502EA"/>
    <w:rsid w:val="00A506BC"/>
    <w:rsid w:val="00A51EA6"/>
    <w:rsid w:val="00A55DC8"/>
    <w:rsid w:val="00A64051"/>
    <w:rsid w:val="00A64245"/>
    <w:rsid w:val="00A67625"/>
    <w:rsid w:val="00A67AA9"/>
    <w:rsid w:val="00A77B51"/>
    <w:rsid w:val="00A8082D"/>
    <w:rsid w:val="00A812E6"/>
    <w:rsid w:val="00A82CEA"/>
    <w:rsid w:val="00A84FC2"/>
    <w:rsid w:val="00A86338"/>
    <w:rsid w:val="00A865FB"/>
    <w:rsid w:val="00A866F8"/>
    <w:rsid w:val="00A87CFD"/>
    <w:rsid w:val="00A93506"/>
    <w:rsid w:val="00A93F82"/>
    <w:rsid w:val="00A94C8B"/>
    <w:rsid w:val="00A959D5"/>
    <w:rsid w:val="00A9641C"/>
    <w:rsid w:val="00AA1BD6"/>
    <w:rsid w:val="00AA495F"/>
    <w:rsid w:val="00AA75C8"/>
    <w:rsid w:val="00AB1337"/>
    <w:rsid w:val="00AB19BF"/>
    <w:rsid w:val="00AB4855"/>
    <w:rsid w:val="00AB6852"/>
    <w:rsid w:val="00AC0B50"/>
    <w:rsid w:val="00AC2679"/>
    <w:rsid w:val="00AC295F"/>
    <w:rsid w:val="00AC3B76"/>
    <w:rsid w:val="00AC5710"/>
    <w:rsid w:val="00AD158E"/>
    <w:rsid w:val="00AD1BA1"/>
    <w:rsid w:val="00AD2F99"/>
    <w:rsid w:val="00AD5BA7"/>
    <w:rsid w:val="00AD616D"/>
    <w:rsid w:val="00AD68BB"/>
    <w:rsid w:val="00AD748E"/>
    <w:rsid w:val="00AD7798"/>
    <w:rsid w:val="00AE08F8"/>
    <w:rsid w:val="00AE2A8B"/>
    <w:rsid w:val="00AE3214"/>
    <w:rsid w:val="00AE3D99"/>
    <w:rsid w:val="00AE55BE"/>
    <w:rsid w:val="00AE79EE"/>
    <w:rsid w:val="00AF64CA"/>
    <w:rsid w:val="00B03BC7"/>
    <w:rsid w:val="00B05DB8"/>
    <w:rsid w:val="00B1017A"/>
    <w:rsid w:val="00B12803"/>
    <w:rsid w:val="00B13260"/>
    <w:rsid w:val="00B13B09"/>
    <w:rsid w:val="00B146CA"/>
    <w:rsid w:val="00B16F30"/>
    <w:rsid w:val="00B20E49"/>
    <w:rsid w:val="00B2434F"/>
    <w:rsid w:val="00B25B78"/>
    <w:rsid w:val="00B263F7"/>
    <w:rsid w:val="00B31DC3"/>
    <w:rsid w:val="00B36782"/>
    <w:rsid w:val="00B404DF"/>
    <w:rsid w:val="00B45D71"/>
    <w:rsid w:val="00B47289"/>
    <w:rsid w:val="00B4798E"/>
    <w:rsid w:val="00B54E66"/>
    <w:rsid w:val="00B553F4"/>
    <w:rsid w:val="00B64922"/>
    <w:rsid w:val="00B6723A"/>
    <w:rsid w:val="00B677CE"/>
    <w:rsid w:val="00B739E7"/>
    <w:rsid w:val="00B81274"/>
    <w:rsid w:val="00B81734"/>
    <w:rsid w:val="00B81C1A"/>
    <w:rsid w:val="00B8288E"/>
    <w:rsid w:val="00B85369"/>
    <w:rsid w:val="00B86DD7"/>
    <w:rsid w:val="00B9130B"/>
    <w:rsid w:val="00B91349"/>
    <w:rsid w:val="00BA3C9C"/>
    <w:rsid w:val="00BA4307"/>
    <w:rsid w:val="00BA44F2"/>
    <w:rsid w:val="00BB23C3"/>
    <w:rsid w:val="00BB2963"/>
    <w:rsid w:val="00BB3FE2"/>
    <w:rsid w:val="00BB4FCB"/>
    <w:rsid w:val="00BC0A69"/>
    <w:rsid w:val="00BC40D6"/>
    <w:rsid w:val="00BD2D73"/>
    <w:rsid w:val="00BD429A"/>
    <w:rsid w:val="00BD48AA"/>
    <w:rsid w:val="00BD724E"/>
    <w:rsid w:val="00BE0F67"/>
    <w:rsid w:val="00BE177A"/>
    <w:rsid w:val="00BE17C2"/>
    <w:rsid w:val="00BE5748"/>
    <w:rsid w:val="00BE6168"/>
    <w:rsid w:val="00BE682D"/>
    <w:rsid w:val="00BE782A"/>
    <w:rsid w:val="00BE7AC6"/>
    <w:rsid w:val="00BF11D0"/>
    <w:rsid w:val="00BF7BCD"/>
    <w:rsid w:val="00C009CC"/>
    <w:rsid w:val="00C025A9"/>
    <w:rsid w:val="00C0481D"/>
    <w:rsid w:val="00C05E52"/>
    <w:rsid w:val="00C07BF0"/>
    <w:rsid w:val="00C07DA7"/>
    <w:rsid w:val="00C1179B"/>
    <w:rsid w:val="00C11DA4"/>
    <w:rsid w:val="00C1599A"/>
    <w:rsid w:val="00C17201"/>
    <w:rsid w:val="00C20E50"/>
    <w:rsid w:val="00C2240E"/>
    <w:rsid w:val="00C22D4F"/>
    <w:rsid w:val="00C2595E"/>
    <w:rsid w:val="00C2623E"/>
    <w:rsid w:val="00C3147E"/>
    <w:rsid w:val="00C32AA2"/>
    <w:rsid w:val="00C32E20"/>
    <w:rsid w:val="00C348DC"/>
    <w:rsid w:val="00C35BE6"/>
    <w:rsid w:val="00C44382"/>
    <w:rsid w:val="00C463AE"/>
    <w:rsid w:val="00C464B1"/>
    <w:rsid w:val="00C47662"/>
    <w:rsid w:val="00C47938"/>
    <w:rsid w:val="00C51638"/>
    <w:rsid w:val="00C51849"/>
    <w:rsid w:val="00C531F2"/>
    <w:rsid w:val="00C56105"/>
    <w:rsid w:val="00C56427"/>
    <w:rsid w:val="00C6220B"/>
    <w:rsid w:val="00C631EC"/>
    <w:rsid w:val="00C63429"/>
    <w:rsid w:val="00C63E39"/>
    <w:rsid w:val="00C63F45"/>
    <w:rsid w:val="00C64C48"/>
    <w:rsid w:val="00C65685"/>
    <w:rsid w:val="00C67787"/>
    <w:rsid w:val="00C73254"/>
    <w:rsid w:val="00C73DE2"/>
    <w:rsid w:val="00C77808"/>
    <w:rsid w:val="00C90A1B"/>
    <w:rsid w:val="00C90C99"/>
    <w:rsid w:val="00C91B92"/>
    <w:rsid w:val="00C92FEF"/>
    <w:rsid w:val="00C93683"/>
    <w:rsid w:val="00C952A9"/>
    <w:rsid w:val="00C96F99"/>
    <w:rsid w:val="00CA0654"/>
    <w:rsid w:val="00CA123A"/>
    <w:rsid w:val="00CA16B7"/>
    <w:rsid w:val="00CA2235"/>
    <w:rsid w:val="00CA5CF3"/>
    <w:rsid w:val="00CB4468"/>
    <w:rsid w:val="00CB46D8"/>
    <w:rsid w:val="00CB77D6"/>
    <w:rsid w:val="00CC011E"/>
    <w:rsid w:val="00CC0C3A"/>
    <w:rsid w:val="00CC0C95"/>
    <w:rsid w:val="00CC1EE1"/>
    <w:rsid w:val="00CC48BE"/>
    <w:rsid w:val="00CC5857"/>
    <w:rsid w:val="00CC7D74"/>
    <w:rsid w:val="00CD6546"/>
    <w:rsid w:val="00CD6D23"/>
    <w:rsid w:val="00CE1654"/>
    <w:rsid w:val="00CE6C85"/>
    <w:rsid w:val="00CF11D3"/>
    <w:rsid w:val="00CF1315"/>
    <w:rsid w:val="00CF5927"/>
    <w:rsid w:val="00CF67B8"/>
    <w:rsid w:val="00D008BE"/>
    <w:rsid w:val="00D011F5"/>
    <w:rsid w:val="00D04AC9"/>
    <w:rsid w:val="00D057B6"/>
    <w:rsid w:val="00D0730C"/>
    <w:rsid w:val="00D102F7"/>
    <w:rsid w:val="00D14432"/>
    <w:rsid w:val="00D15BEC"/>
    <w:rsid w:val="00D1625E"/>
    <w:rsid w:val="00D23C23"/>
    <w:rsid w:val="00D32E46"/>
    <w:rsid w:val="00D42B30"/>
    <w:rsid w:val="00D42EED"/>
    <w:rsid w:val="00D4387D"/>
    <w:rsid w:val="00D442E9"/>
    <w:rsid w:val="00D45658"/>
    <w:rsid w:val="00D46C1A"/>
    <w:rsid w:val="00D51E6D"/>
    <w:rsid w:val="00D52BBF"/>
    <w:rsid w:val="00D54CB3"/>
    <w:rsid w:val="00D5620D"/>
    <w:rsid w:val="00D5707B"/>
    <w:rsid w:val="00D62201"/>
    <w:rsid w:val="00D64351"/>
    <w:rsid w:val="00D666BE"/>
    <w:rsid w:val="00D7071A"/>
    <w:rsid w:val="00D7148E"/>
    <w:rsid w:val="00D722FD"/>
    <w:rsid w:val="00D74759"/>
    <w:rsid w:val="00D8237B"/>
    <w:rsid w:val="00D83A66"/>
    <w:rsid w:val="00D86992"/>
    <w:rsid w:val="00D904AE"/>
    <w:rsid w:val="00D9259A"/>
    <w:rsid w:val="00D92946"/>
    <w:rsid w:val="00D951CE"/>
    <w:rsid w:val="00D95AC5"/>
    <w:rsid w:val="00D9718A"/>
    <w:rsid w:val="00DA26A0"/>
    <w:rsid w:val="00DA540B"/>
    <w:rsid w:val="00DA785D"/>
    <w:rsid w:val="00DB07C5"/>
    <w:rsid w:val="00DB1336"/>
    <w:rsid w:val="00DB213E"/>
    <w:rsid w:val="00DC1FFC"/>
    <w:rsid w:val="00DC4B5D"/>
    <w:rsid w:val="00DC7FEE"/>
    <w:rsid w:val="00DD1F0F"/>
    <w:rsid w:val="00DD3656"/>
    <w:rsid w:val="00DD5158"/>
    <w:rsid w:val="00DD64B0"/>
    <w:rsid w:val="00DD65D4"/>
    <w:rsid w:val="00DE7568"/>
    <w:rsid w:val="00DF2602"/>
    <w:rsid w:val="00DF4507"/>
    <w:rsid w:val="00DF48E3"/>
    <w:rsid w:val="00E019C5"/>
    <w:rsid w:val="00E02CF3"/>
    <w:rsid w:val="00E035F4"/>
    <w:rsid w:val="00E12A65"/>
    <w:rsid w:val="00E13EF0"/>
    <w:rsid w:val="00E16624"/>
    <w:rsid w:val="00E168EE"/>
    <w:rsid w:val="00E17556"/>
    <w:rsid w:val="00E17E73"/>
    <w:rsid w:val="00E2012E"/>
    <w:rsid w:val="00E24AF9"/>
    <w:rsid w:val="00E26F73"/>
    <w:rsid w:val="00E304FA"/>
    <w:rsid w:val="00E30CE2"/>
    <w:rsid w:val="00E332C6"/>
    <w:rsid w:val="00E4495B"/>
    <w:rsid w:val="00E47E90"/>
    <w:rsid w:val="00E503CC"/>
    <w:rsid w:val="00E5106B"/>
    <w:rsid w:val="00E55D1E"/>
    <w:rsid w:val="00E60BB8"/>
    <w:rsid w:val="00E643B2"/>
    <w:rsid w:val="00E6616A"/>
    <w:rsid w:val="00E6621C"/>
    <w:rsid w:val="00E742CB"/>
    <w:rsid w:val="00E76591"/>
    <w:rsid w:val="00E857D9"/>
    <w:rsid w:val="00E86163"/>
    <w:rsid w:val="00E902B6"/>
    <w:rsid w:val="00E90752"/>
    <w:rsid w:val="00E91101"/>
    <w:rsid w:val="00E91A5F"/>
    <w:rsid w:val="00E93D1B"/>
    <w:rsid w:val="00E94E8C"/>
    <w:rsid w:val="00E96C44"/>
    <w:rsid w:val="00EA1A98"/>
    <w:rsid w:val="00EB1741"/>
    <w:rsid w:val="00EB1D80"/>
    <w:rsid w:val="00EB3CE4"/>
    <w:rsid w:val="00EB3E92"/>
    <w:rsid w:val="00EB4D59"/>
    <w:rsid w:val="00EB5A2E"/>
    <w:rsid w:val="00EB7DCF"/>
    <w:rsid w:val="00EC0628"/>
    <w:rsid w:val="00EC1751"/>
    <w:rsid w:val="00EC4CC2"/>
    <w:rsid w:val="00ED14C2"/>
    <w:rsid w:val="00ED3767"/>
    <w:rsid w:val="00ED531F"/>
    <w:rsid w:val="00EE22D1"/>
    <w:rsid w:val="00EE2490"/>
    <w:rsid w:val="00EE328B"/>
    <w:rsid w:val="00EE5C1E"/>
    <w:rsid w:val="00EE6E94"/>
    <w:rsid w:val="00EF0518"/>
    <w:rsid w:val="00EF0D61"/>
    <w:rsid w:val="00EF1B9D"/>
    <w:rsid w:val="00EF40E1"/>
    <w:rsid w:val="00EF71D5"/>
    <w:rsid w:val="00EF72FF"/>
    <w:rsid w:val="00F03713"/>
    <w:rsid w:val="00F06DD8"/>
    <w:rsid w:val="00F07B4D"/>
    <w:rsid w:val="00F10ED5"/>
    <w:rsid w:val="00F1388E"/>
    <w:rsid w:val="00F17164"/>
    <w:rsid w:val="00F22EC9"/>
    <w:rsid w:val="00F237B4"/>
    <w:rsid w:val="00F23AE8"/>
    <w:rsid w:val="00F32ED3"/>
    <w:rsid w:val="00F33392"/>
    <w:rsid w:val="00F356DC"/>
    <w:rsid w:val="00F36CC1"/>
    <w:rsid w:val="00F36EFD"/>
    <w:rsid w:val="00F42386"/>
    <w:rsid w:val="00F45776"/>
    <w:rsid w:val="00F45968"/>
    <w:rsid w:val="00F541C9"/>
    <w:rsid w:val="00F54C42"/>
    <w:rsid w:val="00F62507"/>
    <w:rsid w:val="00F6447E"/>
    <w:rsid w:val="00F71642"/>
    <w:rsid w:val="00F73E35"/>
    <w:rsid w:val="00F811CC"/>
    <w:rsid w:val="00F8459A"/>
    <w:rsid w:val="00F84DFB"/>
    <w:rsid w:val="00F85F1D"/>
    <w:rsid w:val="00F86F2B"/>
    <w:rsid w:val="00F8741F"/>
    <w:rsid w:val="00F91C30"/>
    <w:rsid w:val="00F96478"/>
    <w:rsid w:val="00FA1723"/>
    <w:rsid w:val="00FA305D"/>
    <w:rsid w:val="00FA34AF"/>
    <w:rsid w:val="00FA765A"/>
    <w:rsid w:val="00FB235C"/>
    <w:rsid w:val="00FB337C"/>
    <w:rsid w:val="00FB3805"/>
    <w:rsid w:val="00FB7194"/>
    <w:rsid w:val="00FC182A"/>
    <w:rsid w:val="00FC55BE"/>
    <w:rsid w:val="00FC6313"/>
    <w:rsid w:val="00FC790A"/>
    <w:rsid w:val="00FC7F90"/>
    <w:rsid w:val="00FD3DFB"/>
    <w:rsid w:val="00FE31DB"/>
    <w:rsid w:val="00FE39F4"/>
    <w:rsid w:val="00FE3B93"/>
    <w:rsid w:val="00FE5401"/>
    <w:rsid w:val="00FE5DCE"/>
    <w:rsid w:val="00FE7D60"/>
    <w:rsid w:val="00FF0823"/>
    <w:rsid w:val="00FF1484"/>
    <w:rsid w:val="00FF172E"/>
    <w:rsid w:val="052E5F27"/>
    <w:rsid w:val="06295992"/>
    <w:rsid w:val="06DE2238"/>
    <w:rsid w:val="0A3C4663"/>
    <w:rsid w:val="0A986ACC"/>
    <w:rsid w:val="0DC36225"/>
    <w:rsid w:val="0E21459C"/>
    <w:rsid w:val="0FDA0A0D"/>
    <w:rsid w:val="115E007E"/>
    <w:rsid w:val="13124EAF"/>
    <w:rsid w:val="16DE0C29"/>
    <w:rsid w:val="18237451"/>
    <w:rsid w:val="19D841FE"/>
    <w:rsid w:val="1A3E4379"/>
    <w:rsid w:val="1ED95F0E"/>
    <w:rsid w:val="1FA9496D"/>
    <w:rsid w:val="1FD36332"/>
    <w:rsid w:val="20F97B10"/>
    <w:rsid w:val="22BA1311"/>
    <w:rsid w:val="235F6883"/>
    <w:rsid w:val="23BE63B7"/>
    <w:rsid w:val="24D96A8C"/>
    <w:rsid w:val="262C5354"/>
    <w:rsid w:val="27FD0D55"/>
    <w:rsid w:val="283973A5"/>
    <w:rsid w:val="28863118"/>
    <w:rsid w:val="2AB8037B"/>
    <w:rsid w:val="2AD208F1"/>
    <w:rsid w:val="2C210E69"/>
    <w:rsid w:val="2C810CFC"/>
    <w:rsid w:val="2EBF1197"/>
    <w:rsid w:val="2F481E24"/>
    <w:rsid w:val="32E148F0"/>
    <w:rsid w:val="34365D61"/>
    <w:rsid w:val="35E61051"/>
    <w:rsid w:val="374D582E"/>
    <w:rsid w:val="39BA0658"/>
    <w:rsid w:val="3D6C0B70"/>
    <w:rsid w:val="404A3293"/>
    <w:rsid w:val="40A05D5E"/>
    <w:rsid w:val="41AA4F04"/>
    <w:rsid w:val="420838D2"/>
    <w:rsid w:val="431A7A5A"/>
    <w:rsid w:val="43520EC1"/>
    <w:rsid w:val="452C0FF6"/>
    <w:rsid w:val="46476EBF"/>
    <w:rsid w:val="464C1516"/>
    <w:rsid w:val="471831BB"/>
    <w:rsid w:val="48A85D76"/>
    <w:rsid w:val="49411EE8"/>
    <w:rsid w:val="4AC01AA9"/>
    <w:rsid w:val="4B277FCD"/>
    <w:rsid w:val="4B623309"/>
    <w:rsid w:val="4BC0003E"/>
    <w:rsid w:val="4C6732A5"/>
    <w:rsid w:val="4C8C689C"/>
    <w:rsid w:val="51B5109F"/>
    <w:rsid w:val="533C0427"/>
    <w:rsid w:val="534E09C3"/>
    <w:rsid w:val="55CB6D26"/>
    <w:rsid w:val="58CD5038"/>
    <w:rsid w:val="5A830270"/>
    <w:rsid w:val="5BF941BF"/>
    <w:rsid w:val="5CF83198"/>
    <w:rsid w:val="5F250741"/>
    <w:rsid w:val="5F2F507B"/>
    <w:rsid w:val="5F534915"/>
    <w:rsid w:val="609A7EC2"/>
    <w:rsid w:val="61690487"/>
    <w:rsid w:val="64480637"/>
    <w:rsid w:val="64F065B5"/>
    <w:rsid w:val="68716CA6"/>
    <w:rsid w:val="68F07389"/>
    <w:rsid w:val="6A456396"/>
    <w:rsid w:val="6C796F5B"/>
    <w:rsid w:val="70B93183"/>
    <w:rsid w:val="744255E8"/>
    <w:rsid w:val="747C76E4"/>
    <w:rsid w:val="747F0A84"/>
    <w:rsid w:val="74A9320B"/>
    <w:rsid w:val="7524592A"/>
    <w:rsid w:val="7730572C"/>
    <w:rsid w:val="773E1F66"/>
    <w:rsid w:val="77876CEC"/>
    <w:rsid w:val="77BC7E00"/>
    <w:rsid w:val="77F65777"/>
    <w:rsid w:val="78575BE8"/>
    <w:rsid w:val="786831E4"/>
    <w:rsid w:val="7B5301B3"/>
    <w:rsid w:val="7B5E4DC9"/>
    <w:rsid w:val="7D623F14"/>
    <w:rsid w:val="7E5348BB"/>
    <w:rsid w:val="7E9A6371"/>
    <w:rsid w:val="7FA1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iPriority="99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360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semiHidden/>
    <w:qFormat/>
    <w:uiPriority w:val="99"/>
    <w:pPr>
      <w:shd w:val="clear" w:color="auto" w:fill="000080"/>
    </w:pPr>
    <w:rPr>
      <w:kern w:val="0"/>
      <w:sz w:val="0"/>
      <w:szCs w:val="0"/>
    </w:rPr>
  </w:style>
  <w:style w:type="paragraph" w:styleId="4">
    <w:name w:val="Body Text"/>
    <w:basedOn w:val="1"/>
    <w:link w:val="23"/>
    <w:qFormat/>
    <w:uiPriority w:val="99"/>
    <w:pPr>
      <w:spacing w:after="120" w:line="360" w:lineRule="auto"/>
    </w:pPr>
    <w:rPr>
      <w:kern w:val="0"/>
      <w:sz w:val="20"/>
    </w:rPr>
  </w:style>
  <w:style w:type="paragraph" w:styleId="5">
    <w:name w:val="Body Text Indent"/>
    <w:basedOn w:val="1"/>
    <w:link w:val="26"/>
    <w:qFormat/>
    <w:uiPriority w:val="99"/>
    <w:pPr>
      <w:spacing w:line="360" w:lineRule="auto"/>
      <w:ind w:firstLine="200" w:firstLineChars="200"/>
    </w:pPr>
    <w:rPr>
      <w:kern w:val="0"/>
      <w:sz w:val="20"/>
    </w:rPr>
  </w:style>
  <w:style w:type="paragraph" w:styleId="6">
    <w:name w:val="Plain Text"/>
    <w:basedOn w:val="1"/>
    <w:link w:val="32"/>
    <w:qFormat/>
    <w:uiPriority w:val="99"/>
    <w:rPr>
      <w:rFonts w:ascii="宋体" w:hAnsi="Courier New"/>
      <w:kern w:val="0"/>
      <w:sz w:val="20"/>
      <w:szCs w:val="21"/>
    </w:rPr>
  </w:style>
  <w:style w:type="paragraph" w:styleId="7">
    <w:name w:val="Date"/>
    <w:basedOn w:val="1"/>
    <w:next w:val="1"/>
    <w:link w:val="29"/>
    <w:qFormat/>
    <w:uiPriority w:val="99"/>
    <w:pPr>
      <w:ind w:left="100" w:leftChars="2500"/>
    </w:pPr>
    <w:rPr>
      <w:kern w:val="0"/>
      <w:sz w:val="20"/>
    </w:rPr>
  </w:style>
  <w:style w:type="paragraph" w:styleId="8">
    <w:name w:val="Body Text Indent 2"/>
    <w:basedOn w:val="1"/>
    <w:link w:val="27"/>
    <w:qFormat/>
    <w:uiPriority w:val="99"/>
    <w:pPr>
      <w:spacing w:after="120" w:line="480" w:lineRule="auto"/>
      <w:ind w:left="420" w:leftChars="200"/>
    </w:pPr>
    <w:rPr>
      <w:kern w:val="0"/>
      <w:sz w:val="20"/>
    </w:rPr>
  </w:style>
  <w:style w:type="paragraph" w:styleId="9">
    <w:name w:val="Balloon Text"/>
    <w:basedOn w:val="1"/>
    <w:link w:val="28"/>
    <w:semiHidden/>
    <w:qFormat/>
    <w:uiPriority w:val="99"/>
    <w:rPr>
      <w:kern w:val="0"/>
      <w:sz w:val="0"/>
      <w:szCs w:val="0"/>
    </w:rPr>
  </w:style>
  <w:style w:type="paragraph" w:styleId="10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13">
    <w:name w:val="Title"/>
    <w:basedOn w:val="1"/>
    <w:next w:val="1"/>
    <w:link w:val="22"/>
    <w:qFormat/>
    <w:uiPriority w:val="99"/>
    <w:pPr>
      <w:suppressAutoHyphens/>
      <w:spacing w:before="240" w:after="60"/>
      <w:jc w:val="center"/>
      <w:outlineLvl w:val="0"/>
    </w:pPr>
    <w:rPr>
      <w:rFonts w:ascii="Cambria" w:hAnsi="Cambria"/>
      <w:b/>
      <w:sz w:val="32"/>
      <w:szCs w:val="20"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99"/>
    <w:rPr>
      <w:rFonts w:cs="Times New Roman"/>
    </w:r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content"/>
    <w:qFormat/>
    <w:uiPriority w:val="99"/>
    <w:rPr>
      <w:rFonts w:cs="Times New Roman"/>
    </w:rPr>
  </w:style>
  <w:style w:type="character" w:customStyle="1" w:styleId="22">
    <w:name w:val="标题 Char"/>
    <w:link w:val="13"/>
    <w:qFormat/>
    <w:locked/>
    <w:uiPriority w:val="99"/>
    <w:rPr>
      <w:rFonts w:ascii="Cambria" w:hAnsi="Cambria" w:eastAsia="宋体"/>
      <w:b/>
      <w:kern w:val="2"/>
      <w:sz w:val="32"/>
      <w:lang w:val="en-US" w:eastAsia="zh-CN"/>
    </w:rPr>
  </w:style>
  <w:style w:type="character" w:customStyle="1" w:styleId="23">
    <w:name w:val="正文文本 Char"/>
    <w:link w:val="4"/>
    <w:semiHidden/>
    <w:qFormat/>
    <w:uiPriority w:val="99"/>
    <w:rPr>
      <w:szCs w:val="24"/>
    </w:rPr>
  </w:style>
  <w:style w:type="character" w:customStyle="1" w:styleId="24">
    <w:name w:val="文档结构图 Char"/>
    <w:link w:val="3"/>
    <w:semiHidden/>
    <w:qFormat/>
    <w:uiPriority w:val="99"/>
    <w:rPr>
      <w:sz w:val="0"/>
      <w:szCs w:val="0"/>
    </w:rPr>
  </w:style>
  <w:style w:type="paragraph" w:customStyle="1" w:styleId="25">
    <w:name w:val="附件栏"/>
    <w:basedOn w:val="1"/>
    <w:qFormat/>
    <w:uiPriority w:val="99"/>
    <w:pPr>
      <w:autoSpaceDE w:val="0"/>
      <w:autoSpaceDN w:val="0"/>
      <w:snapToGrid w:val="0"/>
      <w:spacing w:line="590" w:lineRule="atLeast"/>
      <w:ind w:firstLine="624"/>
    </w:pPr>
    <w:rPr>
      <w:rFonts w:ascii="汉鼎简仿宋" w:eastAsia="汉鼎简仿宋"/>
      <w:kern w:val="0"/>
      <w:sz w:val="32"/>
      <w:szCs w:val="20"/>
    </w:rPr>
  </w:style>
  <w:style w:type="character" w:customStyle="1" w:styleId="26">
    <w:name w:val="正文文本缩进 Char"/>
    <w:link w:val="5"/>
    <w:semiHidden/>
    <w:qFormat/>
    <w:uiPriority w:val="99"/>
    <w:rPr>
      <w:szCs w:val="24"/>
    </w:rPr>
  </w:style>
  <w:style w:type="character" w:customStyle="1" w:styleId="27">
    <w:name w:val="正文文本缩进 2 Char"/>
    <w:link w:val="8"/>
    <w:semiHidden/>
    <w:qFormat/>
    <w:uiPriority w:val="99"/>
    <w:rPr>
      <w:szCs w:val="24"/>
    </w:rPr>
  </w:style>
  <w:style w:type="character" w:customStyle="1" w:styleId="28">
    <w:name w:val="批注框文本 Char"/>
    <w:link w:val="9"/>
    <w:semiHidden/>
    <w:qFormat/>
    <w:uiPriority w:val="99"/>
    <w:rPr>
      <w:sz w:val="0"/>
      <w:szCs w:val="0"/>
    </w:rPr>
  </w:style>
  <w:style w:type="character" w:customStyle="1" w:styleId="29">
    <w:name w:val="日期 Char"/>
    <w:link w:val="7"/>
    <w:semiHidden/>
    <w:qFormat/>
    <w:uiPriority w:val="99"/>
    <w:rPr>
      <w:szCs w:val="24"/>
    </w:rPr>
  </w:style>
  <w:style w:type="character" w:customStyle="1" w:styleId="30">
    <w:name w:val="页眉 Char"/>
    <w:link w:val="11"/>
    <w:semiHidden/>
    <w:qFormat/>
    <w:uiPriority w:val="99"/>
    <w:rPr>
      <w:sz w:val="18"/>
      <w:szCs w:val="18"/>
    </w:rPr>
  </w:style>
  <w:style w:type="character" w:customStyle="1" w:styleId="31">
    <w:name w:val="页脚 Char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纯文本 Char"/>
    <w:link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33">
    <w:name w:val="Title Char1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34">
    <w:name w:val="Char Char1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宋体" w:hAnsi="宋体"/>
      <w:kern w:val="0"/>
      <w:sz w:val="24"/>
      <w:szCs w:val="20"/>
      <w:lang w:eastAsia="en-US"/>
    </w:rPr>
  </w:style>
  <w:style w:type="paragraph" w:customStyle="1" w:styleId="35">
    <w:name w:val="Char Char Char Char1 Char Char Char"/>
    <w:basedOn w:val="3"/>
    <w:qFormat/>
    <w:uiPriority w:val="99"/>
    <w:pPr>
      <w:widowControl/>
      <w:ind w:firstLine="454"/>
      <w:jc w:val="left"/>
    </w:pPr>
    <w:rPr>
      <w:rFonts w:ascii="Tahoma" w:hAnsi="Tahoma" w:cs="宋体"/>
      <w:szCs w:val="20"/>
    </w:rPr>
  </w:style>
  <w:style w:type="paragraph" w:customStyle="1" w:styleId="36">
    <w:name w:val="密级"/>
    <w:basedOn w:val="1"/>
    <w:qFormat/>
    <w:uiPriority w:val="99"/>
    <w:pPr>
      <w:autoSpaceDE w:val="0"/>
      <w:autoSpaceDN w:val="0"/>
      <w:adjustRightInd w:val="0"/>
      <w:spacing w:line="425" w:lineRule="atLeast"/>
      <w:jc w:val="right"/>
    </w:pPr>
    <w:rPr>
      <w:rFonts w:ascii="黑体" w:eastAsia="黑体"/>
      <w:kern w:val="0"/>
      <w:sz w:val="30"/>
      <w:szCs w:val="20"/>
    </w:rPr>
  </w:style>
  <w:style w:type="paragraph" w:customStyle="1" w:styleId="37">
    <w:name w:val="紧急程度"/>
    <w:basedOn w:val="36"/>
    <w:qFormat/>
    <w:uiPriority w:val="99"/>
    <w:pPr>
      <w:spacing w:line="397" w:lineRule="atLeast"/>
    </w:pPr>
    <w:rPr>
      <w:rFonts w:ascii="汉鼎简黑体" w:hAnsi="汉鼎简黑体" w:eastAsia="汉鼎简黑体"/>
      <w:sz w:val="32"/>
    </w:rPr>
  </w:style>
  <w:style w:type="paragraph" w:customStyle="1" w:styleId="38">
    <w:name w:val="红线"/>
    <w:basedOn w:val="1"/>
    <w:qFormat/>
    <w:uiPriority w:val="99"/>
    <w:pPr>
      <w:autoSpaceDE w:val="0"/>
      <w:autoSpaceDN w:val="0"/>
      <w:adjustRightInd w:val="0"/>
      <w:spacing w:after="170" w:line="227" w:lineRule="atLeast"/>
      <w:jc w:val="center"/>
    </w:pPr>
    <w:rPr>
      <w:rFonts w:ascii="汉鼎简仿宋" w:eastAsia="汉鼎简仿宋"/>
      <w:kern w:val="0"/>
      <w:sz w:val="10"/>
      <w:szCs w:val="20"/>
    </w:rPr>
  </w:style>
  <w:style w:type="paragraph" w:customStyle="1" w:styleId="39">
    <w:name w:val="Char Char Char1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40">
    <w:name w:val="Char"/>
    <w:basedOn w:val="1"/>
    <w:qFormat/>
    <w:uiPriority w:val="99"/>
    <w:pPr>
      <w:tabs>
        <w:tab w:val="left" w:pos="690"/>
      </w:tabs>
      <w:ind w:left="690" w:hanging="360"/>
    </w:pPr>
    <w:rPr>
      <w:sz w:val="24"/>
    </w:rPr>
  </w:style>
  <w:style w:type="paragraph" w:customStyle="1" w:styleId="41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paragraph" w:customStyle="1" w:styleId="42">
    <w:name w:val="Char Char Char Char"/>
    <w:basedOn w:val="1"/>
    <w:qFormat/>
    <w:uiPriority w:val="99"/>
  </w:style>
  <w:style w:type="paragraph" w:customStyle="1" w:styleId="43">
    <w:name w:val="主题词"/>
    <w:basedOn w:val="1"/>
    <w:qFormat/>
    <w:uiPriority w:val="99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kern w:val="0"/>
      <w:sz w:val="32"/>
      <w:szCs w:val="20"/>
    </w:rPr>
  </w:style>
  <w:style w:type="paragraph" w:customStyle="1" w:styleId="44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45">
    <w:name w:val="Char Char Char Char1"/>
    <w:basedOn w:val="1"/>
    <w:qFormat/>
    <w:uiPriority w:val="99"/>
    <w:pPr>
      <w:widowControl/>
      <w:autoSpaceDE w:val="0"/>
      <w:autoSpaceDN w:val="0"/>
      <w:snapToGrid w:val="0"/>
      <w:spacing w:after="160" w:line="240" w:lineRule="exact"/>
      <w:ind w:firstLine="624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">
    <w:name w:val="Table Paragraph"/>
    <w:basedOn w:val="1"/>
    <w:qFormat/>
    <w:uiPriority w:val="99"/>
    <w:pPr>
      <w:autoSpaceDE w:val="0"/>
      <w:autoSpaceDN w:val="0"/>
      <w:spacing w:before="11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47">
    <w:name w:val="网格型1"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</Company>
  <Pages>6</Pages>
  <Words>394</Words>
  <Characters>2247</Characters>
  <Lines>18</Lines>
  <Paragraphs>5</Paragraphs>
  <TotalTime>21</TotalTime>
  <ScaleCrop>false</ScaleCrop>
  <LinksUpToDate>false</LinksUpToDate>
  <CharactersWithSpaces>2636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2019-08-07T02:50:00Z</dcterms:created>
  <dc:creator>微软用户</dc:creator>
  <cp:lastModifiedBy>Administrator</cp:lastModifiedBy>
  <cp:lastPrinted>2024-04-23T02:58:00Z</cp:lastPrinted>
  <dcterms:modified xsi:type="dcterms:W3CDTF">2024-04-25T07:37:34Z</dcterms:modified>
  <dc:title>关于转发市委浦荣皋书记重要批示的通知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09159D43AD5940048340CA007C59068D</vt:lpwstr>
  </property>
</Properties>
</file>