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firstLine="215" w:firstLineChars="49"/>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关于四星高中指标生</w:t>
      </w:r>
    </w:p>
    <w:p>
      <w:pPr>
        <w:spacing w:line="720" w:lineRule="exact"/>
        <w:ind w:firstLine="215" w:firstLineChars="49"/>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定向分配到各初中校的通知</w:t>
      </w:r>
    </w:p>
    <w:p>
      <w:pPr>
        <w:jc w:val="center"/>
        <w:rPr>
          <w:rFonts w:hint="default" w:ascii="Times New Roman" w:hAnsi="Times New Roman" w:eastAsia="仿宋_GB2312" w:cs="Times New Roman"/>
          <w:color w:val="auto"/>
          <w:spacing w:val="-4"/>
          <w:sz w:val="32"/>
        </w:rPr>
      </w:pPr>
      <w:r>
        <w:rPr>
          <w:rFonts w:hint="default" w:ascii="Times New Roman" w:hAnsi="Times New Roman" w:eastAsia="仿宋_GB2312" w:cs="Times New Roman"/>
          <w:color w:val="auto"/>
          <w:spacing w:val="-4"/>
          <w:sz w:val="32"/>
        </w:rPr>
        <w:t>太教基〔2024〕</w:t>
      </w:r>
      <w:r>
        <w:rPr>
          <w:rFonts w:hint="default" w:ascii="Times New Roman" w:hAnsi="Times New Roman" w:eastAsia="仿宋_GB2312" w:cs="Times New Roman"/>
          <w:color w:val="auto"/>
          <w:spacing w:val="-4"/>
          <w:sz w:val="32"/>
          <w:lang w:val="en-US" w:eastAsia="zh-CN"/>
        </w:rPr>
        <w:t>13</w:t>
      </w:r>
      <w:r>
        <w:rPr>
          <w:rFonts w:hint="default" w:ascii="Times New Roman" w:hAnsi="Times New Roman" w:eastAsia="仿宋_GB2312" w:cs="Times New Roman"/>
          <w:color w:val="auto"/>
          <w:spacing w:val="-4"/>
          <w:sz w:val="32"/>
        </w:rPr>
        <w:t>号</w:t>
      </w:r>
    </w:p>
    <w:p>
      <w:pPr>
        <w:spacing w:line="560" w:lineRule="exact"/>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各高中、初中、招生办：</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根据《教育部关于进一步推进高中阶段学校考试招生制度改革的指导意见》（教基二〔2016〕4号）、《中共江苏省委 江苏省人民政府关于新时代推进基础教育高质量发展的意见》（苏发〔2020〕13号）、《省委办公厅省政府办公厅印发〈关于深化教育体制机制改革的实施意见〉的通知》（苏办发〔2018〕27号）、《省委办公厅省政府办公厅印发〈关于新时代推进普通高中育人方式改革和资源建设的实施意见〉的通知》（苏办发〔2020〕15号）、苏州市教育局《2024年苏州市普通高中招生工作意见》（苏教〔2024〕4号）和《关于做好2024年苏州市区各类高级中等学校招生工作的通知》（苏教〔2024〕5号）等文件相关规定，制定2024年太仓市四星级普通高中指标生计划定向分配到各初中校的办法。现通知如下：</w:t>
      </w:r>
    </w:p>
    <w:p>
      <w:pPr>
        <w:spacing w:line="560" w:lineRule="exact"/>
        <w:ind w:firstLine="616" w:firstLineChars="200"/>
        <w:rPr>
          <w:rFonts w:hint="default" w:ascii="Times New Roman" w:hAnsi="Times New Roman" w:eastAsia="黑体" w:cs="Times New Roman"/>
          <w:color w:val="auto"/>
          <w:spacing w:val="-6"/>
          <w:sz w:val="32"/>
          <w:szCs w:val="32"/>
        </w:rPr>
      </w:pPr>
      <w:r>
        <w:rPr>
          <w:rFonts w:hint="default" w:ascii="Times New Roman" w:hAnsi="Times New Roman" w:eastAsia="黑体" w:cs="Times New Roman"/>
          <w:color w:val="auto"/>
          <w:spacing w:val="-6"/>
          <w:sz w:val="32"/>
          <w:szCs w:val="32"/>
        </w:rPr>
        <w:t>一、指标生的分配办法</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江苏省太仓高级中学（以下简称省太高）指标生比例为招生计划的70%计448人。江苏省太仓高级中学娄江新城校（筹）（以下简称省太高娄江新城校）招生计划的50%计450人，江苏省沙溪高级中学（以下简称省沙高）招生计划的50%计400人和太仓市明德高级中学（以下简称明德高中）招生计划的50%计450人作为定向指标分配，投放到所有初中学校。</w:t>
      </w:r>
    </w:p>
    <w:p>
      <w:pPr>
        <w:spacing w:line="560" w:lineRule="exact"/>
        <w:ind w:firstLine="616" w:firstLineChars="200"/>
        <w:rPr>
          <w:rFonts w:hint="default" w:ascii="Times New Roman" w:hAnsi="Times New Roman" w:eastAsia="黑体" w:cs="Times New Roman"/>
          <w:color w:val="auto"/>
          <w:spacing w:val="-6"/>
          <w:sz w:val="32"/>
          <w:szCs w:val="32"/>
        </w:rPr>
      </w:pPr>
      <w:r>
        <w:rPr>
          <w:rFonts w:hint="default" w:ascii="Times New Roman" w:hAnsi="Times New Roman" w:eastAsia="黑体" w:cs="Times New Roman"/>
          <w:color w:val="auto"/>
          <w:spacing w:val="-6"/>
          <w:sz w:val="32"/>
          <w:szCs w:val="32"/>
        </w:rPr>
        <w:t>二、指标生的具体事项</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1.省太高、省太高娄江新城校、省沙高和明德高中的指标按各初中校中考报名人数（不含择校生、转入学生、报名后休学学生）的比例均衡分配到各初中校。</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2.各初中校要认真做好指标生的落实工作，指标生必须满足在初三毕业学校连续三年在籍在读及其他政策规定的相关条件，凡择校生与中途转入生均不享受指标生的分配政策。</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3.指标生的录取，遵循填报志愿、依据计划、按分录取、社会公示的原则。具有指标生资格的考生，可填报一个志愿。录取时，先划定各四星高中指标生最低控制线，再按考生志愿及所在初中校指标生数，按中考总分从高分到低分依次录取。（详见《2024年太仓市各类高级中等学校招生工作意见》（太教〔2024〕13号文件）。</w:t>
      </w:r>
    </w:p>
    <w:p>
      <w:pPr>
        <w:spacing w:line="560" w:lineRule="exact"/>
        <w:ind w:firstLine="616" w:firstLineChars="200"/>
        <w:rPr>
          <w:rFonts w:hint="default" w:ascii="Times New Roman" w:hAnsi="Times New Roman" w:eastAsia="黑体" w:cs="Times New Roman"/>
          <w:color w:val="auto"/>
          <w:spacing w:val="-6"/>
          <w:sz w:val="32"/>
          <w:szCs w:val="32"/>
        </w:rPr>
      </w:pPr>
      <w:r>
        <w:rPr>
          <w:rFonts w:hint="default" w:ascii="Times New Roman" w:hAnsi="Times New Roman" w:eastAsia="黑体" w:cs="Times New Roman"/>
          <w:color w:val="auto"/>
          <w:spacing w:val="-6"/>
          <w:sz w:val="32"/>
          <w:szCs w:val="32"/>
        </w:rPr>
        <w:t>三、工作要求</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实施四星高中指标生定向分配办法，是促进义务教育优质均衡发展、促进教育公平、加快建设江苏省义务教育优质均衡改革发展示范区的重大举措。各四星高中与初中校要根据文件要求，认真做好宣传动员、公布定向分配指标、公示录取学生名单、及时组织指标生报到等相关工作。</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公示时间：2024年6月中旬</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公示场所：太仓市各初中学校</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举报电话：53531152、53531151、53839607、53530093</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指标分配详见附件。</w:t>
      </w:r>
    </w:p>
    <w:p>
      <w:pPr>
        <w:spacing w:line="560" w:lineRule="exact"/>
        <w:ind w:firstLine="600"/>
        <w:rPr>
          <w:rFonts w:hint="default" w:ascii="Times New Roman" w:hAnsi="Times New Roman" w:eastAsia="仿宋_GB2312" w:cs="Times New Roman"/>
          <w:color w:val="auto"/>
          <w:spacing w:val="-6"/>
          <w:sz w:val="32"/>
          <w:szCs w:val="32"/>
        </w:rPr>
      </w:pPr>
    </w:p>
    <w:p>
      <w:pPr>
        <w:spacing w:line="560" w:lineRule="exact"/>
        <w:ind w:firstLine="6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附件：2024年四星高中定向分配指标一览表</w:t>
      </w:r>
    </w:p>
    <w:p>
      <w:pPr>
        <w:spacing w:line="560" w:lineRule="exact"/>
        <w:ind w:firstLine="600"/>
        <w:rPr>
          <w:rFonts w:hint="default" w:ascii="Times New Roman" w:hAnsi="Times New Roman" w:eastAsia="仿宋_GB2312" w:cs="Times New Roman"/>
          <w:color w:val="auto"/>
          <w:spacing w:val="-6"/>
          <w:sz w:val="32"/>
          <w:szCs w:val="32"/>
        </w:rPr>
      </w:pPr>
    </w:p>
    <w:p>
      <w:pPr>
        <w:spacing w:line="560" w:lineRule="exact"/>
        <w:ind w:firstLine="600"/>
        <w:rPr>
          <w:rFonts w:hint="default" w:ascii="Times New Roman" w:hAnsi="Times New Roman" w:eastAsia="仿宋_GB2312" w:cs="Times New Roman"/>
          <w:color w:val="auto"/>
          <w:spacing w:val="-6"/>
          <w:sz w:val="32"/>
          <w:szCs w:val="32"/>
        </w:rPr>
      </w:pPr>
    </w:p>
    <w:p>
      <w:pPr>
        <w:spacing w:line="560" w:lineRule="exact"/>
        <w:ind w:firstLine="600"/>
        <w:rPr>
          <w:rFonts w:hint="default" w:ascii="Times New Roman" w:hAnsi="Times New Roman" w:eastAsia="仿宋_GB2312" w:cs="Times New Roman"/>
          <w:color w:val="auto"/>
          <w:spacing w:val="-6"/>
          <w:sz w:val="32"/>
          <w:szCs w:val="32"/>
        </w:rPr>
      </w:pPr>
    </w:p>
    <w:p>
      <w:pPr>
        <w:spacing w:line="560" w:lineRule="exact"/>
        <w:ind w:firstLine="600"/>
        <w:rPr>
          <w:rFonts w:hint="default" w:ascii="Times New Roman" w:hAnsi="Times New Roman" w:eastAsia="仿宋_GB2312" w:cs="Times New Roman"/>
          <w:color w:val="auto"/>
          <w:spacing w:val="-6"/>
          <w:sz w:val="32"/>
          <w:szCs w:val="32"/>
        </w:rPr>
      </w:pPr>
    </w:p>
    <w:p>
      <w:pPr>
        <w:spacing w:line="560" w:lineRule="exact"/>
        <w:ind w:firstLine="6006" w:firstLineChars="195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太仓市教育局</w:t>
      </w:r>
    </w:p>
    <w:p>
      <w:pPr>
        <w:spacing w:line="560" w:lineRule="exact"/>
        <w:jc w:val="center"/>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                                   2024年6月3日</w:t>
      </w:r>
    </w:p>
    <w:p>
      <w:pPr>
        <w:spacing w:line="560" w:lineRule="exact"/>
        <w:ind w:firstLine="616"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（此件公开发布）</w:t>
      </w:r>
    </w:p>
    <w:p>
      <w:pPr>
        <w:spacing w:line="560" w:lineRule="exact"/>
        <w:ind w:firstLine="616" w:firstLineChars="200"/>
        <w:rPr>
          <w:rFonts w:hint="default" w:ascii="Times New Roman" w:hAnsi="Times New Roman" w:eastAsia="仿宋_GB2312" w:cs="Times New Roman"/>
          <w:color w:val="auto"/>
          <w:spacing w:val="-6"/>
          <w:sz w:val="32"/>
          <w:szCs w:val="32"/>
        </w:rPr>
      </w:pPr>
    </w:p>
    <w:p>
      <w:pPr>
        <w:spacing w:line="560" w:lineRule="exact"/>
        <w:ind w:firstLine="616" w:firstLineChars="200"/>
        <w:rPr>
          <w:rFonts w:hint="default" w:ascii="Times New Roman" w:hAnsi="Times New Roman" w:eastAsia="仿宋_GB2312" w:cs="Times New Roman"/>
          <w:color w:val="auto"/>
          <w:spacing w:val="-6"/>
          <w:sz w:val="32"/>
          <w:szCs w:val="32"/>
        </w:rPr>
      </w:pPr>
    </w:p>
    <w:p>
      <w:pPr>
        <w:spacing w:line="560" w:lineRule="exact"/>
        <w:ind w:firstLine="616" w:firstLineChars="200"/>
        <w:rPr>
          <w:rFonts w:hint="default" w:ascii="Times New Roman" w:hAnsi="Times New Roman" w:eastAsia="仿宋_GB2312" w:cs="Times New Roman"/>
          <w:color w:val="auto"/>
          <w:spacing w:val="-6"/>
          <w:sz w:val="32"/>
          <w:szCs w:val="32"/>
        </w:rPr>
      </w:pPr>
    </w:p>
    <w:p>
      <w:pPr>
        <w:spacing w:line="560" w:lineRule="exact"/>
        <w:ind w:firstLine="616" w:firstLineChars="200"/>
        <w:rPr>
          <w:rFonts w:hint="default" w:ascii="Times New Roman" w:hAnsi="Times New Roman" w:eastAsia="仿宋_GB2312" w:cs="Times New Roman"/>
          <w:color w:val="auto"/>
          <w:spacing w:val="-6"/>
          <w:sz w:val="32"/>
          <w:szCs w:val="32"/>
        </w:rPr>
      </w:pPr>
    </w:p>
    <w:p>
      <w:pPr>
        <w:spacing w:line="560" w:lineRule="exact"/>
        <w:ind w:firstLine="616" w:firstLineChars="200"/>
        <w:rPr>
          <w:rFonts w:hint="default" w:ascii="Times New Roman" w:hAnsi="Times New Roman" w:eastAsia="仿宋_GB2312" w:cs="Times New Roman"/>
          <w:color w:val="auto"/>
          <w:spacing w:val="-6"/>
          <w:sz w:val="32"/>
          <w:szCs w:val="32"/>
        </w:rPr>
      </w:pPr>
    </w:p>
    <w:p>
      <w:pPr>
        <w:spacing w:line="240" w:lineRule="exact"/>
        <w:rPr>
          <w:rFonts w:hint="default" w:ascii="Times New Roman" w:hAnsi="Times New Roman" w:eastAsia="黑体" w:cs="Times New Roman"/>
          <w:color w:val="auto"/>
          <w:sz w:val="32"/>
          <w:szCs w:val="32"/>
          <w:u w:val="single"/>
        </w:rPr>
      </w:pPr>
    </w:p>
    <w:p>
      <w:pPr>
        <w:spacing w:line="240" w:lineRule="exact"/>
        <w:rPr>
          <w:rFonts w:hint="default" w:ascii="Times New Roman" w:hAnsi="Times New Roman" w:eastAsia="黑体" w:cs="Times New Roman"/>
          <w:color w:val="auto"/>
          <w:sz w:val="32"/>
          <w:szCs w:val="32"/>
          <w:u w:val="single"/>
        </w:rPr>
      </w:pPr>
    </w:p>
    <w:p>
      <w:pPr>
        <w:spacing w:line="240" w:lineRule="exact"/>
        <w:rPr>
          <w:rFonts w:hint="default" w:ascii="Times New Roman" w:hAnsi="Times New Roman" w:eastAsia="黑体" w:cs="Times New Roman"/>
          <w:color w:val="auto"/>
          <w:sz w:val="32"/>
          <w:szCs w:val="32"/>
          <w:u w:val="single"/>
        </w:rPr>
      </w:pPr>
    </w:p>
    <w:p>
      <w:pPr>
        <w:spacing w:line="240" w:lineRule="exact"/>
        <w:rPr>
          <w:rFonts w:hint="default" w:ascii="Times New Roman" w:hAnsi="Times New Roman" w:eastAsia="黑体" w:cs="Times New Roman"/>
          <w:color w:val="auto"/>
          <w:sz w:val="32"/>
          <w:szCs w:val="32"/>
          <w:u w:val="single"/>
        </w:rPr>
      </w:pPr>
    </w:p>
    <w:p>
      <w:pPr>
        <w:spacing w:line="240" w:lineRule="exact"/>
        <w:rPr>
          <w:rFonts w:hint="default" w:ascii="Times New Roman" w:hAnsi="Times New Roman" w:eastAsia="黑体" w:cs="Times New Roman"/>
          <w:color w:val="auto"/>
          <w:sz w:val="32"/>
          <w:szCs w:val="32"/>
          <w:u w:val="single"/>
        </w:rPr>
      </w:pPr>
    </w:p>
    <w:p>
      <w:pPr>
        <w:spacing w:line="240" w:lineRule="exact"/>
        <w:rPr>
          <w:rFonts w:hint="default" w:ascii="Times New Roman" w:hAnsi="Times New Roman" w:eastAsia="黑体" w:cs="Times New Roman"/>
          <w:color w:val="auto"/>
          <w:sz w:val="32"/>
          <w:szCs w:val="32"/>
          <w:u w:val="single"/>
        </w:rPr>
      </w:pPr>
    </w:p>
    <w:p>
      <w:pPr>
        <w:spacing w:line="240" w:lineRule="exact"/>
        <w:rPr>
          <w:rFonts w:hint="default" w:ascii="Times New Roman" w:hAnsi="Times New Roman" w:eastAsia="黑体" w:cs="Times New Roman"/>
          <w:color w:val="auto"/>
          <w:sz w:val="32"/>
          <w:szCs w:val="32"/>
          <w:u w:val="single"/>
        </w:rPr>
      </w:pPr>
    </w:p>
    <w:p>
      <w:pPr>
        <w:spacing w:line="240" w:lineRule="exact"/>
        <w:rPr>
          <w:rFonts w:hint="default" w:ascii="Times New Roman" w:hAnsi="Times New Roman" w:eastAsia="黑体" w:cs="Times New Roman"/>
          <w:color w:val="auto"/>
          <w:sz w:val="32"/>
          <w:szCs w:val="32"/>
          <w:u w:val="single"/>
        </w:rPr>
      </w:pPr>
    </w:p>
    <w:p>
      <w:pPr>
        <w:spacing w:line="240" w:lineRule="exact"/>
        <w:rPr>
          <w:rFonts w:hint="default" w:ascii="Times New Roman" w:hAnsi="Times New Roman" w:eastAsia="黑体" w:cs="Times New Roman"/>
          <w:color w:val="auto"/>
          <w:sz w:val="32"/>
          <w:szCs w:val="32"/>
          <w:u w:val="single"/>
        </w:rPr>
      </w:pPr>
    </w:p>
    <w:p>
      <w:pPr>
        <w:spacing w:line="240" w:lineRule="exact"/>
        <w:rPr>
          <w:rFonts w:hint="default" w:ascii="Times New Roman" w:hAnsi="Times New Roman" w:eastAsia="黑体" w:cs="Times New Roman"/>
          <w:color w:val="auto"/>
          <w:sz w:val="32"/>
          <w:szCs w:val="32"/>
          <w:u w:val="single"/>
        </w:rPr>
      </w:pPr>
      <w:bookmarkStart w:id="1" w:name="_GoBack"/>
      <w:bookmarkEnd w:id="1"/>
    </w:p>
    <w:p>
      <w:pPr>
        <w:spacing w:line="240" w:lineRule="exact"/>
        <w:rPr>
          <w:rFonts w:hint="default" w:ascii="Times New Roman" w:hAnsi="Times New Roman" w:eastAsia="黑体" w:cs="Times New Roman"/>
          <w:color w:val="auto"/>
          <w:sz w:val="32"/>
          <w:szCs w:val="32"/>
          <w:u w:val="single"/>
        </w:rPr>
      </w:pPr>
    </w:p>
    <w:p>
      <w:pPr>
        <w:spacing w:line="240" w:lineRule="exact"/>
        <w:rPr>
          <w:rFonts w:hint="default" w:ascii="Times New Roman" w:hAnsi="Times New Roman" w:eastAsia="黑体" w:cs="Times New Roman"/>
          <w:color w:val="auto"/>
          <w:sz w:val="32"/>
          <w:szCs w:val="32"/>
          <w:u w:val="single"/>
        </w:rPr>
      </w:pPr>
    </w:p>
    <w:p>
      <w:pPr>
        <w:spacing w:line="200" w:lineRule="exact"/>
        <w:rPr>
          <w:rFonts w:hint="default" w:ascii="Times New Roman" w:hAnsi="Times New Roman" w:eastAsia="黑体" w:cs="Times New Roman"/>
          <w:color w:val="auto"/>
          <w:sz w:val="32"/>
          <w:szCs w:val="32"/>
          <w:u w:val="single"/>
        </w:rPr>
      </w:pPr>
    </w:p>
    <w:p>
      <w:pPr>
        <w:spacing w:line="40" w:lineRule="exact"/>
        <w:rPr>
          <w:rFonts w:hint="default" w:ascii="Times New Roman" w:hAnsi="Times New Roman" w:cs="Times New Roman"/>
          <w:color w:val="auto"/>
        </w:rPr>
      </w:pPr>
    </w:p>
    <w:p>
      <w:pPr>
        <w:spacing w:line="40" w:lineRule="exact"/>
        <w:rPr>
          <w:rFonts w:hint="default" w:ascii="Times New Roman" w:hAnsi="Times New Roman" w:cs="Times New Roman"/>
          <w:color w:val="auto"/>
        </w:rPr>
      </w:pPr>
    </w:p>
    <w:p>
      <w:pPr>
        <w:spacing w:line="40" w:lineRule="exact"/>
        <w:rPr>
          <w:rFonts w:hint="default" w:ascii="Times New Roman" w:hAnsi="Times New Roman" w:cs="Times New Roman"/>
          <w:color w:val="auto"/>
        </w:rPr>
      </w:pPr>
    </w:p>
    <w:p>
      <w:pPr>
        <w:spacing w:line="40" w:lineRule="exact"/>
        <w:rPr>
          <w:rFonts w:hint="default" w:ascii="Times New Roman" w:hAnsi="Times New Roman" w:cs="Times New Roman"/>
          <w:color w:val="auto"/>
        </w:rPr>
      </w:pPr>
    </w:p>
    <w:p>
      <w:pPr>
        <w:spacing w:line="40" w:lineRule="exact"/>
        <w:rPr>
          <w:rFonts w:hint="default" w:ascii="Times New Roman" w:hAnsi="Times New Roman" w:cs="Times New Roman"/>
          <w:color w:val="auto"/>
        </w:rPr>
      </w:pPr>
    </w:p>
    <w:tbl>
      <w:tblPr>
        <w:tblStyle w:val="3"/>
        <w:tblpPr w:leftFromText="180" w:rightFromText="180" w:vertAnchor="text" w:horzAnchor="page" w:tblpX="1870" w:tblpY="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70" w:type="dxa"/>
            <w:tcBorders>
              <w:left w:val="nil"/>
              <w:bottom w:val="single" w:color="auto" w:sz="12" w:space="0"/>
              <w:right w:val="nil"/>
            </w:tcBorders>
          </w:tcPr>
          <w:p>
            <w:pPr>
              <w:pStyle w:val="6"/>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仿宋_GB2312" w:cs="Times New Roman"/>
                <w:b w:val="0"/>
                <w:color w:val="auto"/>
                <w:sz w:val="28"/>
                <w:szCs w:val="28"/>
              </w:rPr>
            </w:pPr>
            <w:r>
              <w:rPr>
                <w:rFonts w:hint="default" w:ascii="Times New Roman" w:hAnsi="Times New Roman" w:eastAsia="仿宋_GB2312" w:cs="Times New Roman"/>
                <w:b w:val="0"/>
                <w:color w:val="auto"/>
                <w:sz w:val="28"/>
                <w:szCs w:val="28"/>
              </w:rPr>
              <w:t xml:space="preserve">太仓市教育局党政办公室                 </w:t>
            </w:r>
            <w:r>
              <w:rPr>
                <w:rFonts w:hint="default" w:ascii="Times New Roman" w:hAnsi="Times New Roman" w:eastAsia="仿宋_GB2312" w:cs="Times New Roman"/>
                <w:b w:val="0"/>
                <w:color w:val="auto"/>
                <w:sz w:val="28"/>
                <w:szCs w:val="28"/>
                <w:lang w:val="en-US" w:eastAsia="zh-CN"/>
              </w:rPr>
              <w:t xml:space="preserve"> </w:t>
            </w:r>
            <w:r>
              <w:rPr>
                <w:rFonts w:hint="default" w:ascii="Times New Roman" w:hAnsi="Times New Roman" w:eastAsia="仿宋_GB2312" w:cs="Times New Roman"/>
                <w:b w:val="0"/>
                <w:color w:val="auto"/>
                <w:sz w:val="28"/>
                <w:szCs w:val="28"/>
              </w:rPr>
              <w:t xml:space="preserve">    2024年6月3日印发</w:t>
            </w:r>
          </w:p>
        </w:tc>
      </w:tr>
    </w:tbl>
    <w:p>
      <w:pPr>
        <w:spacing w:line="40" w:lineRule="exact"/>
        <w:rPr>
          <w:rFonts w:hint="default" w:ascii="Times New Roman" w:hAnsi="Times New Roman" w:cs="Times New Roman"/>
          <w:color w:val="auto"/>
        </w:rPr>
      </w:pPr>
    </w:p>
    <w:p>
      <w:pPr>
        <w:spacing w:line="4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p>
    <w:p>
      <w:pPr>
        <w:spacing w:line="440" w:lineRule="exact"/>
        <w:rPr>
          <w:rFonts w:hint="default" w:ascii="Times New Roman" w:hAnsi="Times New Roman" w:eastAsia="黑体" w:cs="Times New Roman"/>
          <w:color w:val="auto"/>
          <w:sz w:val="32"/>
          <w:szCs w:val="32"/>
        </w:rPr>
      </w:pPr>
    </w:p>
    <w:p>
      <w:pPr>
        <w:spacing w:line="56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2024年四星高中定向分配指标一览表</w:t>
      </w:r>
    </w:p>
    <w:tbl>
      <w:tblPr>
        <w:tblStyle w:val="3"/>
        <w:tblW w:w="8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125"/>
        <w:gridCol w:w="1910"/>
        <w:gridCol w:w="1188"/>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518" w:type="dxa"/>
            <w:vAlign w:val="center"/>
          </w:tcPr>
          <w:p>
            <w:pPr>
              <w:widowControl/>
              <w:spacing w:line="360" w:lineRule="exact"/>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学校</w:t>
            </w:r>
          </w:p>
        </w:tc>
        <w:tc>
          <w:tcPr>
            <w:tcW w:w="1125" w:type="dxa"/>
            <w:vAlign w:val="center"/>
          </w:tcPr>
          <w:p>
            <w:pPr>
              <w:spacing w:line="360" w:lineRule="exact"/>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省太高指标生</w:t>
            </w:r>
          </w:p>
        </w:tc>
        <w:tc>
          <w:tcPr>
            <w:tcW w:w="1910" w:type="dxa"/>
            <w:vAlign w:val="center"/>
          </w:tcPr>
          <w:p>
            <w:pPr>
              <w:widowControl/>
              <w:spacing w:line="360" w:lineRule="exact"/>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省太高娄江新城校指标生</w:t>
            </w:r>
          </w:p>
        </w:tc>
        <w:tc>
          <w:tcPr>
            <w:tcW w:w="1188" w:type="dxa"/>
            <w:vAlign w:val="center"/>
          </w:tcPr>
          <w:p>
            <w:pPr>
              <w:widowControl/>
              <w:spacing w:line="360" w:lineRule="exact"/>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省沙高</w:t>
            </w:r>
          </w:p>
          <w:p>
            <w:pPr>
              <w:widowControl/>
              <w:spacing w:line="360" w:lineRule="exact"/>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指标生</w:t>
            </w:r>
          </w:p>
        </w:tc>
        <w:tc>
          <w:tcPr>
            <w:tcW w:w="1381" w:type="dxa"/>
            <w:vAlign w:val="center"/>
          </w:tcPr>
          <w:p>
            <w:pPr>
              <w:widowControl/>
              <w:spacing w:line="360" w:lineRule="exact"/>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明德高中指标生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bookmarkStart w:id="0" w:name="OLE_LINK3" w:colFirst="1" w:colLast="5"/>
            <w:r>
              <w:rPr>
                <w:rFonts w:hint="default" w:ascii="Times New Roman" w:hAnsi="Times New Roman" w:eastAsia="仿宋_GB2312" w:cs="Times New Roman"/>
                <w:color w:val="auto"/>
                <w:kern w:val="0"/>
                <w:sz w:val="28"/>
                <w:szCs w:val="28"/>
              </w:rPr>
              <w:t>太仓荣文学校</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16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16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14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太仓金浪中学</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10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10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9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太仓沙溪一中</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37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37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33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太仓岳王学校</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9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8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7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太仓浮桥中学</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30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30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27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太仓浏家港中学</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19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19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17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太仓明德初中</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37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37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33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太仓陆渡中学</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23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23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20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太仓市一中</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59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61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54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太仓市二中</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39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39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35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太仓良辅中学</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26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26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23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太仓双凤中学</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23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23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20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太仓实验中学</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46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48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42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沙溪实验中学</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29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29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26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太仓高新区中学</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38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38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34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华顿外国语学校</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西浦附属实验学校</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18" w:type="dxa"/>
          </w:tcPr>
          <w:p>
            <w:pPr>
              <w:widowControl/>
              <w:spacing w:line="36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合计</w:t>
            </w:r>
          </w:p>
        </w:tc>
        <w:tc>
          <w:tcPr>
            <w:tcW w:w="1125"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448 </w:t>
            </w:r>
          </w:p>
        </w:tc>
        <w:tc>
          <w:tcPr>
            <w:tcW w:w="1910"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450</w:t>
            </w:r>
          </w:p>
        </w:tc>
        <w:tc>
          <w:tcPr>
            <w:tcW w:w="1188"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400 </w:t>
            </w:r>
          </w:p>
        </w:tc>
        <w:tc>
          <w:tcPr>
            <w:tcW w:w="1381" w:type="dxa"/>
            <w:vAlign w:val="center"/>
          </w:tcPr>
          <w:p>
            <w:pPr>
              <w:spacing w:line="36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450</w:t>
            </w:r>
          </w:p>
        </w:tc>
      </w:tr>
      <w:bookmarkEnd w:id="0"/>
    </w:tbl>
    <w:p>
      <w:pPr>
        <w:spacing w:line="240" w:lineRule="exact"/>
        <w:rPr>
          <w:rFonts w:hint="default" w:ascii="Times New Roman" w:hAnsi="Times New Roman" w:cs="Times New Roman"/>
          <w:color w:val="auto"/>
          <w:szCs w:val="21"/>
        </w:rPr>
      </w:pPr>
    </w:p>
    <w:p>
      <w:pPr>
        <w:spacing w:line="240" w:lineRule="exact"/>
        <w:rPr>
          <w:rFonts w:hint="default" w:ascii="Times New Roman" w:hAnsi="Times New Roman" w:cs="Times New Roman"/>
          <w:color w:val="auto"/>
          <w:sz w:val="28"/>
          <w:szCs w:val="28"/>
        </w:rPr>
      </w:pPr>
      <w:r>
        <w:rPr>
          <w:rFonts w:hint="default" w:ascii="Times New Roman" w:hAnsi="Times New Roman" w:cs="Times New Roman"/>
          <w:color w:val="auto"/>
          <w:szCs w:val="21"/>
        </w:rPr>
        <w:t>说明：</w:t>
      </w:r>
      <w:r>
        <w:rPr>
          <w:rFonts w:hint="default" w:ascii="Times New Roman" w:hAnsi="Times New Roman" w:cs="Times New Roman"/>
          <w:color w:val="auto"/>
          <w:szCs w:val="21"/>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p>
    <w:p>
      <w:pPr>
        <w:spacing w:line="30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1.中考报名人数不含转入学生等。</w:t>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r>
        <w:rPr>
          <w:rFonts w:hint="default" w:ascii="Times New Roman" w:hAnsi="Times New Roman" w:cs="Times New Roman"/>
          <w:color w:val="auto"/>
          <w:szCs w:val="21"/>
        </w:rPr>
        <w:tab/>
      </w:r>
    </w:p>
    <w:p>
      <w:pPr>
        <w:spacing w:line="30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2.省太高、省太高娄江新城校、省沙高、明德高中指标数计算办法如下：</w:t>
      </w:r>
    </w:p>
    <w:p>
      <w:pPr>
        <w:spacing w:line="30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各初中校中考报名数÷全市中考报名总数×定向分配总数＝实际计算数，四舍五入后得基础性指标分配人数。若经计算后各初中校指标分配人数总和与各校指标生分配总数不相等，则按下列方法计算：人数多余则按各初中校实际计算数小数点后两位中已进位数的最小数依次递减，人数不足按各初中校实际计算数小数点后两位中不到进位数的最大数依次递补。</w:t>
      </w:r>
    </w:p>
    <w:p>
      <w:pPr>
        <w:rPr>
          <w:rFonts w:hint="default" w:ascii="Times New Roman" w:hAnsi="Times New Roman" w:cs="Times New Roman"/>
          <w:strike/>
          <w:color w:val="auto"/>
        </w:rPr>
      </w:pPr>
    </w:p>
    <w:sectPr>
      <w:footerReference r:id="rId3" w:type="default"/>
      <w:footerReference r:id="rId4" w:type="even"/>
      <w:pgSz w:w="11907" w:h="16840"/>
      <w:pgMar w:top="2041" w:right="1474" w:bottom="1928" w:left="1474" w:header="851" w:footer="1418" w:gutter="227"/>
      <w:cols w:space="720"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ZWVmOThmZTJlZDFhZWUyYzBkOWQyNTRjYTMyZTEifQ=="/>
  </w:docVars>
  <w:rsids>
    <w:rsidRoot w:val="69B16A5C"/>
    <w:rsid w:val="003C520E"/>
    <w:rsid w:val="00660CE2"/>
    <w:rsid w:val="00C6531E"/>
    <w:rsid w:val="00DD3A5A"/>
    <w:rsid w:val="00F86C1B"/>
    <w:rsid w:val="1DEB7818"/>
    <w:rsid w:val="2B693CCD"/>
    <w:rsid w:val="33A47A61"/>
    <w:rsid w:val="35FF0E6A"/>
    <w:rsid w:val="3CEE0398"/>
    <w:rsid w:val="62061EA0"/>
    <w:rsid w:val="67E5531F"/>
    <w:rsid w:val="69B16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11111</Company>
  <Pages>4</Pages>
  <Words>294</Words>
  <Characters>1680</Characters>
  <Lines>14</Lines>
  <Paragraphs>3</Paragraphs>
  <TotalTime>0</TotalTime>
  <ScaleCrop>false</ScaleCrop>
  <LinksUpToDate>false</LinksUpToDate>
  <CharactersWithSpaces>1971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2024-06-03T01:05:00Z</dcterms:created>
  <dc:creator>萌妈</dc:creator>
  <cp:lastModifiedBy>Administrator</cp:lastModifiedBy>
  <cp:lastPrinted>2024-06-03T08:11:00Z</cp:lastPrinted>
  <dcterms:modified xsi:type="dcterms:W3CDTF">2024-06-03T08:30:22Z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3AA0844254724A348BFEB682616144B3_11</vt:lpwstr>
  </property>
</Properties>
</file>