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85CB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年度教育工作要点》的通知</w:t>
      </w:r>
    </w:p>
    <w:p w14:paraId="2BCC208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rPr>
      </w:pPr>
    </w:p>
    <w:p w14:paraId="12A1309D">
      <w:pPr>
        <w:keepNext w:val="0"/>
        <w:keepLines w:val="0"/>
        <w:pageBreakBefore w:val="0"/>
        <w:widowControl w:val="0"/>
        <w:kinsoku/>
        <w:wordWrap/>
        <w:topLinePunct w:val="0"/>
        <w:bidi w:val="0"/>
        <w:jc w:val="center"/>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太教〔202</w:t>
      </w: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3</w:t>
      </w:r>
      <w:r>
        <w:rPr>
          <w:rFonts w:hint="default" w:ascii="Times New Roman" w:hAnsi="Times New Roman" w:eastAsia="仿宋_GB2312" w:cs="Times New Roman"/>
          <w:sz w:val="32"/>
        </w:rPr>
        <w:t>号</w:t>
      </w:r>
    </w:p>
    <w:p w14:paraId="4CD4440C">
      <w:pPr>
        <w:keepNext w:val="0"/>
        <w:keepLines w:val="0"/>
        <w:pageBreakBefore w:val="0"/>
        <w:widowControl w:val="0"/>
        <w:kinsoku/>
        <w:wordWrap/>
        <w:topLinePunct w:val="0"/>
        <w:bidi w:val="0"/>
        <w:spacing w:line="300" w:lineRule="exact"/>
        <w:textAlignment w:val="auto"/>
        <w:rPr>
          <w:rFonts w:hint="default" w:ascii="Times New Roman" w:hAnsi="Times New Roman" w:cs="Times New Roman"/>
        </w:rPr>
      </w:pPr>
    </w:p>
    <w:p w14:paraId="204A103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各镇</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区、街道</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政府</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管委会、办事处</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相关部门，全市各中小学、幼教中心及相关单位:</w:t>
      </w:r>
    </w:p>
    <w:p w14:paraId="6260A204">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kern w:val="0"/>
          <w:sz w:val="32"/>
          <w:szCs w:val="32"/>
          <w:lang w:val="en-US" w:eastAsia="zh-CN" w:bidi="ar-SA"/>
        </w:rPr>
        <w:t>现将《2025年度教育工作要点》发给你们，请按市教育局提出的工作思路和目标任务，结合本地、本校实际情况及早研究部署2025年镇（区）和</w:t>
      </w:r>
      <w:r>
        <w:rPr>
          <w:rFonts w:hint="default" w:ascii="Times New Roman" w:hAnsi="Times New Roman" w:eastAsia="仿宋_GB2312" w:cs="Times New Roman"/>
          <w:spacing w:val="-6"/>
          <w:sz w:val="32"/>
          <w:szCs w:val="32"/>
        </w:rPr>
        <w:t>学校的教育工作。</w:t>
      </w:r>
    </w:p>
    <w:p w14:paraId="00309FCA">
      <w:pPr>
        <w:pStyle w:val="2"/>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 xml:space="preserve">           </w:t>
      </w:r>
    </w:p>
    <w:p w14:paraId="047BBF6E">
      <w:pPr>
        <w:keepNext w:val="0"/>
        <w:keepLines w:val="0"/>
        <w:pageBreakBefore w:val="0"/>
        <w:widowControl w:val="0"/>
        <w:kinsoku/>
        <w:wordWrap/>
        <w:overflowPunct/>
        <w:topLinePunct w:val="0"/>
        <w:autoSpaceDE/>
        <w:autoSpaceDN/>
        <w:bidi w:val="0"/>
        <w:adjustRightInd/>
        <w:snapToGrid/>
        <w:spacing w:line="560" w:lineRule="exact"/>
        <w:ind w:left="6065" w:leftChars="2888" w:firstLine="0" w:firstLineChars="0"/>
        <w:jc w:val="both"/>
        <w:textAlignment w:val="auto"/>
        <w:rPr>
          <w:rFonts w:hint="default" w:ascii="Times New Roman" w:hAnsi="Times New Roman" w:eastAsia="仿宋_GB2312" w:cs="Times New Roman"/>
          <w:spacing w:val="-6"/>
          <w:sz w:val="32"/>
          <w:szCs w:val="32"/>
          <w:lang w:val="en-US" w:eastAsia="zh-CN"/>
        </w:rPr>
      </w:pPr>
    </w:p>
    <w:p w14:paraId="78511034">
      <w:pPr>
        <w:keepNext w:val="0"/>
        <w:keepLines w:val="0"/>
        <w:pageBreakBefore w:val="0"/>
        <w:widowControl w:val="0"/>
        <w:kinsoku/>
        <w:wordWrap/>
        <w:overflowPunct/>
        <w:topLinePunct w:val="0"/>
        <w:autoSpaceDE/>
        <w:autoSpaceDN/>
        <w:bidi w:val="0"/>
        <w:adjustRightInd/>
        <w:snapToGrid/>
        <w:spacing w:line="560" w:lineRule="exact"/>
        <w:ind w:left="6065" w:leftChars="2888" w:firstLine="0" w:firstLineChars="0"/>
        <w:jc w:val="both"/>
        <w:textAlignment w:val="auto"/>
        <w:rPr>
          <w:rFonts w:hint="default" w:ascii="Times New Roman" w:hAnsi="Times New Roman" w:eastAsia="仿宋_GB2312" w:cs="Times New Roman"/>
          <w:spacing w:val="-6"/>
          <w:sz w:val="32"/>
          <w:szCs w:val="32"/>
          <w:lang w:val="en-US" w:eastAsia="zh-CN"/>
        </w:rPr>
      </w:pPr>
    </w:p>
    <w:p w14:paraId="3C385D3A">
      <w:pPr>
        <w:keepNext w:val="0"/>
        <w:keepLines w:val="0"/>
        <w:pageBreakBefore w:val="0"/>
        <w:widowControl w:val="0"/>
        <w:kinsoku/>
        <w:wordWrap/>
        <w:overflowPunct/>
        <w:topLinePunct w:val="0"/>
        <w:autoSpaceDE/>
        <w:autoSpaceDN/>
        <w:bidi w:val="0"/>
        <w:adjustRightInd/>
        <w:snapToGrid/>
        <w:spacing w:line="560" w:lineRule="exact"/>
        <w:ind w:left="6065" w:leftChars="2888" w:firstLine="0" w:firstLineChars="0"/>
        <w:jc w:val="both"/>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spacing w:val="-6"/>
          <w:sz w:val="32"/>
          <w:szCs w:val="32"/>
          <w:lang w:val="en-US" w:eastAsia="zh-CN"/>
        </w:rPr>
        <w:t xml:space="preserve">                                    </w:t>
      </w:r>
      <w:r>
        <w:rPr>
          <w:rFonts w:hint="default" w:ascii="Times New Roman" w:hAnsi="Times New Roman" w:eastAsia="仿宋_GB2312" w:cs="Times New Roman"/>
          <w:color w:val="auto"/>
          <w:spacing w:val="-6"/>
          <w:sz w:val="32"/>
          <w:szCs w:val="32"/>
          <w:lang w:val="en-US" w:eastAsia="zh-CN"/>
        </w:rPr>
        <w:t xml:space="preserve">  太仓市教育局</w:t>
      </w:r>
    </w:p>
    <w:p w14:paraId="075B104C">
      <w:pPr>
        <w:keepNext w:val="0"/>
        <w:keepLines w:val="0"/>
        <w:pageBreakBefore w:val="0"/>
        <w:widowControl w:val="0"/>
        <w:kinsoku/>
        <w:wordWrap/>
        <w:overflowPunct/>
        <w:topLinePunct w:val="0"/>
        <w:autoSpaceDE/>
        <w:autoSpaceDN/>
        <w:bidi w:val="0"/>
        <w:adjustRightInd/>
        <w:snapToGrid/>
        <w:spacing w:line="560" w:lineRule="exact"/>
        <w:ind w:firstLine="5852" w:firstLineChars="1900"/>
        <w:jc w:val="both"/>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val="en-US" w:eastAsia="zh-CN"/>
        </w:rPr>
        <w:t>2025年2月7日</w:t>
      </w:r>
    </w:p>
    <w:p w14:paraId="0B311618">
      <w:pPr>
        <w:keepNext w:val="0"/>
        <w:keepLines w:val="0"/>
        <w:pageBreakBefore w:val="0"/>
        <w:widowControl w:val="0"/>
        <w:kinsoku/>
        <w:wordWrap/>
        <w:overflowPunct/>
        <w:topLinePunct w:val="0"/>
        <w:bidi w:val="0"/>
        <w:adjustRightInd/>
        <w:snapToGrid/>
        <w:spacing w:line="560" w:lineRule="exact"/>
        <w:ind w:left="0" w:leftChars="0" w:right="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（此件</w:t>
      </w:r>
      <w:r>
        <w:rPr>
          <w:rFonts w:hint="default" w:ascii="Times New Roman" w:hAnsi="Times New Roman" w:eastAsia="仿宋_GB2312" w:cs="Times New Roman"/>
          <w:spacing w:val="-6"/>
          <w:sz w:val="32"/>
          <w:szCs w:val="32"/>
          <w:lang w:eastAsia="zh-CN"/>
        </w:rPr>
        <w:t>公开发布</w:t>
      </w:r>
      <w:r>
        <w:rPr>
          <w:rFonts w:hint="default" w:ascii="Times New Roman" w:hAnsi="Times New Roman" w:eastAsia="仿宋_GB2312" w:cs="Times New Roman"/>
          <w:spacing w:val="-6"/>
          <w:sz w:val="32"/>
          <w:szCs w:val="32"/>
        </w:rPr>
        <w:t>）</w:t>
      </w:r>
    </w:p>
    <w:p w14:paraId="0486565F">
      <w:pPr>
        <w:keepNext w:val="0"/>
        <w:keepLines w:val="0"/>
        <w:pageBreakBefore w:val="0"/>
        <w:widowControl w:val="0"/>
        <w:kinsoku/>
        <w:wordWrap/>
        <w:overflowPunct/>
        <w:topLinePunct w:val="0"/>
        <w:bidi w:val="0"/>
        <w:adjustRightInd/>
        <w:snapToGrid/>
        <w:spacing w:line="560" w:lineRule="exact"/>
        <w:ind w:left="0" w:leftChars="0" w:right="0" w:firstLine="616" w:firstLineChars="200"/>
        <w:textAlignment w:val="auto"/>
        <w:rPr>
          <w:rFonts w:hint="default" w:ascii="Times New Roman" w:hAnsi="Times New Roman" w:eastAsia="仿宋_GB2312" w:cs="Times New Roman"/>
          <w:spacing w:val="-6"/>
          <w:sz w:val="32"/>
          <w:szCs w:val="32"/>
        </w:rPr>
      </w:pPr>
    </w:p>
    <w:p w14:paraId="3E995804">
      <w:pPr>
        <w:pStyle w:val="2"/>
        <w:rPr>
          <w:rFonts w:hint="default" w:ascii="Times New Roman" w:hAnsi="Times New Roman" w:eastAsia="仿宋_GB2312" w:cs="Times New Roman"/>
          <w:spacing w:val="-6"/>
          <w:sz w:val="32"/>
          <w:szCs w:val="32"/>
        </w:rPr>
      </w:pPr>
    </w:p>
    <w:p w14:paraId="211F6EF4">
      <w:pPr>
        <w:rPr>
          <w:rFonts w:hint="default" w:ascii="Times New Roman" w:hAnsi="Times New Roman" w:eastAsia="仿宋_GB2312" w:cs="Times New Roman"/>
          <w:spacing w:val="-6"/>
          <w:sz w:val="32"/>
          <w:szCs w:val="32"/>
        </w:rPr>
      </w:pPr>
    </w:p>
    <w:p w14:paraId="44C506B4">
      <w:pPr>
        <w:pStyle w:val="2"/>
        <w:rPr>
          <w:rFonts w:hint="default" w:ascii="Times New Roman" w:hAnsi="Times New Roman" w:eastAsia="仿宋_GB2312" w:cs="Times New Roman"/>
          <w:spacing w:val="-6"/>
          <w:sz w:val="32"/>
          <w:szCs w:val="32"/>
        </w:rPr>
      </w:pPr>
    </w:p>
    <w:p w14:paraId="7BF396A9">
      <w:pPr>
        <w:rPr>
          <w:rFonts w:hint="default"/>
        </w:rPr>
      </w:pPr>
      <w:bookmarkStart w:id="0" w:name="_GoBack"/>
      <w:bookmarkEnd w:id="0"/>
    </w:p>
    <w:p w14:paraId="2586589D">
      <w:pPr>
        <w:pStyle w:val="2"/>
        <w:keepNext w:val="0"/>
        <w:keepLines w:val="0"/>
        <w:pageBreakBefore w:val="0"/>
        <w:widowControl w:val="0"/>
        <w:kinsoku/>
        <w:wordWrap/>
        <w:topLinePunct w:val="0"/>
        <w:bidi w:val="0"/>
        <w:textAlignment w:val="auto"/>
        <w:rPr>
          <w:rFonts w:hint="default" w:ascii="Times New Roman" w:hAnsi="Times New Roman" w:cs="Times New Roman"/>
        </w:rPr>
      </w:pPr>
    </w:p>
    <w:p w14:paraId="62F281F5">
      <w:pPr>
        <w:keepNext w:val="0"/>
        <w:keepLines w:val="0"/>
        <w:pageBreakBefore w:val="0"/>
        <w:widowControl w:val="0"/>
        <w:kinsoku/>
        <w:wordWrap/>
        <w:topLinePunct w:val="0"/>
        <w:bidi w:val="0"/>
        <w:spacing w:line="20" w:lineRule="exact"/>
        <w:textAlignment w:val="auto"/>
        <w:rPr>
          <w:rFonts w:hint="default" w:ascii="Times New Roman" w:hAnsi="Times New Roman" w:cs="Times New Roman"/>
          <w:color w:val="auto"/>
        </w:rPr>
      </w:pPr>
    </w:p>
    <w:tbl>
      <w:tblPr>
        <w:tblStyle w:val="11"/>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0EEA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0" w:type="dxa"/>
            <w:tcBorders>
              <w:top w:val="single" w:color="auto" w:sz="12" w:space="0"/>
              <w:left w:val="nil"/>
              <w:right w:val="nil"/>
            </w:tcBorders>
            <w:noWrap w:val="0"/>
            <w:vAlign w:val="top"/>
          </w:tcPr>
          <w:p w14:paraId="64B5891C">
            <w:pPr>
              <w:keepNext w:val="0"/>
              <w:keepLines w:val="0"/>
              <w:pageBreakBefore w:val="0"/>
              <w:widowControl w:val="0"/>
              <w:kinsoku/>
              <w:wordWrap/>
              <w:topLinePunct w:val="0"/>
              <w:bidi w:val="0"/>
              <w:spacing w:line="360" w:lineRule="exact"/>
              <w:ind w:left="551" w:hanging="551" w:hangingChars="196"/>
              <w:textAlignment w:val="auto"/>
              <w:rPr>
                <w:rFonts w:hint="default" w:ascii="Times New Roman" w:hAnsi="Times New Roman" w:eastAsia="仿宋_GB2312" w:cs="Times New Roman"/>
                <w:snapToGrid w:val="0"/>
                <w:color w:val="auto"/>
                <w:kern w:val="0"/>
                <w:sz w:val="28"/>
                <w:szCs w:val="28"/>
              </w:rPr>
            </w:pPr>
            <w:r>
              <w:rPr>
                <w:rFonts w:hint="default" w:ascii="Times New Roman" w:hAnsi="Times New Roman" w:eastAsia="仿宋_GB2312" w:cs="Times New Roman"/>
                <w:b/>
                <w:color w:val="auto"/>
                <w:sz w:val="28"/>
                <w:szCs w:val="28"/>
              </w:rPr>
              <w:t>抄：</w:t>
            </w:r>
            <w:r>
              <w:rPr>
                <w:rFonts w:hint="default" w:ascii="Times New Roman" w:hAnsi="Times New Roman" w:eastAsia="仿宋_GB2312" w:cs="Times New Roman"/>
                <w:color w:val="auto"/>
                <w:sz w:val="28"/>
                <w:szCs w:val="28"/>
              </w:rPr>
              <w:t>苏州市教育局办公室，市委办公室、市人大办公室、市政府办公室、市政协秘书处</w:t>
            </w:r>
          </w:p>
        </w:tc>
      </w:tr>
      <w:tr w14:paraId="53EF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0" w:type="dxa"/>
            <w:tcBorders>
              <w:left w:val="nil"/>
              <w:bottom w:val="single" w:color="auto" w:sz="12" w:space="0"/>
              <w:right w:val="nil"/>
            </w:tcBorders>
            <w:noWrap w:val="0"/>
            <w:vAlign w:val="top"/>
          </w:tcPr>
          <w:p w14:paraId="4940B217">
            <w:pPr>
              <w:pStyle w:val="15"/>
              <w:keepNext w:val="0"/>
              <w:keepLines w:val="0"/>
              <w:pageBreakBefore w:val="0"/>
              <w:widowControl w:val="0"/>
              <w:kinsoku/>
              <w:wordWrap/>
              <w:overflowPunct w:val="0"/>
              <w:topLinePunct w:val="0"/>
              <w:bidi w:val="0"/>
              <w:snapToGrid w:val="0"/>
              <w:spacing w:line="360" w:lineRule="exact"/>
              <w:textAlignment w:val="auto"/>
              <w:rPr>
                <w:rFonts w:hint="default" w:ascii="Times New Roman" w:hAnsi="Times New Roman" w:eastAsia="仿宋_GB2312" w:cs="Times New Roman"/>
                <w:b w:val="0"/>
                <w:color w:val="auto"/>
                <w:sz w:val="28"/>
                <w:szCs w:val="28"/>
              </w:rPr>
            </w:pPr>
            <w:r>
              <w:rPr>
                <w:rFonts w:hint="default" w:ascii="Times New Roman" w:hAnsi="Times New Roman" w:eastAsia="仿宋_GB2312" w:cs="Times New Roman"/>
                <w:b w:val="0"/>
                <w:color w:val="auto"/>
                <w:sz w:val="28"/>
                <w:szCs w:val="28"/>
              </w:rPr>
              <w:t>太仓市教育局</w:t>
            </w:r>
            <w:r>
              <w:rPr>
                <w:rFonts w:hint="default" w:ascii="Times New Roman" w:hAnsi="Times New Roman" w:eastAsia="仿宋_GB2312" w:cs="Times New Roman"/>
                <w:b w:val="0"/>
                <w:color w:val="auto"/>
                <w:sz w:val="28"/>
                <w:szCs w:val="28"/>
                <w:lang w:eastAsia="zh-CN"/>
              </w:rPr>
              <w:t>党政</w:t>
            </w:r>
            <w:r>
              <w:rPr>
                <w:rFonts w:hint="default" w:ascii="Times New Roman" w:hAnsi="Times New Roman" w:eastAsia="仿宋_GB2312" w:cs="Times New Roman"/>
                <w:b w:val="0"/>
                <w:color w:val="auto"/>
                <w:sz w:val="28"/>
                <w:szCs w:val="28"/>
              </w:rPr>
              <w:t xml:space="preserve">办公室                      </w:t>
            </w:r>
            <w:r>
              <w:rPr>
                <w:rFonts w:hint="default" w:ascii="Times New Roman" w:hAnsi="Times New Roman" w:eastAsia="仿宋_GB2312" w:cs="Times New Roman"/>
                <w:b w:val="0"/>
                <w:color w:val="auto"/>
                <w:sz w:val="28"/>
                <w:szCs w:val="28"/>
                <w:lang w:val="en-US" w:eastAsia="zh-CN"/>
              </w:rPr>
              <w:t xml:space="preserve"> </w:t>
            </w:r>
            <w:r>
              <w:rPr>
                <w:rFonts w:hint="default" w:ascii="Times New Roman" w:hAnsi="Times New Roman" w:eastAsia="仿宋_GB2312" w:cs="Times New Roman"/>
                <w:b w:val="0"/>
                <w:color w:val="auto"/>
                <w:sz w:val="28"/>
                <w:szCs w:val="28"/>
              </w:rPr>
              <w:t xml:space="preserve"> 20</w:t>
            </w:r>
            <w:r>
              <w:rPr>
                <w:rFonts w:hint="default" w:ascii="Times New Roman" w:hAnsi="Times New Roman" w:eastAsia="仿宋_GB2312" w:cs="Times New Roman"/>
                <w:b w:val="0"/>
                <w:color w:val="auto"/>
                <w:sz w:val="28"/>
                <w:szCs w:val="28"/>
                <w:lang w:val="en-US" w:eastAsia="zh-CN"/>
              </w:rPr>
              <w:t>25</w:t>
            </w:r>
            <w:r>
              <w:rPr>
                <w:rFonts w:hint="default" w:ascii="Times New Roman" w:hAnsi="Times New Roman" w:eastAsia="仿宋_GB2312" w:cs="Times New Roman"/>
                <w:b w:val="0"/>
                <w:color w:val="auto"/>
                <w:sz w:val="28"/>
                <w:szCs w:val="28"/>
              </w:rPr>
              <w:t>年</w:t>
            </w:r>
            <w:r>
              <w:rPr>
                <w:rFonts w:hint="default" w:ascii="Times New Roman" w:hAnsi="Times New Roman" w:eastAsia="仿宋_GB2312" w:cs="Times New Roman"/>
                <w:b w:val="0"/>
                <w:color w:val="auto"/>
                <w:sz w:val="28"/>
                <w:szCs w:val="28"/>
                <w:lang w:val="en-US" w:eastAsia="zh-CN"/>
              </w:rPr>
              <w:t>2</w:t>
            </w:r>
            <w:r>
              <w:rPr>
                <w:rFonts w:hint="default" w:ascii="Times New Roman" w:hAnsi="Times New Roman" w:eastAsia="仿宋_GB2312" w:cs="Times New Roman"/>
                <w:b w:val="0"/>
                <w:color w:val="auto"/>
                <w:sz w:val="28"/>
                <w:szCs w:val="28"/>
              </w:rPr>
              <w:t>月</w:t>
            </w:r>
            <w:r>
              <w:rPr>
                <w:rFonts w:hint="default" w:ascii="Times New Roman" w:hAnsi="Times New Roman" w:eastAsia="仿宋_GB2312" w:cs="Times New Roman"/>
                <w:b w:val="0"/>
                <w:color w:val="auto"/>
                <w:sz w:val="28"/>
                <w:szCs w:val="28"/>
                <w:lang w:val="en-US" w:eastAsia="zh-CN"/>
              </w:rPr>
              <w:t>7</w:t>
            </w:r>
            <w:r>
              <w:rPr>
                <w:rFonts w:hint="default" w:ascii="Times New Roman" w:hAnsi="Times New Roman" w:eastAsia="仿宋_GB2312" w:cs="Times New Roman"/>
                <w:b w:val="0"/>
                <w:color w:val="auto"/>
                <w:sz w:val="28"/>
                <w:szCs w:val="28"/>
              </w:rPr>
              <w:t>日印发</w:t>
            </w:r>
          </w:p>
        </w:tc>
      </w:tr>
    </w:tbl>
    <w:p w14:paraId="55C5BABE">
      <w:pPr>
        <w:keepNext w:val="0"/>
        <w:keepLines w:val="0"/>
        <w:pageBreakBefore w:val="0"/>
        <w:widowControl w:val="0"/>
        <w:kinsoku/>
        <w:wordWrap/>
        <w:topLinePunct w:val="0"/>
        <w:bidi w:val="0"/>
        <w:spacing w:line="580" w:lineRule="exact"/>
        <w:jc w:val="center"/>
        <w:textAlignment w:val="auto"/>
        <w:rPr>
          <w:rFonts w:hint="default" w:ascii="Times New Roman" w:hAnsi="Times New Roman" w:eastAsia="方正小标宋简体" w:cs="Times New Roman"/>
          <w:spacing w:val="0"/>
          <w:sz w:val="44"/>
          <w:szCs w:val="44"/>
        </w:rPr>
        <w:sectPr>
          <w:pgSz w:w="11906" w:h="16838"/>
          <w:pgMar w:top="2041" w:right="1474" w:bottom="1928" w:left="1474" w:header="851" w:footer="992" w:gutter="0"/>
          <w:pgNumType w:fmt="decimal" w:start="1"/>
          <w:cols w:space="425" w:num="1"/>
          <w:docGrid w:type="lines" w:linePitch="312" w:charSpace="0"/>
        </w:sectPr>
      </w:pPr>
    </w:p>
    <w:p w14:paraId="52C4FB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36"/>
          <w:szCs w:val="36"/>
        </w:rPr>
      </w:pPr>
      <w:r>
        <w:rPr>
          <w:rFonts w:hint="default" w:ascii="Times New Roman" w:hAnsi="Times New Roman" w:eastAsia="方正小标宋简体" w:cs="Times New Roman"/>
          <w:spacing w:val="0"/>
          <w:sz w:val="36"/>
          <w:szCs w:val="36"/>
        </w:rPr>
        <w:t>20</w:t>
      </w:r>
      <w:r>
        <w:rPr>
          <w:rFonts w:hint="default" w:ascii="Times New Roman" w:hAnsi="Times New Roman" w:eastAsia="方正小标宋简体" w:cs="Times New Roman"/>
          <w:spacing w:val="0"/>
          <w:sz w:val="36"/>
          <w:szCs w:val="36"/>
          <w:lang w:val="en-US" w:eastAsia="zh-CN"/>
        </w:rPr>
        <w:t>25</w:t>
      </w:r>
      <w:r>
        <w:rPr>
          <w:rFonts w:hint="default" w:ascii="Times New Roman" w:hAnsi="Times New Roman" w:eastAsia="方正小标宋简体" w:cs="Times New Roman"/>
          <w:spacing w:val="0"/>
          <w:sz w:val="36"/>
          <w:szCs w:val="36"/>
        </w:rPr>
        <w:t>年度教育工作要点</w:t>
      </w:r>
    </w:p>
    <w:p w14:paraId="7F9DFA18">
      <w:pPr>
        <w:pStyle w:val="2"/>
        <w:keepNext w:val="0"/>
        <w:keepLines w:val="0"/>
        <w:pageBreakBefore w:val="0"/>
        <w:widowControl w:val="0"/>
        <w:kinsoku/>
        <w:wordWrap/>
        <w:topLinePunct w:val="0"/>
        <w:bidi w:val="0"/>
        <w:spacing w:line="560" w:lineRule="exact"/>
        <w:textAlignment w:val="auto"/>
        <w:rPr>
          <w:rFonts w:hint="default" w:ascii="Times New Roman" w:hAnsi="Times New Roman" w:cs="Times New Roman"/>
          <w:spacing w:val="-6"/>
          <w:sz w:val="32"/>
          <w:szCs w:val="32"/>
        </w:rPr>
      </w:pPr>
    </w:p>
    <w:p w14:paraId="1AF48875">
      <w:pPr>
        <w:pStyle w:val="2"/>
        <w:keepNext w:val="0"/>
        <w:keepLines w:val="0"/>
        <w:pageBreakBefore w:val="0"/>
        <w:widowControl w:val="0"/>
        <w:kinsoku/>
        <w:wordWrap/>
        <w:overflowPunct/>
        <w:topLinePunct w:val="0"/>
        <w:autoSpaceDE w:val="0"/>
        <w:autoSpaceDN w:val="0"/>
        <w:bidi w:val="0"/>
        <w:adjustRightInd/>
        <w:snapToGrid/>
        <w:spacing w:line="560" w:lineRule="exact"/>
        <w:ind w:firstLine="616" w:firstLineChars="200"/>
        <w:textAlignment w:val="auto"/>
        <w:rPr>
          <w:rFonts w:hint="default" w:ascii="Times New Roman" w:hAnsi="Times New Roman" w:eastAsia="仿宋_GB2312" w:cs="Times New Roman"/>
          <w:spacing w:val="-6"/>
          <w:kern w:val="2"/>
          <w:sz w:val="32"/>
          <w:szCs w:val="32"/>
          <w:lang w:val="en-US" w:eastAsia="zh-CN" w:bidi="ar-SA"/>
        </w:rPr>
      </w:pPr>
      <w:r>
        <w:rPr>
          <w:rFonts w:hint="default" w:ascii="Times New Roman" w:hAnsi="Times New Roman" w:eastAsia="仿宋_GB2312" w:cs="Times New Roman"/>
          <w:spacing w:val="-6"/>
          <w:kern w:val="2"/>
          <w:sz w:val="32"/>
          <w:szCs w:val="32"/>
          <w:lang w:val="en-US" w:eastAsia="zh-CN" w:bidi="ar-SA"/>
        </w:rPr>
        <w:t>2025年是实施“十四五”规划的收官之年，也是启动“十五五”规划的重要之年。全市教育工作的总体思路是：坚持以习近平新时代中国特色社会主义思想为指导，深入贯彻落实《教育强国建设规划纲要（2024~2035年）》，全面落实立德树人根本任务，坚持教育优先发展战略，深化教育领域综合改革，全面提升教育质量和水平，努力办好人民满意的教育，为推进中国式现代化太仓新实践提供人才支撑。</w:t>
      </w:r>
    </w:p>
    <w:p w14:paraId="5A3B41B0">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黑体" w:cs="Times New Roman"/>
          <w:spacing w:val="-6"/>
          <w:sz w:val="32"/>
          <w:szCs w:val="32"/>
          <w:lang w:val="en-US" w:eastAsia="zh-CN"/>
        </w:rPr>
      </w:pPr>
      <w:r>
        <w:rPr>
          <w:rFonts w:hint="default" w:ascii="Times New Roman" w:hAnsi="Times New Roman" w:eastAsia="黑体" w:cs="Times New Roman"/>
          <w:spacing w:val="-6"/>
          <w:sz w:val="32"/>
          <w:szCs w:val="32"/>
          <w:lang w:val="en-US" w:eastAsia="zh-CN"/>
        </w:rPr>
        <w:t>一、坚持铸魂育人，加强党对教育工作的全面领导</w:t>
      </w:r>
    </w:p>
    <w:p w14:paraId="3A5DA0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楷体_GB2312" w:cs="Times New Roman"/>
          <w:b w:val="0"/>
          <w:bCs w:val="0"/>
          <w:spacing w:val="-6"/>
          <w:sz w:val="32"/>
          <w:szCs w:val="32"/>
          <w:lang w:val="en-US" w:eastAsia="zh-CN"/>
        </w:rPr>
      </w:pPr>
      <w:r>
        <w:rPr>
          <w:rFonts w:hint="default" w:ascii="Times New Roman" w:hAnsi="Times New Roman" w:eastAsia="楷体_GB2312" w:cs="Times New Roman"/>
          <w:b w:val="0"/>
          <w:bCs w:val="0"/>
          <w:spacing w:val="-6"/>
          <w:sz w:val="32"/>
          <w:szCs w:val="32"/>
          <w:lang w:val="en-US" w:eastAsia="zh-CN"/>
        </w:rPr>
        <w:t>（一）强化政治引领把握方向。</w:t>
      </w:r>
      <w:r>
        <w:rPr>
          <w:rFonts w:hint="default" w:ascii="Times New Roman" w:hAnsi="Times New Roman" w:eastAsia="仿宋_GB2312" w:cs="Times New Roman"/>
          <w:spacing w:val="-6"/>
          <w:sz w:val="32"/>
          <w:szCs w:val="32"/>
          <w:lang w:val="en-US" w:eastAsia="zh-CN"/>
        </w:rPr>
        <w:t>坚持和加强党对教育事业的全面领导，全面贯彻党的教育方针，增强推进党的政治建设的自觉性和坚定性，</w:t>
      </w:r>
      <w:r>
        <w:rPr>
          <w:rFonts w:hint="default" w:ascii="Times New Roman" w:hAnsi="Times New Roman" w:eastAsia="仿宋_GB2312" w:cs="Times New Roman"/>
          <w:color w:val="auto"/>
          <w:spacing w:val="-6"/>
          <w:kern w:val="2"/>
          <w:sz w:val="32"/>
          <w:szCs w:val="32"/>
          <w:lang w:val="en-US" w:eastAsia="zh-CN" w:bidi="ar-SA"/>
        </w:rPr>
        <w:t>主动适应新形势新要求，抢抓战略机遇，</w:t>
      </w:r>
      <w:r>
        <w:rPr>
          <w:rFonts w:hint="default" w:ascii="Times New Roman" w:hAnsi="Times New Roman" w:eastAsia="仿宋_GB2312" w:cs="Times New Roman"/>
          <w:spacing w:val="-6"/>
          <w:sz w:val="32"/>
          <w:szCs w:val="32"/>
          <w:lang w:val="en-US" w:eastAsia="zh-CN"/>
        </w:rPr>
        <w:t>全面提升铸魂育人实效。严格落实“第一议题”制度，强化党员干部思想淬炼。组织开展“做挺膺担当奋斗者，谱教育强市新篇章”主题活动，创新“书记上党课”形式，开展“情景式党课”评选，将党的理论创新成果转化为推动教育高质量发展的工作实效。统筹做好工会、共青团、少先队、妇联和关工委工作，凝聚教育改革发展强大合力。</w:t>
      </w:r>
    </w:p>
    <w:p w14:paraId="194681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楷体_GB2312" w:cs="Times New Roman"/>
          <w:b w:val="0"/>
          <w:bCs w:val="0"/>
          <w:spacing w:val="-6"/>
          <w:sz w:val="32"/>
          <w:szCs w:val="32"/>
          <w:lang w:val="en-US" w:eastAsia="zh-CN"/>
        </w:rPr>
      </w:pPr>
      <w:r>
        <w:rPr>
          <w:rFonts w:hint="default" w:ascii="Times New Roman" w:hAnsi="Times New Roman" w:eastAsia="楷体_GB2312" w:cs="Times New Roman"/>
          <w:b w:val="0"/>
          <w:bCs w:val="0"/>
          <w:spacing w:val="-6"/>
          <w:sz w:val="32"/>
          <w:szCs w:val="32"/>
          <w:lang w:val="en-US" w:eastAsia="zh-CN"/>
        </w:rPr>
        <w:t>（二）筑牢基层组织战斗堡垒。</w:t>
      </w:r>
      <w:r>
        <w:rPr>
          <w:rFonts w:hint="default" w:ascii="Times New Roman" w:hAnsi="Times New Roman" w:eastAsia="仿宋_GB2312" w:cs="Times New Roman"/>
          <w:spacing w:val="-6"/>
          <w:sz w:val="32"/>
          <w:szCs w:val="32"/>
          <w:lang w:val="en-US" w:eastAsia="zh-CN"/>
        </w:rPr>
        <w:t>有效落实中小学校党组织领导的校长负责制。加大年轻干部培养选拔力度，举办副校级领导干部履职能力提升班、</w:t>
      </w:r>
      <w:r>
        <w:rPr>
          <w:rFonts w:hint="default" w:ascii="Times New Roman" w:hAnsi="Times New Roman" w:eastAsia="仿宋_GB2312" w:cs="Times New Roman"/>
          <w:spacing w:val="-6"/>
          <w:kern w:val="2"/>
          <w:sz w:val="32"/>
          <w:szCs w:val="32"/>
          <w:lang w:val="en-US" w:eastAsia="zh-CN" w:bidi="ar-SA"/>
        </w:rPr>
        <w:t>95后干部培训营，开展第三届“太教新青年”评选展示活动，分层分</w:t>
      </w:r>
      <w:r>
        <w:rPr>
          <w:rFonts w:hint="default" w:ascii="Times New Roman" w:hAnsi="Times New Roman" w:eastAsia="仿宋_GB2312" w:cs="Times New Roman"/>
          <w:b w:val="0"/>
          <w:bCs w:val="0"/>
          <w:spacing w:val="-6"/>
          <w:sz w:val="32"/>
          <w:szCs w:val="32"/>
          <w:highlight w:val="none"/>
          <w:lang w:val="en-US" w:eastAsia="zh-CN"/>
        </w:rPr>
        <w:t>类打造人才储备库。</w:t>
      </w:r>
      <w:r>
        <w:rPr>
          <w:rFonts w:hint="default" w:ascii="Times New Roman" w:hAnsi="Times New Roman" w:eastAsia="仿宋_GB2312" w:cs="Times New Roman"/>
          <w:spacing w:val="-6"/>
          <w:sz w:val="32"/>
          <w:szCs w:val="32"/>
          <w:lang w:val="en-US" w:eastAsia="zh-CN"/>
        </w:rPr>
        <w:t>持续提升党务干部履职能力，</w:t>
      </w:r>
      <w:r>
        <w:rPr>
          <w:rFonts w:hint="default" w:ascii="Times New Roman" w:hAnsi="Times New Roman" w:eastAsia="仿宋_GB2312" w:cs="Times New Roman"/>
          <w:color w:val="auto"/>
          <w:spacing w:val="-6"/>
          <w:sz w:val="32"/>
          <w:szCs w:val="32"/>
        </w:rPr>
        <w:t>加强对大数据、人工智能等运用，提升党建工作智能化水平</w:t>
      </w:r>
      <w:r>
        <w:rPr>
          <w:rFonts w:hint="default" w:ascii="Times New Roman" w:hAnsi="Times New Roman" w:eastAsia="仿宋_GB2312" w:cs="Times New Roman"/>
          <w:spacing w:val="-6"/>
          <w:sz w:val="32"/>
          <w:szCs w:val="32"/>
          <w:lang w:val="en-US" w:eastAsia="zh-CN"/>
        </w:rPr>
        <w:t>。继续选树优秀基层党建“书记项目”“海棠花红”先锋阵地，不断夯实基层党组织品牌建设能力。</w:t>
      </w:r>
      <w:r>
        <w:rPr>
          <w:rFonts w:hint="default" w:ascii="Times New Roman" w:hAnsi="Times New Roman" w:eastAsia="仿宋_GB2312" w:cs="Times New Roman"/>
          <w:spacing w:val="-6"/>
          <w:sz w:val="32"/>
          <w:szCs w:val="32"/>
          <w:highlight w:val="none"/>
          <w:lang w:val="en-US" w:eastAsia="zh-CN"/>
        </w:rPr>
        <w:t>因地制宜开展“沉浸式”</w:t>
      </w:r>
      <w:r>
        <w:rPr>
          <w:rFonts w:hint="default" w:ascii="Times New Roman" w:hAnsi="Times New Roman" w:eastAsia="仿宋_GB2312" w:cs="Times New Roman"/>
          <w:spacing w:val="-6"/>
          <w:sz w:val="32"/>
          <w:szCs w:val="32"/>
          <w:lang w:val="en-US" w:eastAsia="zh-CN"/>
        </w:rPr>
        <w:t>主题党日、“三会一课”等活动，不断增强党组织活力。</w:t>
      </w:r>
    </w:p>
    <w:p w14:paraId="183F88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kern w:val="2"/>
          <w:sz w:val="32"/>
          <w:szCs w:val="32"/>
          <w:highlight w:val="none"/>
          <w:lang w:val="en-US" w:eastAsia="zh-CN" w:bidi="ar-SA"/>
        </w:rPr>
      </w:pPr>
      <w:r>
        <w:rPr>
          <w:rFonts w:hint="default" w:ascii="Times New Roman" w:hAnsi="Times New Roman" w:eastAsia="楷体_GB2312" w:cs="Times New Roman"/>
          <w:b w:val="0"/>
          <w:bCs w:val="0"/>
          <w:spacing w:val="-6"/>
          <w:sz w:val="32"/>
          <w:szCs w:val="32"/>
          <w:lang w:val="en-US" w:eastAsia="zh-CN"/>
        </w:rPr>
        <w:t>（三）营造风清气正政治生态。</w:t>
      </w:r>
      <w:r>
        <w:rPr>
          <w:rFonts w:hint="default" w:ascii="Times New Roman" w:hAnsi="Times New Roman" w:eastAsia="仿宋_GB2312" w:cs="Times New Roman"/>
          <w:color w:val="auto"/>
          <w:spacing w:val="-6"/>
          <w:sz w:val="32"/>
          <w:szCs w:val="32"/>
          <w:highlight w:val="none"/>
          <w:lang w:val="en-US" w:eastAsia="zh-CN"/>
        </w:rPr>
        <w:t>深入贯彻习近平总书记关于作风建设永远在路上的重要指示精神，</w:t>
      </w:r>
      <w:r>
        <w:rPr>
          <w:rFonts w:hint="default" w:ascii="Times New Roman" w:hAnsi="Times New Roman" w:eastAsia="仿宋_GB2312" w:cs="Times New Roman"/>
          <w:color w:val="auto"/>
          <w:spacing w:val="-6"/>
          <w:sz w:val="32"/>
          <w:szCs w:val="32"/>
          <w:lang w:eastAsia="zh-CN"/>
        </w:rPr>
        <w:t>开展经常性纪律教育，</w:t>
      </w:r>
      <w:r>
        <w:rPr>
          <w:rFonts w:hint="default" w:ascii="Times New Roman" w:hAnsi="Times New Roman" w:eastAsia="仿宋_GB2312" w:cs="Times New Roman"/>
          <w:color w:val="auto"/>
          <w:spacing w:val="-6"/>
          <w:sz w:val="32"/>
          <w:szCs w:val="32"/>
          <w:highlight w:val="none"/>
          <w:lang w:val="en-US" w:eastAsia="zh-CN"/>
        </w:rPr>
        <w:t>以钉钉子精神强力推进队伍纪律作风建设。强化基层党组织全面从严治党监督，构建纵向到底、横向到边的监督共同体。</w:t>
      </w:r>
      <w:r>
        <w:rPr>
          <w:rFonts w:hint="default" w:ascii="Times New Roman" w:hAnsi="Times New Roman" w:eastAsia="仿宋_GB2312" w:cs="Times New Roman"/>
          <w:color w:val="auto"/>
          <w:spacing w:val="-6"/>
          <w:sz w:val="32"/>
          <w:szCs w:val="32"/>
          <w:lang w:eastAsia="zh-CN"/>
        </w:rPr>
        <w:t>多层次多形式开展警示教育，加大案件通报力度，推动以案促改促治。</w:t>
      </w:r>
      <w:r>
        <w:rPr>
          <w:rFonts w:hint="default" w:ascii="Times New Roman" w:hAnsi="Times New Roman" w:eastAsia="仿宋_GB2312" w:cs="Times New Roman"/>
          <w:color w:val="auto"/>
          <w:spacing w:val="-6"/>
          <w:sz w:val="32"/>
          <w:szCs w:val="32"/>
          <w:highlight w:val="none"/>
          <w:lang w:eastAsia="zh-CN"/>
        </w:rPr>
        <w:t>组织开展“趣味廉动，共倡清风”廉洁文化周活动，丰富廉洁文化宣传教育形式</w:t>
      </w:r>
      <w:r>
        <w:rPr>
          <w:rFonts w:hint="default" w:ascii="Times New Roman" w:hAnsi="Times New Roman" w:eastAsia="仿宋_GB2312" w:cs="Times New Roman"/>
          <w:color w:val="auto"/>
          <w:spacing w:val="-6"/>
          <w:sz w:val="32"/>
          <w:szCs w:val="32"/>
          <w:highlight w:val="none"/>
        </w:rPr>
        <w:t>，营造</w:t>
      </w:r>
      <w:r>
        <w:rPr>
          <w:rFonts w:hint="default" w:ascii="Times New Roman" w:hAnsi="Times New Roman" w:eastAsia="仿宋_GB2312" w:cs="Times New Roman"/>
          <w:color w:val="auto"/>
          <w:spacing w:val="-6"/>
          <w:sz w:val="32"/>
          <w:szCs w:val="32"/>
          <w:highlight w:val="none"/>
          <w:lang w:eastAsia="zh-CN"/>
        </w:rPr>
        <w:t>廉洁</w:t>
      </w:r>
      <w:r>
        <w:rPr>
          <w:rFonts w:hint="default" w:ascii="Times New Roman" w:hAnsi="Times New Roman" w:eastAsia="仿宋_GB2312" w:cs="Times New Roman"/>
          <w:color w:val="auto"/>
          <w:spacing w:val="-6"/>
          <w:sz w:val="32"/>
          <w:szCs w:val="32"/>
          <w:highlight w:val="none"/>
        </w:rPr>
        <w:t>文化氛围。</w:t>
      </w:r>
      <w:r>
        <w:rPr>
          <w:rFonts w:hint="default" w:ascii="Times New Roman" w:hAnsi="Times New Roman" w:eastAsia="仿宋_GB2312" w:cs="Times New Roman"/>
          <w:color w:val="auto"/>
          <w:spacing w:val="-6"/>
          <w:sz w:val="32"/>
          <w:szCs w:val="32"/>
          <w:highlight w:val="none"/>
          <w:lang w:eastAsia="zh-CN"/>
        </w:rPr>
        <w:t>完善教育系统内部审计制度体系，加强审计队伍建设，更好发挥内审监督作用。</w:t>
      </w:r>
    </w:p>
    <w:p w14:paraId="78A0A897">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黑体" w:cs="Times New Roman"/>
          <w:spacing w:val="-6"/>
          <w:sz w:val="32"/>
          <w:szCs w:val="32"/>
          <w:lang w:val="en-US" w:eastAsia="zh-CN"/>
        </w:rPr>
      </w:pPr>
      <w:r>
        <w:rPr>
          <w:rFonts w:hint="default" w:ascii="Times New Roman" w:hAnsi="Times New Roman" w:eastAsia="黑体" w:cs="Times New Roman"/>
          <w:spacing w:val="-6"/>
          <w:sz w:val="32"/>
          <w:szCs w:val="32"/>
          <w:lang w:val="en-US" w:eastAsia="zh-CN"/>
        </w:rPr>
        <w:t>二、突出立德树人，五育并举促进学生全面发展</w:t>
      </w:r>
    </w:p>
    <w:p w14:paraId="7D2EA0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kern w:val="0"/>
          <w:sz w:val="32"/>
          <w:szCs w:val="32"/>
          <w:lang w:val="en-US" w:eastAsia="zh-CN" w:bidi="ar-SA"/>
        </w:rPr>
      </w:pPr>
      <w:r>
        <w:rPr>
          <w:rFonts w:hint="default" w:ascii="Times New Roman" w:hAnsi="Times New Roman" w:eastAsia="楷体_GB2312" w:cs="Times New Roman"/>
          <w:color w:val="auto"/>
          <w:spacing w:val="-6"/>
          <w:kern w:val="0"/>
          <w:sz w:val="32"/>
          <w:szCs w:val="32"/>
          <w:lang w:val="en-US" w:eastAsia="zh-CN" w:bidi="ar-SA"/>
        </w:rPr>
        <w:t>（一）</w:t>
      </w:r>
      <w:r>
        <w:rPr>
          <w:rFonts w:hint="default" w:ascii="Times New Roman" w:hAnsi="Times New Roman" w:eastAsia="楷体_GB2312" w:cs="Times New Roman"/>
          <w:b w:val="0"/>
          <w:bCs w:val="0"/>
          <w:color w:val="auto"/>
          <w:spacing w:val="-6"/>
          <w:kern w:val="2"/>
          <w:sz w:val="32"/>
          <w:szCs w:val="32"/>
          <w:highlight w:val="none"/>
          <w:lang w:val="en-US" w:eastAsia="zh-CN" w:bidi="ar-SA"/>
        </w:rPr>
        <w:t>建立健全立德树人机制。</w:t>
      </w:r>
      <w:r>
        <w:rPr>
          <w:rFonts w:hint="default" w:ascii="Times New Roman" w:hAnsi="Times New Roman" w:eastAsia="仿宋_GB2312" w:cs="Times New Roman"/>
          <w:color w:val="auto"/>
          <w:spacing w:val="-6"/>
          <w:kern w:val="0"/>
          <w:sz w:val="32"/>
          <w:szCs w:val="32"/>
          <w:lang w:val="en-US" w:eastAsia="zh-CN" w:bidi="ar-SA"/>
        </w:rPr>
        <w:t>深入推进大中小学思政课一体化建设，丰富吴健雄纪念日活动，启动“家乡根脉·科学家精神引领计划”，打造太仓“大思政”特色品牌。深化“德育新时空”品牌建设，深入实施品格提升工程、心理健康教育项目建设、德育类创新创优项目建设，2025年计划成功申报省级品格提升工程项目1项，苏州市级项目2项，太仓市德育类创新创优项目15项。启动“学生学习品质提升计划”，通过深入实施全员导师制、开展系列主题教育活动、完善学生评价体系以及优化家校共育等方式，扭转小学生学习习惯不良、初中生学习动力不足、高中生缺乏深入思考探究等突出问题。</w:t>
      </w:r>
    </w:p>
    <w:p w14:paraId="519B48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cs="Times New Roman"/>
          <w:spacing w:val="-6"/>
          <w:sz w:val="32"/>
          <w:szCs w:val="32"/>
          <w:lang w:val="en-US" w:eastAsia="zh-CN"/>
        </w:rPr>
      </w:pPr>
      <w:r>
        <w:rPr>
          <w:rFonts w:hint="default" w:ascii="Times New Roman" w:hAnsi="Times New Roman" w:eastAsia="楷体_GB2312" w:cs="Times New Roman"/>
          <w:b w:val="0"/>
          <w:bCs w:val="0"/>
          <w:spacing w:val="-6"/>
          <w:sz w:val="32"/>
          <w:szCs w:val="32"/>
          <w:lang w:val="en-US" w:eastAsia="zh-CN"/>
        </w:rPr>
        <w:t>（二）</w:t>
      </w:r>
      <w:r>
        <w:rPr>
          <w:rFonts w:hint="default" w:ascii="Times New Roman" w:hAnsi="Times New Roman" w:eastAsia="楷体_GB2312" w:cs="Times New Roman"/>
          <w:b w:val="0"/>
          <w:bCs w:val="0"/>
          <w:color w:val="auto"/>
          <w:spacing w:val="-6"/>
          <w:kern w:val="2"/>
          <w:sz w:val="32"/>
          <w:szCs w:val="32"/>
          <w:highlight w:val="none"/>
          <w:lang w:val="en-US" w:eastAsia="zh-CN" w:bidi="ar-SA"/>
        </w:rPr>
        <w:t>建优建强五育并举体系。</w:t>
      </w:r>
      <w:r>
        <w:rPr>
          <w:rFonts w:hint="default" w:ascii="Times New Roman" w:hAnsi="Times New Roman" w:eastAsia="仿宋_GB2312" w:cs="Times New Roman"/>
          <w:color w:val="auto"/>
          <w:spacing w:val="-6"/>
          <w:sz w:val="32"/>
          <w:szCs w:val="32"/>
          <w:lang w:val="en-US" w:eastAsia="zh-CN"/>
        </w:rPr>
        <w:t>强化德智体美劳全面发展理念，开展学生综合素养展示活动，持续做强“一校一品”特色文化品牌。围绕青少年体育“5621”项目体系，积极承办国家、省市级学生体育赛事，提升区域影响力、促进体育文化交流。全面实施小学每天一节体育课，确保学生每天综合体育活动时间不少于2小时，课间活动时间15分钟，上、下午各安排一次眼保健操和不少于30分钟的大课间体育活动。启动实施“馆校融合 美育浸润”项目，联合高品质艺术文化场馆共建校外美育实践基地，</w:t>
      </w:r>
      <w:r>
        <w:rPr>
          <w:rFonts w:hint="default" w:ascii="Times New Roman" w:hAnsi="Times New Roman" w:eastAsia="仿宋_GB2312" w:cs="Times New Roman"/>
          <w:color w:val="auto"/>
          <w:spacing w:val="-6"/>
          <w:sz w:val="32"/>
          <w:szCs w:val="32"/>
          <w:highlight w:val="none"/>
          <w:lang w:val="en-US" w:eastAsia="zh-CN"/>
        </w:rPr>
        <w:t>举办非遗进校园系列活动，开发系列场馆美育课程。</w:t>
      </w:r>
      <w:r>
        <w:rPr>
          <w:rFonts w:hint="default" w:ascii="Times New Roman" w:hAnsi="Times New Roman" w:eastAsia="仿宋_GB2312" w:cs="Times New Roman"/>
          <w:color w:val="auto"/>
          <w:spacing w:val="-6"/>
          <w:sz w:val="32"/>
          <w:szCs w:val="32"/>
          <w:lang w:val="en-US" w:eastAsia="zh-CN"/>
        </w:rPr>
        <w:t>开展“共筑劳动梦想 培育时代新人”主题劳动实践活动，拓展校内外劳动教育实践场所，培养具有时代精神和劳动技能的时代新人。</w:t>
      </w:r>
    </w:p>
    <w:p w14:paraId="4AC5B30C">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16" w:firstLineChars="200"/>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楷体_GB2312" w:cs="Times New Roman"/>
          <w:b w:val="0"/>
          <w:bCs w:val="0"/>
          <w:spacing w:val="-6"/>
          <w:sz w:val="32"/>
          <w:szCs w:val="32"/>
          <w:lang w:val="en-US" w:eastAsia="zh-CN"/>
        </w:rPr>
        <w:t>（三）</w:t>
      </w:r>
      <w:r>
        <w:rPr>
          <w:rFonts w:hint="default" w:ascii="Times New Roman" w:hAnsi="Times New Roman" w:eastAsia="楷体_GB2312" w:cs="Times New Roman"/>
          <w:b w:val="0"/>
          <w:bCs w:val="0"/>
          <w:color w:val="auto"/>
          <w:spacing w:val="-6"/>
          <w:kern w:val="2"/>
          <w:sz w:val="32"/>
          <w:szCs w:val="32"/>
          <w:highlight w:val="none"/>
          <w:lang w:val="en-US" w:eastAsia="zh-CN" w:bidi="ar-SA"/>
        </w:rPr>
        <w:t>全心全意促进学生成长。</w:t>
      </w:r>
      <w:r>
        <w:rPr>
          <w:rFonts w:hint="default" w:ascii="Times New Roman" w:hAnsi="Times New Roman" w:eastAsia="仿宋_GB2312" w:cs="Times New Roman"/>
          <w:color w:val="auto"/>
          <w:spacing w:val="-6"/>
          <w:sz w:val="32"/>
          <w:szCs w:val="32"/>
          <w:lang w:val="en-US" w:eastAsia="zh-CN"/>
        </w:rPr>
        <w:t>深入推进关爱青少年生命健康“润心”行动，抓好重点事项清单落实。做好青春期教育，开展青少年心理关怀“六化”行动，切实筑牢青少年心理健康安全屏障。开展“润心活力课堂”展示评比活动，将心理健康教育与体育、美育深度融合，有效提升学生的抗逆力、审美力以及合作能力等。扎实推进全员导师制，提升育人针对性和实效性。</w:t>
      </w:r>
    </w:p>
    <w:p w14:paraId="1288B87B">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楷体_GB2312" w:cs="Times New Roman"/>
          <w:color w:val="auto"/>
          <w:spacing w:val="-6"/>
          <w:sz w:val="32"/>
          <w:szCs w:val="32"/>
          <w:lang w:val="en-US" w:eastAsia="zh-CN"/>
        </w:rPr>
        <w:t>（四）</w:t>
      </w:r>
      <w:r>
        <w:rPr>
          <w:rFonts w:hint="default" w:ascii="Times New Roman" w:hAnsi="Times New Roman" w:eastAsia="楷体_GB2312" w:cs="Times New Roman"/>
          <w:b w:val="0"/>
          <w:bCs w:val="0"/>
          <w:color w:val="auto"/>
          <w:spacing w:val="-6"/>
          <w:kern w:val="2"/>
          <w:sz w:val="32"/>
          <w:szCs w:val="32"/>
          <w:highlight w:val="none"/>
          <w:lang w:val="en-US" w:eastAsia="zh-CN" w:bidi="ar-SA"/>
        </w:rPr>
        <w:t>走深走实协同育人路径</w:t>
      </w:r>
      <w:r>
        <w:rPr>
          <w:rFonts w:hint="default" w:ascii="Times New Roman" w:hAnsi="Times New Roman" w:eastAsia="仿宋_GB2312" w:cs="Times New Roman"/>
          <w:color w:val="auto"/>
          <w:spacing w:val="-6"/>
          <w:sz w:val="32"/>
          <w:szCs w:val="32"/>
          <w:lang w:val="en-US" w:eastAsia="zh-CN"/>
        </w:rPr>
        <w:t>。联合市卫健委、妇联、团市委等部门推进“教联体”建设，建立教联体信息共享平台。组织学校以特色项目活动和课程为载体，探索多样化协同育人行动，确保教联体工作实效。深入推进“一校一社工站”项目，明确学校社工服务清单，发布“学校社会工作标准”，清晰界定学校社工的职责范围，逐步将服务范围扩展至小学阶段。深化家长学校建设，开展家庭教育先进学校评选工作，深化家校合作机制，强化家庭教育指导服务，共同促进家庭教育与学校教育有机融合。</w:t>
      </w:r>
    </w:p>
    <w:p w14:paraId="5E7BCACA">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黑体" w:cs="Times New Roman"/>
          <w:spacing w:val="-6"/>
          <w:sz w:val="32"/>
          <w:szCs w:val="32"/>
          <w:lang w:val="en-US" w:eastAsia="zh-CN"/>
        </w:rPr>
      </w:pPr>
      <w:r>
        <w:rPr>
          <w:rFonts w:hint="default" w:ascii="Times New Roman" w:hAnsi="Times New Roman" w:eastAsia="黑体" w:cs="Times New Roman"/>
          <w:spacing w:val="-6"/>
          <w:sz w:val="32"/>
          <w:szCs w:val="32"/>
          <w:lang w:val="en-US" w:eastAsia="zh-CN"/>
        </w:rPr>
        <w:t>三、聚焦内涵建设，打造优质均衡公共教育体系</w:t>
      </w:r>
    </w:p>
    <w:p w14:paraId="2F78E30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16" w:firstLineChars="200"/>
        <w:jc w:val="both"/>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楷体_GB2312" w:cs="Times New Roman"/>
          <w:b w:val="0"/>
          <w:bCs w:val="0"/>
          <w:color w:val="auto"/>
          <w:spacing w:val="-6"/>
          <w:kern w:val="2"/>
          <w:sz w:val="32"/>
          <w:szCs w:val="32"/>
          <w:lang w:val="en-US" w:eastAsia="zh-CN" w:bidi="ar-SA"/>
        </w:rPr>
        <w:t>（一）持续</w:t>
      </w:r>
      <w:r>
        <w:rPr>
          <w:rFonts w:hint="default" w:ascii="Times New Roman" w:hAnsi="Times New Roman" w:eastAsia="楷体_GB2312" w:cs="Times New Roman"/>
          <w:b w:val="0"/>
          <w:bCs w:val="0"/>
          <w:color w:val="auto"/>
          <w:spacing w:val="-6"/>
          <w:sz w:val="32"/>
          <w:szCs w:val="32"/>
          <w:highlight w:val="none"/>
          <w:lang w:val="en-US" w:eastAsia="zh-CN"/>
        </w:rPr>
        <w:t>推进学前教育普及普惠。</w:t>
      </w:r>
      <w:r>
        <w:rPr>
          <w:rFonts w:hint="default" w:ascii="Times New Roman" w:hAnsi="Times New Roman" w:eastAsia="仿宋_GB2312" w:cs="Times New Roman"/>
          <w:b w:val="0"/>
          <w:bCs w:val="0"/>
          <w:color w:val="auto"/>
          <w:spacing w:val="-6"/>
          <w:sz w:val="32"/>
          <w:szCs w:val="32"/>
          <w:highlight w:val="none"/>
          <w:lang w:val="en-US" w:eastAsia="zh-CN"/>
        </w:rPr>
        <w:t>学习贯彻《中华人民共和国学前教育法》，促进学前教育普及普惠安全优质发展。持续巩固学前教育普及普惠县创建成果，常态化做好监测工作，规范幼儿园办园行为。建立幼儿园保教质量评估实施办法，将各类幼儿园100%纳入质量评估范畴，强化过程评估，全面提高保教质量。纵深推进区域课程游戏化，依托幼教发展共同体持续提升区域幼儿园课程游戏化质量。继续扩大优质学前教育资源，创建省、市优质园5所，持续提升省市优质园比例。配合推进幼儿园延伸托育服务，提供保育为主、保教结合的托育服务。</w:t>
      </w:r>
    </w:p>
    <w:p w14:paraId="7A440034">
      <w:pPr>
        <w:keepNext w:val="0"/>
        <w:keepLines w:val="0"/>
        <w:pageBreakBefore w:val="0"/>
        <w:widowControl w:val="0"/>
        <w:suppressLineNumbers w:val="0"/>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楷体_GB2312" w:cs="Times New Roman"/>
          <w:b w:val="0"/>
          <w:bCs w:val="0"/>
          <w:color w:val="auto"/>
          <w:spacing w:val="-6"/>
          <w:sz w:val="32"/>
          <w:szCs w:val="32"/>
          <w:highlight w:val="none"/>
          <w:lang w:val="en-US" w:eastAsia="zh-CN"/>
        </w:rPr>
        <w:t>（二）持续推进义务教育优质均衡。</w:t>
      </w:r>
      <w:r>
        <w:rPr>
          <w:rFonts w:hint="default" w:ascii="Times New Roman" w:hAnsi="Times New Roman" w:eastAsia="仿宋_GB2312" w:cs="Times New Roman"/>
          <w:b w:val="0"/>
          <w:bCs w:val="0"/>
          <w:color w:val="auto"/>
          <w:spacing w:val="-6"/>
          <w:sz w:val="32"/>
          <w:szCs w:val="32"/>
          <w:highlight w:val="none"/>
          <w:lang w:val="en-US" w:eastAsia="zh-CN"/>
        </w:rPr>
        <w:t>深化全国义务教育优质均衡发展县市创建成效，准确把握新课程、新课程标准精神，组织义务教育段教师100%参与新课标培训，推进“活力教育”2.0区域新实践，推动义务教育向更高水平、更加均衡、更有质量迈进。出台《太仓市教育质量提升三年行动方案》，做好小学生良好学习品质培养、初中强校计划二期提升行动，进一步提升学校教育教学质量和服务水平。深化落实“五项管理”要求，减轻学生课业负担，确保小学一、二年级不留书面家庭作业，三至六年级书面作业完成时间平均不超过1小时，初中不超过90分钟。拓宽课后服务校内外资源渠道，学生课后服务参与率大于85%，打造多样课后服务形态。</w:t>
      </w:r>
      <w:r>
        <w:rPr>
          <w:rFonts w:hint="default" w:ascii="Times New Roman" w:hAnsi="Times New Roman" w:eastAsia="仿宋_GB2312" w:cs="Times New Roman"/>
          <w:color w:val="000000"/>
          <w:spacing w:val="-6"/>
          <w:sz w:val="32"/>
          <w:szCs w:val="32"/>
          <w:highlight w:val="none"/>
          <w:lang w:val="en-US" w:eastAsia="zh-CN"/>
        </w:rPr>
        <w:t>强化民办学校风险防控工作，确保外来工子弟学校治理成效持续巩固，切实做好民办学校</w:t>
      </w:r>
      <w:r>
        <w:rPr>
          <w:rFonts w:hint="default" w:ascii="Times New Roman" w:hAnsi="Times New Roman" w:eastAsia="仿宋_GB2312" w:cs="Times New Roman"/>
          <w:color w:val="000000"/>
          <w:spacing w:val="-6"/>
          <w:kern w:val="0"/>
          <w:sz w:val="32"/>
          <w:szCs w:val="32"/>
          <w:highlight w:val="none"/>
          <w:lang w:val="en-US" w:eastAsia="zh-CN" w:bidi="ar"/>
        </w:rPr>
        <w:t>规范管理，</w:t>
      </w:r>
      <w:r>
        <w:rPr>
          <w:rFonts w:hint="default" w:ascii="Times New Roman" w:hAnsi="Times New Roman" w:eastAsia="仿宋_GB2312" w:cs="Times New Roman"/>
          <w:color w:val="000000"/>
          <w:spacing w:val="-6"/>
          <w:sz w:val="32"/>
          <w:szCs w:val="32"/>
          <w:highlight w:val="none"/>
          <w:lang w:val="en-US" w:eastAsia="zh-CN"/>
        </w:rPr>
        <w:t>建立年检审管协同机制，构建良好教育生态。</w:t>
      </w:r>
    </w:p>
    <w:p w14:paraId="4DE3F793">
      <w:pPr>
        <w:pStyle w:val="2"/>
        <w:keepNext w:val="0"/>
        <w:keepLines w:val="0"/>
        <w:pageBreakBefore w:val="0"/>
        <w:widowControl w:val="0"/>
        <w:kinsoku/>
        <w:wordWrap/>
        <w:overflowPunct/>
        <w:topLinePunct w:val="0"/>
        <w:autoSpaceDE w:val="0"/>
        <w:autoSpaceDN w:val="0"/>
        <w:bidi w:val="0"/>
        <w:adjustRightInd/>
        <w:snapToGrid/>
        <w:spacing w:line="560" w:lineRule="exact"/>
        <w:ind w:firstLine="616" w:firstLineChars="200"/>
        <w:textAlignment w:val="auto"/>
        <w:rPr>
          <w:rFonts w:hint="default" w:ascii="Times New Roman" w:hAnsi="Times New Roman" w:eastAsia="仿宋_GB2312" w:cs="Times New Roman"/>
          <w:b w:val="0"/>
          <w:bCs w:val="0"/>
          <w:spacing w:val="-6"/>
          <w:kern w:val="2"/>
          <w:sz w:val="32"/>
          <w:szCs w:val="32"/>
          <w:lang w:val="en-US" w:eastAsia="zh-CN" w:bidi="ar-SA"/>
        </w:rPr>
      </w:pPr>
      <w:r>
        <w:rPr>
          <w:rFonts w:hint="default" w:ascii="Times New Roman" w:hAnsi="Times New Roman" w:eastAsia="楷体_GB2312" w:cs="Times New Roman"/>
          <w:b w:val="0"/>
          <w:bCs w:val="0"/>
          <w:color w:val="auto"/>
          <w:spacing w:val="-6"/>
          <w:sz w:val="32"/>
          <w:szCs w:val="32"/>
          <w:highlight w:val="none"/>
          <w:lang w:val="en-US" w:eastAsia="zh-CN"/>
        </w:rPr>
        <w:t>（三）持续推进高中教育多元特色。</w:t>
      </w:r>
      <w:r>
        <w:rPr>
          <w:rFonts w:hint="default" w:ascii="Times New Roman" w:hAnsi="Times New Roman" w:eastAsia="仿宋_GB2312" w:cs="Times New Roman"/>
          <w:b w:val="0"/>
          <w:bCs w:val="0"/>
          <w:spacing w:val="-6"/>
          <w:kern w:val="2"/>
          <w:sz w:val="32"/>
          <w:szCs w:val="32"/>
          <w:lang w:val="en-US" w:eastAsia="zh-CN" w:bidi="ar-SA"/>
        </w:rPr>
        <w:t>深化教育教学改革，对标稳居苏州“第一方阵”新目标，深入开展基于情景化教学、单元设计的大概念教学、项目化学习，教发、督导合力行动，全面深化高品质课堂建设。形成市级层面高品质特色高中建设推进方案，以特色办学促进学校内涵发展、引领人才培养模式创新，为学生提供多样化的成长成才路径。深入推进“小—初—高”贯通一体化拔尖创新人才早期培养工作。办好国家、省学科竞赛辅导工作，提升奥赛获奖层次及人次。新增民办普通高中1所。</w:t>
      </w:r>
    </w:p>
    <w:p w14:paraId="2C062D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default" w:ascii="Times New Roman" w:hAnsi="Times New Roman" w:eastAsia="楷体_GB2312" w:cs="Times New Roman"/>
          <w:b w:val="0"/>
          <w:bCs w:val="0"/>
          <w:color w:val="auto"/>
          <w:spacing w:val="-6"/>
          <w:kern w:val="0"/>
          <w:sz w:val="32"/>
          <w:szCs w:val="32"/>
          <w:highlight w:val="none"/>
          <w:lang w:val="en-US" w:eastAsia="zh-CN" w:bidi="ar-SA"/>
        </w:rPr>
      </w:pPr>
      <w:r>
        <w:rPr>
          <w:rFonts w:hint="default" w:ascii="Times New Roman" w:hAnsi="Times New Roman" w:eastAsia="楷体_GB2312" w:cs="Times New Roman"/>
          <w:b w:val="0"/>
          <w:bCs w:val="0"/>
          <w:color w:val="auto"/>
          <w:spacing w:val="-6"/>
          <w:kern w:val="0"/>
          <w:sz w:val="32"/>
          <w:szCs w:val="32"/>
          <w:highlight w:val="none"/>
          <w:lang w:val="en-US" w:eastAsia="zh-CN" w:bidi="ar-SA"/>
        </w:rPr>
        <w:t>（四）持续推进职业教育产教融合。</w:t>
      </w:r>
      <w:r>
        <w:rPr>
          <w:rStyle w:val="14"/>
          <w:rFonts w:hint="default" w:ascii="Times New Roman" w:hAnsi="Times New Roman" w:cs="Times New Roman"/>
          <w:b w:val="0"/>
          <w:bCs/>
          <w:spacing w:val="-6"/>
          <w:sz w:val="32"/>
          <w:szCs w:val="32"/>
          <w:highlight w:val="none"/>
          <w:lang w:val="en-US" w:eastAsia="zh-CN"/>
        </w:rPr>
        <w:t>贯彻上级对现代职业教育体系建设改革的部署，</w:t>
      </w:r>
      <w:r>
        <w:rPr>
          <w:rFonts w:hint="default" w:ascii="Times New Roman" w:hAnsi="Times New Roman" w:eastAsia="仿宋_GB2312" w:cs="Times New Roman"/>
          <w:spacing w:val="-6"/>
          <w:sz w:val="32"/>
          <w:szCs w:val="32"/>
          <w:highlight w:val="none"/>
          <w:lang w:val="en-US" w:eastAsia="zh-CN"/>
        </w:rPr>
        <w:t>推进</w:t>
      </w:r>
      <w:r>
        <w:rPr>
          <w:rFonts w:hint="default" w:ascii="Times New Roman" w:hAnsi="Times New Roman" w:eastAsia="仿宋_GB2312" w:cs="Times New Roman"/>
          <w:spacing w:val="-6"/>
          <w:sz w:val="32"/>
          <w:szCs w:val="32"/>
          <w:highlight w:val="none"/>
          <w:lang w:val="en-US" w:eastAsia="zh-Hans"/>
        </w:rPr>
        <w:t>建立</w:t>
      </w:r>
      <w:r>
        <w:rPr>
          <w:rFonts w:hint="default" w:ascii="Times New Roman" w:hAnsi="Times New Roman" w:eastAsia="仿宋_GB2312" w:cs="Times New Roman"/>
          <w:spacing w:val="-6"/>
          <w:sz w:val="32"/>
          <w:szCs w:val="32"/>
          <w:highlight w:val="none"/>
          <w:lang w:val="en-US" w:eastAsia="zh-CN"/>
        </w:rPr>
        <w:t>职普融通、产教</w:t>
      </w:r>
      <w:r>
        <w:rPr>
          <w:rFonts w:hint="default" w:ascii="Times New Roman" w:hAnsi="Times New Roman" w:eastAsia="仿宋_GB2312" w:cs="Times New Roman"/>
          <w:spacing w:val="-6"/>
          <w:sz w:val="32"/>
          <w:szCs w:val="32"/>
          <w:highlight w:val="none"/>
          <w:lang w:val="en-US" w:eastAsia="zh-Hans"/>
        </w:rPr>
        <w:t>融合的职业教育</w:t>
      </w:r>
      <w:r>
        <w:rPr>
          <w:rFonts w:hint="default" w:ascii="Times New Roman" w:hAnsi="Times New Roman" w:eastAsia="仿宋_GB2312" w:cs="Times New Roman"/>
          <w:spacing w:val="-6"/>
          <w:sz w:val="32"/>
          <w:szCs w:val="32"/>
          <w:highlight w:val="none"/>
          <w:lang w:val="en-US" w:eastAsia="zh-CN"/>
        </w:rPr>
        <w:t>体系。</w:t>
      </w:r>
      <w:r>
        <w:rPr>
          <w:rFonts w:hint="default" w:ascii="Times New Roman" w:hAnsi="Times New Roman" w:eastAsia="仿宋_GB2312" w:cs="Times New Roman"/>
          <w:b w:val="0"/>
          <w:bCs w:val="0"/>
          <w:spacing w:val="-6"/>
          <w:sz w:val="32"/>
          <w:szCs w:val="32"/>
          <w:highlight w:val="none"/>
          <w:lang w:val="en-US" w:eastAsia="zh-CN"/>
        </w:rPr>
        <w:t>制定</w:t>
      </w:r>
      <w:r>
        <w:rPr>
          <w:rFonts w:hint="default" w:ascii="Times New Roman" w:hAnsi="Times New Roman" w:eastAsia="仿宋_GB2312" w:cs="Times New Roman"/>
          <w:spacing w:val="-6"/>
          <w:sz w:val="32"/>
          <w:szCs w:val="32"/>
          <w:highlight w:val="none"/>
          <w:lang w:val="en-US" w:eastAsia="zh-CN"/>
        </w:rPr>
        <w:t>《太仓市推动现代职业教育高质量发展三年行动方案（</w:t>
      </w:r>
      <w:r>
        <w:rPr>
          <w:rFonts w:hint="default" w:ascii="Times New Roman" w:hAnsi="Times New Roman" w:eastAsia="仿宋_GB2312" w:cs="Times New Roman"/>
          <w:b w:val="0"/>
          <w:bCs w:val="0"/>
          <w:spacing w:val="-6"/>
          <w:kern w:val="2"/>
          <w:sz w:val="32"/>
          <w:szCs w:val="32"/>
          <w:lang w:val="en-US" w:eastAsia="zh-CN" w:bidi="ar-SA"/>
        </w:rPr>
        <w:t>2025~2027</w:t>
      </w:r>
      <w:r>
        <w:rPr>
          <w:rFonts w:hint="default" w:ascii="Times New Roman" w:hAnsi="Times New Roman" w:eastAsia="仿宋_GB2312" w:cs="Times New Roman"/>
          <w:spacing w:val="-6"/>
          <w:sz w:val="32"/>
          <w:szCs w:val="32"/>
          <w:highlight w:val="none"/>
          <w:lang w:val="en-US" w:eastAsia="zh-CN"/>
        </w:rPr>
        <w:t>）》，统筹规划职教资源布局，适度扩大五年制高职办学规模。</w:t>
      </w:r>
      <w:r>
        <w:rPr>
          <w:rFonts w:hint="default" w:ascii="Times New Roman" w:hAnsi="Times New Roman" w:eastAsia="仿宋_GB2312" w:cs="Times New Roman"/>
          <w:spacing w:val="-6"/>
          <w:kern w:val="2"/>
          <w:sz w:val="32"/>
          <w:szCs w:val="32"/>
          <w:highlight w:val="none"/>
          <w:lang w:val="en-US" w:eastAsia="zh-CN" w:bidi="ar-SA"/>
        </w:rPr>
        <w:t>锚定太仓“3+3”产业集群发展方向及“5+5”细分领域，强化产学融合互动，引导职业学校紧跟产业发展趋势，适度超前进行专业布局，完善专业动态调整机制。稳步推进落实职教高考改革，全面落实《江苏省职业院校劳动教育实施指南》，</w:t>
      </w:r>
      <w:r>
        <w:rPr>
          <w:rFonts w:hint="default" w:ascii="Times New Roman" w:hAnsi="Times New Roman" w:eastAsia="仿宋_GB2312" w:cs="Times New Roman"/>
          <w:spacing w:val="-6"/>
          <w:sz w:val="32"/>
          <w:szCs w:val="32"/>
          <w:highlight w:val="none"/>
          <w:lang w:val="en-US" w:eastAsia="zh-CN"/>
        </w:rPr>
        <w:t>不断提升技能大赛、教学能力比赛、创新创业大赛等重点赛事成绩，提升人才培养质量。加强实习工作监督管理，强化“双师型”教师队伍建设，</w:t>
      </w:r>
      <w:r>
        <w:rPr>
          <w:rStyle w:val="14"/>
          <w:rFonts w:hint="default" w:ascii="Times New Roman" w:hAnsi="Times New Roman" w:cs="Times New Roman"/>
          <w:b w:val="0"/>
          <w:bCs/>
          <w:spacing w:val="-6"/>
          <w:sz w:val="32"/>
          <w:szCs w:val="32"/>
          <w:highlight w:val="none"/>
          <w:lang w:val="en-US" w:eastAsia="zh-CN"/>
        </w:rPr>
        <w:t>挂牌市级教师企业实践基地</w:t>
      </w:r>
      <w:r>
        <w:rPr>
          <w:rFonts w:hint="default" w:ascii="Times New Roman" w:hAnsi="Times New Roman" w:eastAsia="仿宋_GB2312" w:cs="Times New Roman"/>
          <w:spacing w:val="-6"/>
          <w:sz w:val="32"/>
          <w:szCs w:val="32"/>
          <w:highlight w:val="none"/>
          <w:lang w:val="en-US" w:eastAsia="zh-CN"/>
        </w:rPr>
        <w:t>。</w:t>
      </w:r>
    </w:p>
    <w:p w14:paraId="6A0207C8">
      <w:pPr>
        <w:pStyle w:val="2"/>
        <w:keepNext w:val="0"/>
        <w:keepLines w:val="0"/>
        <w:pageBreakBefore w:val="0"/>
        <w:widowControl w:val="0"/>
        <w:kinsoku/>
        <w:wordWrap/>
        <w:overflowPunct/>
        <w:topLinePunct w:val="0"/>
        <w:autoSpaceDE w:val="0"/>
        <w:autoSpaceDN w:val="0"/>
        <w:bidi w:val="0"/>
        <w:adjustRightInd/>
        <w:snapToGrid/>
        <w:spacing w:line="560" w:lineRule="exact"/>
        <w:ind w:firstLine="616" w:firstLineChars="200"/>
        <w:textAlignment w:val="auto"/>
        <w:rPr>
          <w:rFonts w:hint="default" w:ascii="Times New Roman" w:hAnsi="Times New Roman" w:eastAsia="楷体_GB2312" w:cs="Times New Roman"/>
          <w:b w:val="0"/>
          <w:bCs w:val="0"/>
          <w:color w:val="auto"/>
          <w:spacing w:val="-6"/>
          <w:kern w:val="0"/>
          <w:sz w:val="32"/>
          <w:szCs w:val="32"/>
          <w:highlight w:val="none"/>
          <w:lang w:val="en-US" w:eastAsia="zh-CN" w:bidi="ar-SA"/>
        </w:rPr>
      </w:pPr>
      <w:r>
        <w:rPr>
          <w:rFonts w:hint="default" w:ascii="Times New Roman" w:hAnsi="Times New Roman" w:eastAsia="楷体_GB2312" w:cs="Times New Roman"/>
          <w:b w:val="0"/>
          <w:bCs w:val="0"/>
          <w:color w:val="auto"/>
          <w:spacing w:val="-6"/>
          <w:kern w:val="0"/>
          <w:sz w:val="32"/>
          <w:szCs w:val="32"/>
          <w:highlight w:val="none"/>
          <w:lang w:val="en-US" w:eastAsia="zh-CN" w:bidi="ar-SA"/>
        </w:rPr>
        <w:t>（五）推进高等教育创新发展。</w:t>
      </w:r>
      <w:r>
        <w:rPr>
          <w:rFonts w:hint="default" w:ascii="Times New Roman" w:hAnsi="Times New Roman" w:eastAsia="仿宋_GB2312" w:cs="Times New Roman"/>
          <w:spacing w:val="-6"/>
          <w:kern w:val="2"/>
          <w:sz w:val="32"/>
          <w:szCs w:val="32"/>
          <w:lang w:val="en-US" w:eastAsia="zh-CN" w:bidi="ar-SA"/>
        </w:rPr>
        <w:t>进一步发挥市高校发展服务中心对接、服务功能，紧密市校合作纽带。逐步扩大在太高校办学规模，合力共建一流大学校区，集聚更多高层次人才。着力推动西工大苏州高等研究院、三航产业科技创新中心建设，做强西浦太仓校区“浦创汇”“创新工场”等功能载体，持续提升区域创新创业质效。弘扬吴健雄先生等科学家精神和创新文化，</w:t>
      </w:r>
      <w:r>
        <w:rPr>
          <w:rFonts w:hint="default" w:ascii="Times New Roman" w:hAnsi="Times New Roman" w:eastAsia="仿宋_GB2312" w:cs="Times New Roman"/>
          <w:spacing w:val="-6"/>
          <w:kern w:val="2"/>
          <w:sz w:val="32"/>
          <w:szCs w:val="32"/>
          <w:highlight w:val="none"/>
          <w:lang w:val="en-US" w:eastAsia="zh-CN" w:bidi="ar-SA"/>
        </w:rPr>
        <w:t>强化高等教育与基础教</w:t>
      </w:r>
      <w:r>
        <w:rPr>
          <w:rFonts w:hint="default" w:ascii="Times New Roman" w:hAnsi="Times New Roman" w:eastAsia="仿宋_GB2312" w:cs="Times New Roman"/>
          <w:b w:val="0"/>
          <w:bCs w:val="0"/>
          <w:color w:val="auto"/>
          <w:spacing w:val="-6"/>
          <w:sz w:val="32"/>
          <w:szCs w:val="32"/>
          <w:highlight w:val="none"/>
          <w:lang w:val="en-US" w:eastAsia="zh-CN"/>
        </w:rPr>
        <w:t>育重点项目对接，</w:t>
      </w:r>
      <w:r>
        <w:rPr>
          <w:rFonts w:hint="default" w:ascii="Times New Roman" w:hAnsi="Times New Roman" w:eastAsia="仿宋_GB2312" w:cs="Times New Roman"/>
          <w:spacing w:val="-6"/>
          <w:kern w:val="2"/>
          <w:sz w:val="32"/>
          <w:szCs w:val="32"/>
          <w:lang w:val="en-US" w:eastAsia="zh-CN" w:bidi="ar-SA"/>
        </w:rPr>
        <w:t>引导在太高校参与拔尖创新人才培养。</w:t>
      </w:r>
    </w:p>
    <w:p w14:paraId="1737EFB5">
      <w:pPr>
        <w:keepNext w:val="0"/>
        <w:keepLines w:val="0"/>
        <w:pageBreakBefore w:val="0"/>
        <w:widowControl w:val="0"/>
        <w:numPr>
          <w:ilvl w:val="0"/>
          <w:numId w:val="0"/>
        </w:numPr>
        <w:kinsoku/>
        <w:wordWrap/>
        <w:overflowPunct/>
        <w:topLinePunct w:val="0"/>
        <w:bidi w:val="0"/>
        <w:adjustRightInd/>
        <w:snapToGrid/>
        <w:spacing w:line="560" w:lineRule="exact"/>
        <w:ind w:firstLine="616" w:firstLineChars="200"/>
        <w:textAlignment w:val="auto"/>
        <w:rPr>
          <w:rFonts w:hint="default" w:ascii="Times New Roman" w:hAnsi="Times New Roman" w:eastAsia="仿宋_GB2312" w:cs="Times New Roman"/>
          <w:spacing w:val="-6"/>
          <w:kern w:val="2"/>
          <w:sz w:val="32"/>
          <w:szCs w:val="32"/>
          <w:highlight w:val="none"/>
          <w:lang w:val="en-US" w:eastAsia="zh-CN" w:bidi="ar-SA"/>
        </w:rPr>
      </w:pPr>
      <w:r>
        <w:rPr>
          <w:rFonts w:hint="default" w:ascii="Times New Roman" w:hAnsi="Times New Roman" w:eastAsia="楷体_GB2312" w:cs="Times New Roman"/>
          <w:b w:val="0"/>
          <w:bCs w:val="0"/>
          <w:color w:val="auto"/>
          <w:spacing w:val="-6"/>
          <w:kern w:val="2"/>
          <w:sz w:val="32"/>
          <w:szCs w:val="32"/>
          <w:highlight w:val="none"/>
          <w:lang w:val="en-US" w:eastAsia="zh-CN" w:bidi="ar-SA"/>
        </w:rPr>
        <w:t>（六）推进社会教育有序规范。</w:t>
      </w:r>
      <w:r>
        <w:rPr>
          <w:rFonts w:hint="default" w:ascii="Times New Roman" w:hAnsi="Times New Roman" w:eastAsia="仿宋_GB2312" w:cs="Times New Roman"/>
          <w:spacing w:val="-6"/>
          <w:kern w:val="2"/>
          <w:sz w:val="32"/>
          <w:szCs w:val="32"/>
          <w:highlight w:val="none"/>
          <w:lang w:val="en-US" w:eastAsia="zh-Hans" w:bidi="ar-SA"/>
        </w:rPr>
        <w:t>持续培树社区教育品牌</w:t>
      </w:r>
      <w:r>
        <w:rPr>
          <w:rFonts w:hint="default" w:ascii="Times New Roman" w:hAnsi="Times New Roman" w:eastAsia="仿宋_GB2312" w:cs="Times New Roman"/>
          <w:spacing w:val="-6"/>
          <w:kern w:val="2"/>
          <w:sz w:val="32"/>
          <w:szCs w:val="32"/>
          <w:highlight w:val="none"/>
          <w:lang w:eastAsia="zh-CN" w:bidi="ar-SA"/>
        </w:rPr>
        <w:t>，</w:t>
      </w:r>
      <w:r>
        <w:rPr>
          <w:rFonts w:hint="default" w:ascii="Times New Roman" w:hAnsi="Times New Roman" w:eastAsia="仿宋_GB2312" w:cs="Times New Roman"/>
          <w:spacing w:val="-6"/>
          <w:kern w:val="2"/>
          <w:sz w:val="32"/>
          <w:szCs w:val="32"/>
          <w:highlight w:val="none"/>
          <w:lang w:val="en-US" w:eastAsia="zh-Hans" w:bidi="ar-SA"/>
        </w:rPr>
        <w:t>丰富社区教育活动</w:t>
      </w:r>
      <w:r>
        <w:rPr>
          <w:rFonts w:hint="default" w:ascii="Times New Roman" w:hAnsi="Times New Roman" w:eastAsia="仿宋_GB2312" w:cs="Times New Roman"/>
          <w:spacing w:val="-6"/>
          <w:kern w:val="2"/>
          <w:sz w:val="32"/>
          <w:szCs w:val="32"/>
          <w:highlight w:val="none"/>
          <w:lang w:eastAsia="zh-Hans" w:bidi="ar-SA"/>
        </w:rPr>
        <w:t>，</w:t>
      </w:r>
      <w:r>
        <w:rPr>
          <w:rFonts w:hint="default" w:ascii="Times New Roman" w:hAnsi="Times New Roman" w:eastAsia="仿宋_GB2312" w:cs="Times New Roman"/>
          <w:spacing w:val="-6"/>
          <w:kern w:val="2"/>
          <w:sz w:val="32"/>
          <w:szCs w:val="32"/>
          <w:highlight w:val="none"/>
          <w:lang w:val="en-US" w:eastAsia="zh-CN" w:bidi="ar-SA"/>
        </w:rPr>
        <w:t>开展</w:t>
      </w:r>
      <w:r>
        <w:rPr>
          <w:rFonts w:hint="default" w:ascii="Times New Roman" w:hAnsi="Times New Roman" w:eastAsia="仿宋_GB2312" w:cs="Times New Roman"/>
          <w:spacing w:val="-6"/>
          <w:kern w:val="2"/>
          <w:sz w:val="32"/>
          <w:szCs w:val="32"/>
          <w:highlight w:val="none"/>
          <w:lang w:val="en-US" w:eastAsia="zh-Hans" w:bidi="ar-SA"/>
        </w:rPr>
        <w:t>各类培训教育</w:t>
      </w:r>
      <w:r>
        <w:rPr>
          <w:rFonts w:hint="default" w:ascii="Times New Roman" w:hAnsi="Times New Roman" w:eastAsia="仿宋_GB2312" w:cs="Times New Roman"/>
          <w:spacing w:val="-6"/>
          <w:kern w:val="2"/>
          <w:sz w:val="32"/>
          <w:szCs w:val="32"/>
          <w:highlight w:val="none"/>
          <w:lang w:val="en-US" w:eastAsia="zh-CN" w:bidi="ar-SA"/>
        </w:rPr>
        <w:t>惠民活动</w:t>
      </w:r>
      <w:r>
        <w:rPr>
          <w:rFonts w:hint="default" w:ascii="Times New Roman" w:hAnsi="Times New Roman" w:eastAsia="仿宋_GB2312" w:cs="Times New Roman"/>
          <w:spacing w:val="-6"/>
          <w:kern w:val="2"/>
          <w:sz w:val="32"/>
          <w:szCs w:val="32"/>
          <w:highlight w:val="none"/>
          <w:lang w:eastAsia="zh-CN" w:bidi="ar-SA"/>
        </w:rPr>
        <w:t>。</w:t>
      </w:r>
      <w:r>
        <w:rPr>
          <w:rFonts w:hint="default" w:ascii="Times New Roman" w:hAnsi="Times New Roman" w:eastAsia="仿宋_GB2312" w:cs="Times New Roman"/>
          <w:spacing w:val="-6"/>
          <w:kern w:val="2"/>
          <w:sz w:val="32"/>
          <w:szCs w:val="32"/>
          <w:highlight w:val="none"/>
          <w:lang w:val="en-US" w:eastAsia="zh-CN" w:bidi="ar-SA"/>
        </w:rPr>
        <w:t>组织太仓市社区教育中心教师能力大赛、全民终身学习活动周等活动</w:t>
      </w:r>
      <w:r>
        <w:rPr>
          <w:rFonts w:hint="default" w:ascii="Times New Roman" w:hAnsi="Times New Roman" w:eastAsia="仿宋_GB2312" w:cs="Times New Roman"/>
          <w:spacing w:val="-6"/>
          <w:kern w:val="2"/>
          <w:sz w:val="32"/>
          <w:szCs w:val="32"/>
          <w:highlight w:val="none"/>
          <w:lang w:eastAsia="zh-CN" w:bidi="ar-SA"/>
        </w:rPr>
        <w:t>，</w:t>
      </w:r>
      <w:r>
        <w:rPr>
          <w:rFonts w:hint="default" w:ascii="Times New Roman" w:hAnsi="Times New Roman" w:eastAsia="仿宋_GB2312" w:cs="Times New Roman"/>
          <w:spacing w:val="-6"/>
          <w:kern w:val="2"/>
          <w:sz w:val="32"/>
          <w:szCs w:val="32"/>
          <w:highlight w:val="none"/>
          <w:lang w:val="en-US" w:eastAsia="zh-CN" w:bidi="ar-SA"/>
        </w:rPr>
        <w:t>营造</w:t>
      </w:r>
      <w:r>
        <w:rPr>
          <w:rFonts w:hint="default" w:ascii="Times New Roman" w:hAnsi="Times New Roman" w:eastAsia="仿宋_GB2312" w:cs="Times New Roman"/>
          <w:spacing w:val="-6"/>
          <w:kern w:val="2"/>
          <w:sz w:val="32"/>
          <w:szCs w:val="32"/>
          <w:highlight w:val="none"/>
          <w:lang w:val="en-US" w:eastAsia="zh-Hans" w:bidi="ar-SA"/>
        </w:rPr>
        <w:t>终身学习良好氛围</w:t>
      </w:r>
      <w:r>
        <w:rPr>
          <w:rFonts w:hint="default" w:ascii="Times New Roman" w:hAnsi="Times New Roman" w:eastAsia="仿宋_GB2312" w:cs="Times New Roman"/>
          <w:spacing w:val="-6"/>
          <w:kern w:val="2"/>
          <w:sz w:val="32"/>
          <w:szCs w:val="32"/>
          <w:highlight w:val="none"/>
          <w:lang w:eastAsia="zh-Hans" w:bidi="ar-SA"/>
        </w:rPr>
        <w:t>。</w:t>
      </w:r>
      <w:r>
        <w:rPr>
          <w:rFonts w:hint="default" w:ascii="Times New Roman" w:hAnsi="Times New Roman" w:eastAsia="仿宋_GB2312" w:cs="Times New Roman"/>
          <w:spacing w:val="-6"/>
          <w:kern w:val="2"/>
          <w:sz w:val="32"/>
          <w:szCs w:val="32"/>
          <w:highlight w:val="none"/>
          <w:lang w:eastAsia="zh-CN" w:bidi="ar-SA"/>
        </w:rPr>
        <w:t>推进社区教育阵地建设，组织开展太仓市级</w:t>
      </w:r>
      <w:r>
        <w:rPr>
          <w:rFonts w:hint="default" w:ascii="Times New Roman" w:hAnsi="Times New Roman" w:eastAsia="仿宋_GB2312" w:cs="Times New Roman"/>
          <w:spacing w:val="-6"/>
          <w:kern w:val="2"/>
          <w:sz w:val="32"/>
          <w:szCs w:val="32"/>
          <w:highlight w:val="none"/>
          <w:lang w:val="en-US" w:eastAsia="zh-CN" w:bidi="ar-SA"/>
        </w:rPr>
        <w:t>游学项目、学习苑申报工作</w:t>
      </w:r>
      <w:r>
        <w:rPr>
          <w:rFonts w:hint="default" w:ascii="Times New Roman" w:hAnsi="Times New Roman" w:eastAsia="仿宋_GB2312" w:cs="Times New Roman"/>
          <w:spacing w:val="-6"/>
          <w:kern w:val="2"/>
          <w:sz w:val="32"/>
          <w:szCs w:val="32"/>
          <w:highlight w:val="none"/>
          <w:lang w:eastAsia="zh-CN" w:bidi="ar-SA"/>
        </w:rPr>
        <w:t>。加强数字课程建设，利用属地中小学资源，加强社区教育课程资源建设。</w:t>
      </w:r>
      <w:r>
        <w:rPr>
          <w:rFonts w:hint="default" w:ascii="Times New Roman" w:hAnsi="Times New Roman" w:eastAsia="仿宋_GB2312" w:cs="Times New Roman"/>
          <w:spacing w:val="-6"/>
          <w:kern w:val="2"/>
          <w:sz w:val="32"/>
          <w:szCs w:val="32"/>
          <w:highlight w:val="none"/>
          <w:lang w:val="en-US" w:eastAsia="zh-CN" w:bidi="ar-SA"/>
        </w:rPr>
        <w:t>融合探索校外教育联合共建机制，搭建面向未来学习的校外优质项目和学习平台，丰富实践基地育人活动课程，促进青少年个性化、多元化发展。</w:t>
      </w:r>
    </w:p>
    <w:p w14:paraId="4A5C8007">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黑体" w:cs="Times New Roman"/>
          <w:spacing w:val="-6"/>
          <w:sz w:val="32"/>
          <w:szCs w:val="32"/>
          <w:lang w:val="en-US" w:eastAsia="zh-CN"/>
        </w:rPr>
      </w:pPr>
      <w:r>
        <w:rPr>
          <w:rFonts w:hint="default" w:ascii="Times New Roman" w:hAnsi="Times New Roman" w:eastAsia="黑体" w:cs="Times New Roman"/>
          <w:spacing w:val="-6"/>
          <w:sz w:val="32"/>
          <w:szCs w:val="32"/>
          <w:lang w:val="en-US" w:eastAsia="zh-CN"/>
        </w:rPr>
        <w:t>四、深化改革创新，激发教育事业发展生机活力</w:t>
      </w:r>
    </w:p>
    <w:p w14:paraId="42D8D558">
      <w:pPr>
        <w:keepNext w:val="0"/>
        <w:keepLines w:val="0"/>
        <w:pageBreakBefore w:val="0"/>
        <w:widowControl w:val="0"/>
        <w:kinsoku/>
        <w:wordWrap/>
        <w:overflowPunct/>
        <w:topLinePunct w:val="0"/>
        <w:bidi w:val="0"/>
        <w:adjustRightInd w:val="0"/>
        <w:snapToGrid w:val="0"/>
        <w:spacing w:line="560" w:lineRule="exact"/>
        <w:ind w:firstLine="616" w:firstLineChars="200"/>
        <w:textAlignment w:val="auto"/>
        <w:rPr>
          <w:rFonts w:hint="default" w:ascii="Times New Roman" w:hAnsi="Times New Roman" w:eastAsia="仿宋_GB2312" w:cs="Times New Roman"/>
          <w:color w:val="000000"/>
          <w:spacing w:val="-6"/>
          <w:sz w:val="32"/>
          <w:szCs w:val="32"/>
          <w:highlight w:val="green"/>
        </w:rPr>
      </w:pPr>
      <w:r>
        <w:rPr>
          <w:rFonts w:hint="default" w:ascii="Times New Roman" w:hAnsi="Times New Roman" w:eastAsia="楷体_GB2312" w:cs="Times New Roman"/>
          <w:b w:val="0"/>
          <w:bCs w:val="0"/>
          <w:color w:val="auto"/>
          <w:spacing w:val="-6"/>
          <w:kern w:val="2"/>
          <w:sz w:val="32"/>
          <w:szCs w:val="32"/>
          <w:highlight w:val="none"/>
          <w:lang w:val="en-US" w:eastAsia="zh-CN" w:bidi="ar-SA"/>
        </w:rPr>
        <w:t>（一）深化区域教育综合改革。</w:t>
      </w:r>
      <w:r>
        <w:rPr>
          <w:rFonts w:hint="default" w:ascii="Times New Roman" w:hAnsi="Times New Roman" w:eastAsia="仿宋_GB2312" w:cs="Times New Roman"/>
          <w:spacing w:val="-6"/>
          <w:kern w:val="2"/>
          <w:sz w:val="32"/>
          <w:szCs w:val="32"/>
          <w:lang w:val="en-US" w:eastAsia="zh-CN" w:bidi="ar-SA"/>
        </w:rPr>
        <w:t>持续擦亮“活力教育”品牌，打造“活力校园”“活力课堂”“活力教师”“活力学生”。创新国家课程区域实践路径，做好2025年度省、市级课程基地申报及视导工作，新增省、市内涵项目不少于8个。建立作业管理动态监管机制，打造“课内作业+体育锻炼+特色社团+一班一品”课后服务实施新路径，加强校外培训机构治理，持续巩固“双减”成果。有序开发区域学生发展指导资源，不断增加市级职业体验基地、生涯体验馆，办好“职来职往”—学生职业体验活动、“名师面对面”系列沙龙活动、“多元融合工作坊”和“彩虹人生”系列沙龙。</w:t>
      </w:r>
    </w:p>
    <w:p w14:paraId="2822F7AA">
      <w:pPr>
        <w:keepNext w:val="0"/>
        <w:keepLines w:val="0"/>
        <w:pageBreakBefore w:val="0"/>
        <w:widowControl w:val="0"/>
        <w:kinsoku/>
        <w:wordWrap/>
        <w:overflowPunct/>
        <w:topLinePunct w:val="0"/>
        <w:autoSpaceDE/>
        <w:autoSpaceDN/>
        <w:bidi w:val="0"/>
        <w:spacing w:line="560" w:lineRule="exact"/>
        <w:ind w:firstLine="616" w:firstLineChars="200"/>
        <w:textAlignment w:val="auto"/>
        <w:rPr>
          <w:rFonts w:hint="default" w:ascii="Times New Roman" w:hAnsi="Times New Roman" w:eastAsia="仿宋_GB2312" w:cs="Times New Roman"/>
          <w:color w:val="000000"/>
          <w:spacing w:val="-6"/>
          <w:sz w:val="32"/>
          <w:szCs w:val="32"/>
          <w:highlight w:val="none"/>
          <w:lang w:val="en-US" w:eastAsia="zh-CN"/>
        </w:rPr>
      </w:pPr>
      <w:r>
        <w:rPr>
          <w:rFonts w:hint="default" w:ascii="Times New Roman" w:hAnsi="Times New Roman" w:eastAsia="楷体_GB2312" w:cs="Times New Roman"/>
          <w:b w:val="0"/>
          <w:bCs w:val="0"/>
          <w:color w:val="auto"/>
          <w:spacing w:val="-6"/>
          <w:kern w:val="2"/>
          <w:sz w:val="32"/>
          <w:szCs w:val="32"/>
          <w:highlight w:val="none"/>
          <w:lang w:val="en-US" w:eastAsia="zh-CN" w:bidi="ar-SA"/>
        </w:rPr>
        <w:t>（二）打造集团化办学新模式。</w:t>
      </w:r>
      <w:r>
        <w:rPr>
          <w:rFonts w:hint="default" w:ascii="Times New Roman" w:hAnsi="Times New Roman" w:eastAsia="仿宋_GB2312" w:cs="Times New Roman"/>
          <w:color w:val="000000"/>
          <w:spacing w:val="-6"/>
          <w:sz w:val="32"/>
          <w:szCs w:val="32"/>
          <w:highlight w:val="none"/>
          <w:lang w:val="en-US" w:eastAsia="zh-CN"/>
        </w:rPr>
        <w:t>出台《关于进一步全面深化太仓市中小学和幼儿园教育集团化办学的实施方案》。加强新时代教育集团化办学新路径探索</w:t>
      </w:r>
      <w:r>
        <w:rPr>
          <w:rFonts w:hint="default" w:ascii="Times New Roman" w:hAnsi="Times New Roman" w:eastAsia="仿宋_GB2312" w:cs="Times New Roman"/>
          <w:color w:val="000000"/>
          <w:spacing w:val="-6"/>
          <w:sz w:val="32"/>
          <w:szCs w:val="32"/>
          <w:highlight w:val="none"/>
        </w:rPr>
        <w:t>，</w:t>
      </w:r>
      <w:r>
        <w:rPr>
          <w:rFonts w:hint="default" w:ascii="Times New Roman" w:hAnsi="Times New Roman" w:eastAsia="仿宋_GB2312" w:cs="Times New Roman"/>
          <w:color w:val="000000"/>
          <w:spacing w:val="-6"/>
          <w:sz w:val="32"/>
          <w:szCs w:val="32"/>
          <w:highlight w:val="none"/>
          <w:lang w:val="en-US" w:eastAsia="zh-CN"/>
        </w:rPr>
        <w:t>做好</w:t>
      </w:r>
      <w:r>
        <w:rPr>
          <w:rFonts w:hint="default" w:ascii="Times New Roman" w:hAnsi="Times New Roman" w:eastAsia="仿宋_GB2312" w:cs="Times New Roman"/>
          <w:color w:val="000000"/>
          <w:spacing w:val="-6"/>
          <w:sz w:val="32"/>
          <w:szCs w:val="32"/>
          <w:highlight w:val="none"/>
        </w:rPr>
        <w:t>“强强联合”“以强扶弱”“以强带新”“一校多区”等多种教育集团模式，推动学校间优势互补和发展互促，实现集团内各学校多样特色的协同发展。</w:t>
      </w:r>
      <w:r>
        <w:rPr>
          <w:rFonts w:hint="default" w:ascii="Times New Roman" w:hAnsi="Times New Roman" w:eastAsia="仿宋_GB2312" w:cs="Times New Roman"/>
          <w:color w:val="000000"/>
          <w:spacing w:val="-6"/>
          <w:sz w:val="32"/>
          <w:szCs w:val="32"/>
          <w:highlight w:val="none"/>
          <w:lang w:eastAsia="zh-CN"/>
        </w:rPr>
        <w:t>定期</w:t>
      </w:r>
      <w:r>
        <w:rPr>
          <w:rFonts w:hint="default" w:ascii="Times New Roman" w:hAnsi="Times New Roman" w:eastAsia="仿宋_GB2312" w:cs="Times New Roman"/>
          <w:color w:val="000000"/>
          <w:spacing w:val="-6"/>
          <w:sz w:val="32"/>
          <w:szCs w:val="32"/>
          <w:highlight w:val="none"/>
        </w:rPr>
        <w:t>组织集团化办学总结推进会</w:t>
      </w:r>
      <w:r>
        <w:rPr>
          <w:rFonts w:hint="default" w:ascii="Times New Roman" w:hAnsi="Times New Roman" w:eastAsia="仿宋_GB2312" w:cs="Times New Roman"/>
          <w:color w:val="000000"/>
          <w:spacing w:val="-6"/>
          <w:sz w:val="32"/>
          <w:szCs w:val="32"/>
          <w:highlight w:val="none"/>
          <w:lang w:eastAsia="zh-CN"/>
        </w:rPr>
        <w:t>。加强跨区域合作和资源共享，用好</w:t>
      </w:r>
      <w:r>
        <w:rPr>
          <w:rFonts w:hint="default" w:ascii="Times New Roman" w:hAnsi="Times New Roman" w:eastAsia="仿宋_GB2312" w:cs="Times New Roman"/>
          <w:b w:val="0"/>
          <w:bCs w:val="0"/>
          <w:color w:val="auto"/>
          <w:spacing w:val="-6"/>
          <w:kern w:val="2"/>
          <w:sz w:val="32"/>
          <w:szCs w:val="32"/>
          <w:highlight w:val="none"/>
          <w:lang w:val="en-US" w:eastAsia="zh-CN" w:bidi="ar-SA"/>
        </w:rPr>
        <w:t>通海实验、培远实验等优质资源，推进多样化、特色化优质教育。</w:t>
      </w:r>
      <w:r>
        <w:rPr>
          <w:rFonts w:hint="default" w:ascii="Times New Roman" w:hAnsi="Times New Roman" w:eastAsia="仿宋_GB2312" w:cs="Times New Roman"/>
          <w:color w:val="000000"/>
          <w:spacing w:val="-6"/>
          <w:sz w:val="32"/>
          <w:szCs w:val="32"/>
          <w:highlight w:val="none"/>
        </w:rPr>
        <w:t>深化“江浙沪”“嘉昆太”区域联盟合作，推进与西工大长三角研究院、上海等地优质学校的结对共建，实现优质教育资源的互联共享，提升区域教育发展水平</w:t>
      </w:r>
      <w:r>
        <w:rPr>
          <w:rFonts w:hint="default" w:ascii="Times New Roman" w:hAnsi="Times New Roman" w:eastAsia="仿宋_GB2312" w:cs="Times New Roman"/>
          <w:color w:val="000000"/>
          <w:spacing w:val="-6"/>
          <w:sz w:val="32"/>
          <w:szCs w:val="32"/>
          <w:highlight w:val="none"/>
          <w:lang w:val="en-US" w:eastAsia="zh-CN"/>
        </w:rPr>
        <w:t>。</w:t>
      </w:r>
    </w:p>
    <w:p w14:paraId="6F6EA29A">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cs="Times New Roman"/>
          <w:spacing w:val="-6"/>
          <w:sz w:val="32"/>
          <w:szCs w:val="32"/>
          <w:lang w:val="en-US" w:eastAsia="zh-CN"/>
        </w:rPr>
      </w:pPr>
      <w:r>
        <w:rPr>
          <w:rFonts w:hint="default" w:ascii="Times New Roman" w:hAnsi="Times New Roman" w:eastAsia="楷体_GB2312" w:cs="Times New Roman"/>
          <w:b w:val="0"/>
          <w:bCs w:val="0"/>
          <w:color w:val="auto"/>
          <w:spacing w:val="-6"/>
          <w:kern w:val="2"/>
          <w:sz w:val="32"/>
          <w:szCs w:val="32"/>
          <w:highlight w:val="none"/>
          <w:lang w:val="en-US" w:eastAsia="zh-CN" w:bidi="ar-SA"/>
        </w:rPr>
        <w:t>（三）探索教育评价改革路径。</w:t>
      </w:r>
      <w:r>
        <w:rPr>
          <w:rFonts w:hint="default" w:ascii="Times New Roman" w:hAnsi="Times New Roman" w:eastAsia="仿宋_GB2312" w:cs="Times New Roman"/>
          <w:spacing w:val="-6"/>
          <w:kern w:val="2"/>
          <w:sz w:val="32"/>
          <w:szCs w:val="32"/>
          <w:highlight w:val="none"/>
          <w:lang w:val="en-US" w:eastAsia="zh-CN" w:bidi="ar-SA"/>
        </w:rPr>
        <w:t>持续推进大数据支撑下的新时代学校办学质量评价改革，用好学校办学质量评价平台，</w:t>
      </w:r>
      <w:r>
        <w:rPr>
          <w:rFonts w:hint="default" w:ascii="Times New Roman" w:hAnsi="Times New Roman" w:eastAsia="仿宋_GB2312" w:cs="Times New Roman"/>
          <w:b w:val="0"/>
          <w:bCs w:val="0"/>
          <w:color w:val="auto"/>
          <w:spacing w:val="-6"/>
          <w:kern w:val="2"/>
          <w:sz w:val="32"/>
          <w:szCs w:val="32"/>
          <w:highlight w:val="none"/>
          <w:lang w:val="en-US" w:eastAsia="zh-CN" w:bidi="ar-SA"/>
        </w:rPr>
        <w:t>结合“学业质量”“特色课程建设”“家校协同满意度”等指标，</w:t>
      </w:r>
      <w:r>
        <w:rPr>
          <w:rFonts w:hint="default" w:ascii="Times New Roman" w:hAnsi="Times New Roman" w:eastAsia="仿宋_GB2312" w:cs="Times New Roman"/>
          <w:spacing w:val="-6"/>
          <w:kern w:val="2"/>
          <w:sz w:val="32"/>
          <w:szCs w:val="32"/>
          <w:highlight w:val="none"/>
          <w:lang w:val="en-US" w:eastAsia="zh-CN" w:bidi="ar-SA"/>
        </w:rPr>
        <w:t>优化评价导向，激发学校办学活力。依托省前瞻性项目“跨学科主题学习的课堂评价”，全面开展素养导向的教学设计、学科实践、大单元教学、作业设计、教学评一体化等方面的研究，助力课程改革。</w:t>
      </w:r>
      <w:r>
        <w:rPr>
          <w:rFonts w:hint="default" w:ascii="Times New Roman" w:hAnsi="Times New Roman" w:eastAsia="仿宋_GB2312" w:cs="Times New Roman"/>
          <w:b w:val="0"/>
          <w:bCs w:val="0"/>
          <w:color w:val="auto"/>
          <w:spacing w:val="-6"/>
          <w:kern w:val="2"/>
          <w:sz w:val="32"/>
          <w:szCs w:val="32"/>
          <w:highlight w:val="none"/>
          <w:lang w:val="en-US" w:eastAsia="zh-CN" w:bidi="ar-SA"/>
        </w:rPr>
        <w:t>深化学生综合素质评价，将学生品德发展、实践能力、心理健康等纳入评价体系，依托“太仓市学生成长大数据平台”，建立动态成长档案，推动评价从“结果导向”转向“过程追踪”。</w:t>
      </w:r>
    </w:p>
    <w:p w14:paraId="4D085F47">
      <w:pPr>
        <w:keepNext w:val="0"/>
        <w:keepLines w:val="0"/>
        <w:pageBreakBefore w:val="0"/>
        <w:widowControl w:val="0"/>
        <w:kinsoku/>
        <w:wordWrap/>
        <w:overflowPunct/>
        <w:topLinePunct w:val="0"/>
        <w:autoSpaceDE w:val="0"/>
        <w:autoSpaceDN w:val="0"/>
        <w:bidi w:val="0"/>
        <w:adjustRightInd/>
        <w:spacing w:line="560" w:lineRule="exact"/>
        <w:ind w:firstLine="616" w:firstLineChars="200"/>
        <w:jc w:val="both"/>
        <w:textAlignment w:val="auto"/>
        <w:rPr>
          <w:rFonts w:hint="default" w:ascii="Times New Roman" w:hAnsi="Times New Roman" w:eastAsia="楷体_GB2312" w:cs="Times New Roman"/>
          <w:b w:val="0"/>
          <w:bCs w:val="0"/>
          <w:color w:val="auto"/>
          <w:spacing w:val="-6"/>
          <w:kern w:val="2"/>
          <w:sz w:val="32"/>
          <w:szCs w:val="32"/>
          <w:highlight w:val="none"/>
          <w:lang w:val="en-US" w:eastAsia="zh-CN" w:bidi="ar-SA"/>
        </w:rPr>
      </w:pPr>
      <w:r>
        <w:rPr>
          <w:rFonts w:hint="default" w:ascii="Times New Roman" w:hAnsi="Times New Roman" w:eastAsia="楷体_GB2312" w:cs="Times New Roman"/>
          <w:b w:val="0"/>
          <w:bCs w:val="0"/>
          <w:color w:val="auto"/>
          <w:spacing w:val="-6"/>
          <w:kern w:val="2"/>
          <w:sz w:val="32"/>
          <w:szCs w:val="32"/>
          <w:highlight w:val="none"/>
          <w:lang w:val="en-US" w:eastAsia="zh-CN" w:bidi="ar-SA"/>
        </w:rPr>
        <w:t>（四）促进人工智能助力教育变革。</w:t>
      </w:r>
      <w:r>
        <w:rPr>
          <w:rFonts w:hint="default" w:ascii="Times New Roman" w:hAnsi="Times New Roman" w:eastAsia="仿宋_GB2312" w:cs="Times New Roman"/>
          <w:spacing w:val="-6"/>
          <w:kern w:val="2"/>
          <w:sz w:val="32"/>
          <w:szCs w:val="32"/>
          <w:lang w:val="en-US" w:eastAsia="zh-CN" w:bidi="ar-SA"/>
        </w:rPr>
        <w:t>推进信息技术与教育深度整合，计划建设“多元智慧教育学校”高中4所、初中10所、小学20所</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spacing w:val="-6"/>
          <w:sz w:val="32"/>
          <w:szCs w:val="32"/>
          <w:lang w:eastAsia="zh-CN"/>
        </w:rPr>
        <w:t>实施</w:t>
      </w:r>
      <w:r>
        <w:rPr>
          <w:rFonts w:hint="default" w:ascii="Times New Roman" w:hAnsi="Times New Roman" w:eastAsia="仿宋_GB2312" w:cs="Times New Roman"/>
          <w:spacing w:val="-6"/>
          <w:sz w:val="32"/>
          <w:szCs w:val="32"/>
        </w:rPr>
        <w:t>个性化“一校一案”</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规模化创设“智慧班”，全方位、深层次革新教学</w:t>
      </w:r>
      <w:r>
        <w:rPr>
          <w:rFonts w:hint="default" w:ascii="Times New Roman" w:hAnsi="Times New Roman" w:eastAsia="仿宋_GB2312" w:cs="Times New Roman"/>
          <w:spacing w:val="-6"/>
          <w:sz w:val="32"/>
          <w:szCs w:val="32"/>
          <w:lang w:eastAsia="zh-CN"/>
        </w:rPr>
        <w:t>样</w:t>
      </w:r>
      <w:r>
        <w:rPr>
          <w:rFonts w:hint="default" w:ascii="Times New Roman" w:hAnsi="Times New Roman" w:eastAsia="仿宋_GB2312" w:cs="Times New Roman"/>
          <w:spacing w:val="-6"/>
          <w:sz w:val="32"/>
          <w:szCs w:val="32"/>
        </w:rPr>
        <w:t>态</w:t>
      </w:r>
      <w:r>
        <w:rPr>
          <w:rFonts w:hint="default" w:ascii="Times New Roman" w:hAnsi="Times New Roman" w:eastAsia="仿宋_GB2312" w:cs="Times New Roman"/>
          <w:spacing w:val="-6"/>
          <w:kern w:val="2"/>
          <w:sz w:val="32"/>
          <w:szCs w:val="32"/>
          <w:lang w:val="en-US" w:eastAsia="zh-CN" w:bidi="ar-SA"/>
        </w:rPr>
        <w:t>。承办省市级智慧教学观摩研讨活动，打造百节示范样板课程，形成可</w:t>
      </w:r>
      <w:r>
        <w:rPr>
          <w:rFonts w:hint="default" w:ascii="Times New Roman" w:hAnsi="Times New Roman" w:eastAsia="仿宋_GB2312" w:cs="Times New Roman"/>
          <w:spacing w:val="-6"/>
          <w:sz w:val="32"/>
          <w:szCs w:val="32"/>
        </w:rPr>
        <w:t>复制、可推广</w:t>
      </w:r>
      <w:r>
        <w:rPr>
          <w:rFonts w:hint="default" w:ascii="Times New Roman" w:hAnsi="Times New Roman" w:eastAsia="仿宋_GB2312" w:cs="Times New Roman"/>
          <w:spacing w:val="-6"/>
          <w:sz w:val="32"/>
          <w:szCs w:val="32"/>
          <w:lang w:val="en-US" w:eastAsia="zh-CN"/>
        </w:rPr>
        <w:t>案例</w:t>
      </w:r>
      <w:r>
        <w:rPr>
          <w:rFonts w:hint="default" w:ascii="Times New Roman" w:hAnsi="Times New Roman" w:eastAsia="仿宋_GB2312" w:cs="Times New Roman"/>
          <w:spacing w:val="-6"/>
          <w:kern w:val="2"/>
          <w:sz w:val="32"/>
          <w:szCs w:val="32"/>
          <w:lang w:val="en-US" w:eastAsia="zh-CN" w:bidi="ar-SA"/>
        </w:rPr>
        <w:t>。全力构建学校“未来课堂”，围绕精准教学的“AI+青鹿智慧纸笔系统”和教育垂类准模型“晓羊智能</w:t>
      </w:r>
      <w:r>
        <w:rPr>
          <w:rFonts w:hint="default" w:ascii="Times New Roman" w:hAnsi="Times New Roman" w:eastAsia="仿宋_GB2312" w:cs="Times New Roman"/>
          <w:spacing w:val="-6"/>
          <w:sz w:val="32"/>
          <w:szCs w:val="32"/>
          <w:lang w:val="en-US" w:eastAsia="zh-CN"/>
        </w:rPr>
        <w:t>体”开展试点应用，推进“人工智能+教育”大模型探索，构建新一代人工智能教学领域融合应用新路径。</w:t>
      </w:r>
      <w:r>
        <w:rPr>
          <w:rFonts w:hint="default" w:ascii="Times New Roman" w:hAnsi="Times New Roman" w:eastAsia="仿宋_GB2312" w:cs="Times New Roman"/>
          <w:b w:val="0"/>
          <w:bCs w:val="0"/>
          <w:spacing w:val="-6"/>
          <w:sz w:val="32"/>
          <w:szCs w:val="32"/>
          <w:lang w:val="en-US" w:eastAsia="zh-CN"/>
        </w:rPr>
        <w:t>实施“多元智慧教师”培育工程，搭建教师专业成长平台，打造“多元智慧教研”系列活动，全方位提升教师数字素养、教学创</w:t>
      </w:r>
      <w:r>
        <w:rPr>
          <w:rFonts w:hint="default" w:ascii="Times New Roman" w:hAnsi="Times New Roman" w:eastAsia="仿宋_GB2312" w:cs="Times New Roman"/>
          <w:spacing w:val="-6"/>
          <w:sz w:val="32"/>
          <w:szCs w:val="32"/>
        </w:rPr>
        <w:t>新力、课程整合力。</w:t>
      </w:r>
      <w:r>
        <w:rPr>
          <w:rFonts w:hint="default" w:ascii="Times New Roman" w:hAnsi="Times New Roman" w:eastAsia="仿宋_GB2312" w:cs="Times New Roman"/>
          <w:spacing w:val="-6"/>
          <w:kern w:val="2"/>
          <w:sz w:val="32"/>
          <w:szCs w:val="32"/>
          <w:lang w:val="en-US" w:eastAsia="zh-CN" w:bidi="ar-SA"/>
        </w:rPr>
        <w:t>持续推进数字化平台优化升级工程，完善</w:t>
      </w:r>
      <w:r>
        <w:rPr>
          <w:rFonts w:hint="default" w:ascii="Times New Roman" w:hAnsi="Times New Roman" w:eastAsia="仿宋_GB2312" w:cs="Times New Roman"/>
          <w:spacing w:val="-6"/>
          <w:sz w:val="32"/>
          <w:szCs w:val="32"/>
        </w:rPr>
        <w:t>精准匹配资源、智能推送</w:t>
      </w:r>
      <w:r>
        <w:rPr>
          <w:rFonts w:hint="default" w:ascii="Times New Roman" w:hAnsi="Times New Roman" w:eastAsia="仿宋_GB2312" w:cs="Times New Roman"/>
          <w:spacing w:val="-6"/>
          <w:sz w:val="32"/>
          <w:szCs w:val="32"/>
          <w:lang w:eastAsia="zh-CN"/>
        </w:rPr>
        <w:t>等</w:t>
      </w:r>
      <w:r>
        <w:rPr>
          <w:rFonts w:hint="default" w:ascii="Times New Roman" w:hAnsi="Times New Roman" w:eastAsia="仿宋_GB2312" w:cs="Times New Roman"/>
          <w:spacing w:val="-6"/>
          <w:sz w:val="32"/>
          <w:szCs w:val="32"/>
        </w:rPr>
        <w:t>服务，</w:t>
      </w:r>
      <w:r>
        <w:rPr>
          <w:rFonts w:hint="default" w:ascii="Times New Roman" w:hAnsi="Times New Roman" w:eastAsia="仿宋_GB2312" w:cs="Times New Roman"/>
          <w:spacing w:val="-6"/>
          <w:sz w:val="32"/>
          <w:szCs w:val="32"/>
          <w:lang w:eastAsia="zh-CN"/>
        </w:rPr>
        <w:t>促进</w:t>
      </w:r>
      <w:r>
        <w:rPr>
          <w:rFonts w:hint="default" w:ascii="Times New Roman" w:hAnsi="Times New Roman" w:eastAsia="仿宋_GB2312" w:cs="Times New Roman"/>
          <w:spacing w:val="-6"/>
          <w:sz w:val="32"/>
          <w:szCs w:val="32"/>
        </w:rPr>
        <w:t>教育资源深度融合、高效流转</w:t>
      </w:r>
      <w:r>
        <w:rPr>
          <w:rFonts w:hint="default" w:ascii="Times New Roman" w:hAnsi="Times New Roman" w:eastAsia="仿宋_GB2312" w:cs="Times New Roman"/>
          <w:spacing w:val="-6"/>
          <w:kern w:val="2"/>
          <w:sz w:val="32"/>
          <w:szCs w:val="32"/>
          <w:lang w:val="en-US" w:eastAsia="zh-CN" w:bidi="ar-SA"/>
        </w:rPr>
        <w:t>。</w:t>
      </w:r>
    </w:p>
    <w:p w14:paraId="153CFC77">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黑体" w:cs="Times New Roman"/>
          <w:spacing w:val="-6"/>
          <w:sz w:val="32"/>
          <w:szCs w:val="32"/>
          <w:lang w:val="en-US" w:eastAsia="zh-CN"/>
        </w:rPr>
      </w:pPr>
      <w:r>
        <w:rPr>
          <w:rFonts w:hint="default" w:ascii="Times New Roman" w:hAnsi="Times New Roman" w:eastAsia="黑体" w:cs="Times New Roman"/>
          <w:spacing w:val="-6"/>
          <w:sz w:val="32"/>
          <w:szCs w:val="32"/>
          <w:lang w:val="en-US" w:eastAsia="zh-CN"/>
        </w:rPr>
        <w:t>五、落实教育优先，全力提升教育服务保障能力</w:t>
      </w:r>
    </w:p>
    <w:p w14:paraId="7190E0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仿宋_GB2312" w:cs="Times New Roman"/>
          <w:spacing w:val="-6"/>
          <w:kern w:val="2"/>
          <w:sz w:val="32"/>
          <w:szCs w:val="32"/>
          <w:lang w:val="en-US" w:eastAsia="zh-CN" w:bidi="ar-SA"/>
        </w:rPr>
      </w:pPr>
      <w:r>
        <w:rPr>
          <w:rFonts w:hint="default" w:ascii="Times New Roman" w:hAnsi="Times New Roman" w:eastAsia="楷体_GB2312" w:cs="Times New Roman"/>
          <w:b w:val="0"/>
          <w:bCs w:val="0"/>
          <w:color w:val="auto"/>
          <w:spacing w:val="-6"/>
          <w:sz w:val="32"/>
          <w:szCs w:val="32"/>
          <w:highlight w:val="none"/>
          <w:lang w:val="en-US" w:eastAsia="zh-CN"/>
        </w:rPr>
        <w:t>（一）加大优质教育资源供给。</w:t>
      </w:r>
      <w:r>
        <w:rPr>
          <w:rFonts w:hint="default" w:ascii="Times New Roman" w:hAnsi="Times New Roman" w:eastAsia="仿宋_GB2312" w:cs="Times New Roman"/>
          <w:b w:val="0"/>
          <w:bCs w:val="0"/>
          <w:color w:val="auto"/>
          <w:spacing w:val="-6"/>
          <w:sz w:val="32"/>
          <w:szCs w:val="32"/>
          <w:highlight w:val="none"/>
          <w:lang w:val="en-US" w:eastAsia="zh-CN"/>
        </w:rPr>
        <w:t>根据人口变化趋势，科学制定《太仓市“十五五”期间区镇新建改扩建中小学、幼儿园项目库》。全力推</w:t>
      </w:r>
      <w:r>
        <w:rPr>
          <w:rFonts w:hint="default" w:ascii="Times New Roman" w:hAnsi="Times New Roman" w:eastAsia="仿宋_GB2312" w:cs="Times New Roman"/>
          <w:spacing w:val="-6"/>
          <w:kern w:val="2"/>
          <w:sz w:val="32"/>
          <w:szCs w:val="32"/>
          <w:lang w:val="en-US" w:eastAsia="zh-CN" w:bidi="ar-SA"/>
        </w:rPr>
        <w:t>进2025年苏州、太仓两级政府实事项目，对照苏州高质量考核个性指标和区镇教育目标任务</w:t>
      </w:r>
      <w:r>
        <w:rPr>
          <w:rFonts w:hint="default" w:ascii="Times New Roman" w:hAnsi="Times New Roman" w:eastAsia="仿宋_GB2312" w:cs="Times New Roman"/>
          <w:b w:val="0"/>
          <w:bCs w:val="0"/>
          <w:color w:val="auto"/>
          <w:spacing w:val="-6"/>
          <w:sz w:val="32"/>
          <w:szCs w:val="32"/>
          <w:highlight w:val="none"/>
          <w:lang w:val="en-US" w:eastAsia="zh-CN"/>
        </w:rPr>
        <w:t>，计划竣工投用实验高级中学、上海路幼儿园等</w:t>
      </w:r>
      <w:r>
        <w:rPr>
          <w:rFonts w:hint="default" w:ascii="Times New Roman" w:hAnsi="Times New Roman" w:eastAsia="仿宋_GB2312" w:cs="Times New Roman"/>
          <w:b w:val="0"/>
          <w:bCs/>
          <w:spacing w:val="-6"/>
          <w:sz w:val="32"/>
          <w:szCs w:val="32"/>
          <w:highlight w:val="none"/>
          <w:lang w:val="en-US" w:eastAsia="zh-CN"/>
        </w:rPr>
        <w:t>5个</w:t>
      </w:r>
      <w:r>
        <w:rPr>
          <w:rFonts w:hint="default" w:ascii="Times New Roman" w:hAnsi="Times New Roman" w:eastAsia="仿宋_GB2312" w:cs="Times New Roman"/>
          <w:b w:val="0"/>
          <w:bCs w:val="0"/>
          <w:color w:val="auto"/>
          <w:spacing w:val="-6"/>
          <w:sz w:val="32"/>
          <w:szCs w:val="32"/>
          <w:highlight w:val="none"/>
          <w:lang w:val="en-US" w:eastAsia="zh-CN"/>
        </w:rPr>
        <w:t>项目，新增学位</w:t>
      </w:r>
      <w:r>
        <w:rPr>
          <w:rFonts w:hint="default" w:ascii="Times New Roman" w:hAnsi="Times New Roman" w:eastAsia="仿宋_GB2312" w:cs="Times New Roman"/>
          <w:b w:val="0"/>
          <w:bCs/>
          <w:spacing w:val="-6"/>
          <w:sz w:val="32"/>
          <w:szCs w:val="32"/>
          <w:highlight w:val="none"/>
          <w:lang w:val="en-US" w:eastAsia="zh-CN"/>
        </w:rPr>
        <w:t>9300</w:t>
      </w:r>
      <w:r>
        <w:rPr>
          <w:rFonts w:hint="default" w:ascii="Times New Roman" w:hAnsi="Times New Roman" w:eastAsia="仿宋_GB2312" w:cs="Times New Roman"/>
          <w:b w:val="0"/>
          <w:bCs w:val="0"/>
          <w:color w:val="auto"/>
          <w:spacing w:val="-6"/>
          <w:sz w:val="32"/>
          <w:szCs w:val="32"/>
          <w:highlight w:val="none"/>
          <w:lang w:val="en-US" w:eastAsia="zh-CN"/>
        </w:rPr>
        <w:t>个。深</w:t>
      </w:r>
      <w:r>
        <w:rPr>
          <w:rFonts w:hint="default" w:ascii="Times New Roman" w:hAnsi="Times New Roman" w:eastAsia="仿宋_GB2312" w:cs="Times New Roman"/>
          <w:spacing w:val="-6"/>
          <w:kern w:val="2"/>
          <w:sz w:val="32"/>
          <w:szCs w:val="32"/>
          <w:lang w:val="en-US" w:eastAsia="zh-CN" w:bidi="ar-SA"/>
        </w:rPr>
        <w:t>化国际理解教育，聚焦多元文化融合，</w:t>
      </w:r>
      <w:r>
        <w:rPr>
          <w:rFonts w:hint="default" w:ascii="Times New Roman" w:hAnsi="Times New Roman" w:eastAsia="仿宋_GB2312" w:cs="Times New Roman"/>
          <w:spacing w:val="-6"/>
          <w:sz w:val="32"/>
          <w:szCs w:val="32"/>
        </w:rPr>
        <w:t>持续搭建“师资研训”国际交流平台</w:t>
      </w:r>
      <w:r>
        <w:rPr>
          <w:rFonts w:hint="default" w:ascii="Times New Roman" w:hAnsi="Times New Roman" w:eastAsia="仿宋_GB2312" w:cs="Times New Roman"/>
          <w:spacing w:val="-6"/>
          <w:sz w:val="32"/>
          <w:szCs w:val="32"/>
          <w:lang w:eastAsia="zh-CN"/>
        </w:rPr>
        <w:t>，做好</w:t>
      </w:r>
      <w:r>
        <w:rPr>
          <w:rFonts w:hint="default" w:ascii="Times New Roman" w:hAnsi="Times New Roman" w:eastAsia="仿宋_GB2312" w:cs="Times New Roman"/>
          <w:spacing w:val="-6"/>
          <w:sz w:val="32"/>
          <w:szCs w:val="32"/>
        </w:rPr>
        <w:t>境外修学旅行</w:t>
      </w:r>
      <w:r>
        <w:rPr>
          <w:rFonts w:hint="default" w:ascii="Times New Roman" w:hAnsi="Times New Roman" w:eastAsia="仿宋_GB2312" w:cs="Times New Roman"/>
          <w:spacing w:val="-6"/>
          <w:sz w:val="32"/>
          <w:szCs w:val="32"/>
          <w:lang w:eastAsia="zh-CN"/>
        </w:rPr>
        <w:t>项目、</w:t>
      </w:r>
      <w:r>
        <w:rPr>
          <w:rFonts w:hint="default" w:ascii="Times New Roman" w:hAnsi="Times New Roman" w:eastAsia="仿宋_GB2312" w:cs="Times New Roman"/>
          <w:spacing w:val="-6"/>
          <w:sz w:val="32"/>
          <w:szCs w:val="32"/>
        </w:rPr>
        <w:t>高中国际合作项目</w:t>
      </w:r>
      <w:r>
        <w:rPr>
          <w:rFonts w:hint="default" w:ascii="Times New Roman" w:hAnsi="Times New Roman" w:eastAsia="仿宋_GB2312" w:cs="Times New Roman"/>
          <w:spacing w:val="-6"/>
          <w:sz w:val="32"/>
          <w:szCs w:val="32"/>
          <w:lang w:eastAsia="zh-CN"/>
        </w:rPr>
        <w:t>、境外友校来访交流工作</w:t>
      </w:r>
      <w:r>
        <w:rPr>
          <w:rFonts w:hint="default" w:ascii="Times New Roman" w:hAnsi="Times New Roman" w:eastAsia="仿宋_GB2312" w:cs="Times New Roman"/>
          <w:spacing w:val="-6"/>
          <w:kern w:val="2"/>
          <w:sz w:val="32"/>
          <w:szCs w:val="32"/>
          <w:lang w:val="en-US" w:eastAsia="zh-CN" w:bidi="ar-SA"/>
        </w:rPr>
        <w:t>。建立多学科联合的特殊教育质量调研机制，加强融合资源中心内涵建设，扩优融合教育师资，推动特殊教育优质融合发展。整合实验室建设与实验教学，组建小学科学自制教具工作室、初中生物实验工作组，促进教育装备管理提质增效。</w:t>
      </w:r>
    </w:p>
    <w:p w14:paraId="6B1545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仿宋_GB2312" w:cs="Times New Roman"/>
          <w:b w:val="0"/>
          <w:bCs/>
          <w:spacing w:val="-6"/>
          <w:sz w:val="32"/>
          <w:szCs w:val="32"/>
          <w:highlight w:val="none"/>
          <w:lang w:eastAsia="zh-CN"/>
        </w:rPr>
      </w:pPr>
      <w:r>
        <w:rPr>
          <w:rFonts w:hint="default" w:ascii="Times New Roman" w:hAnsi="Times New Roman" w:eastAsia="楷体_GB2312" w:cs="Times New Roman"/>
          <w:b w:val="0"/>
          <w:bCs w:val="0"/>
          <w:color w:val="auto"/>
          <w:spacing w:val="-6"/>
          <w:sz w:val="32"/>
          <w:szCs w:val="32"/>
          <w:highlight w:val="none"/>
          <w:lang w:val="en-US" w:eastAsia="zh-CN"/>
        </w:rPr>
        <w:t>（二）加快教育人才高地建设。</w:t>
      </w:r>
      <w:r>
        <w:rPr>
          <w:rFonts w:hint="default" w:ascii="Times New Roman" w:hAnsi="Times New Roman" w:eastAsia="仿宋_GB2312" w:cs="Times New Roman"/>
          <w:b w:val="0"/>
          <w:bCs/>
          <w:spacing w:val="-6"/>
          <w:sz w:val="32"/>
          <w:szCs w:val="32"/>
          <w:highlight w:val="none"/>
          <w:lang w:eastAsia="zh-CN"/>
        </w:rPr>
        <w:t>深入推进“县管校聘”管理改革，健全统筹师资配置机制，</w:t>
      </w:r>
      <w:r>
        <w:rPr>
          <w:rFonts w:hint="default" w:ascii="Times New Roman" w:hAnsi="Times New Roman" w:eastAsia="仿宋_GB2312" w:cs="Times New Roman"/>
          <w:spacing w:val="-6"/>
          <w:sz w:val="32"/>
          <w:szCs w:val="32"/>
          <w:highlight w:val="none"/>
          <w:lang w:val="en-US" w:eastAsia="zh-CN"/>
        </w:rPr>
        <w:t>探索“银龄教师讲学计划”，优化师资队伍结构</w:t>
      </w:r>
      <w:r>
        <w:rPr>
          <w:rFonts w:hint="default" w:ascii="Times New Roman" w:hAnsi="Times New Roman" w:eastAsia="仿宋_GB2312" w:cs="Times New Roman"/>
          <w:b w:val="0"/>
          <w:bCs/>
          <w:spacing w:val="-6"/>
          <w:sz w:val="32"/>
          <w:szCs w:val="32"/>
          <w:highlight w:val="none"/>
          <w:lang w:eastAsia="zh-CN"/>
        </w:rPr>
        <w:t>。</w:t>
      </w:r>
      <w:r>
        <w:rPr>
          <w:rFonts w:hint="default" w:ascii="Times New Roman" w:hAnsi="Times New Roman" w:eastAsia="仿宋_GB2312" w:cs="Times New Roman"/>
          <w:spacing w:val="-6"/>
          <w:sz w:val="32"/>
          <w:szCs w:val="32"/>
          <w:highlight w:val="none"/>
          <w:lang w:val="en-US" w:eastAsia="zh-CN"/>
        </w:rPr>
        <w:t>办好多层次结构化教师培训，提升教师专业素养。新</w:t>
      </w:r>
      <w:r>
        <w:rPr>
          <w:rFonts w:hint="default" w:ascii="Times New Roman" w:hAnsi="Times New Roman" w:eastAsia="仿宋_GB2312" w:cs="Times New Roman"/>
          <w:b w:val="0"/>
          <w:bCs/>
          <w:spacing w:val="-6"/>
          <w:sz w:val="32"/>
          <w:szCs w:val="32"/>
          <w:highlight w:val="none"/>
          <w:lang w:val="en-US" w:eastAsia="zh-CN"/>
        </w:rPr>
        <w:t>修订并出台《</w:t>
      </w:r>
      <w:r>
        <w:rPr>
          <w:rFonts w:hint="default" w:ascii="Times New Roman" w:hAnsi="Times New Roman" w:eastAsia="仿宋_GB2312" w:cs="Times New Roman"/>
          <w:b w:val="0"/>
          <w:bCs/>
          <w:spacing w:val="-6"/>
          <w:sz w:val="32"/>
          <w:szCs w:val="32"/>
          <w:highlight w:val="none"/>
          <w:lang w:eastAsia="zh-CN"/>
        </w:rPr>
        <w:t>太仓市教育人才计划实施办法</w:t>
      </w:r>
      <w:r>
        <w:rPr>
          <w:rFonts w:hint="default" w:ascii="Times New Roman" w:hAnsi="Times New Roman" w:eastAsia="仿宋_GB2312" w:cs="Times New Roman"/>
          <w:b w:val="0"/>
          <w:bCs/>
          <w:spacing w:val="-6"/>
          <w:sz w:val="32"/>
          <w:szCs w:val="32"/>
          <w:highlight w:val="none"/>
          <w:lang w:val="en-US" w:eastAsia="zh-CN"/>
        </w:rPr>
        <w:t>》，</w:t>
      </w:r>
      <w:r>
        <w:rPr>
          <w:rFonts w:hint="default" w:ascii="Times New Roman" w:hAnsi="Times New Roman" w:eastAsia="仿宋_GB2312" w:cs="Times New Roman"/>
          <w:b w:val="0"/>
          <w:bCs/>
          <w:spacing w:val="-6"/>
          <w:sz w:val="32"/>
          <w:szCs w:val="32"/>
          <w:highlight w:val="none"/>
          <w:lang w:eastAsia="zh-CN"/>
        </w:rPr>
        <w:t>发布</w:t>
      </w:r>
      <w:r>
        <w:rPr>
          <w:rFonts w:hint="default" w:ascii="Times New Roman" w:hAnsi="Times New Roman" w:eastAsia="仿宋_GB2312" w:cs="Times New Roman"/>
          <w:b w:val="0"/>
          <w:bCs/>
          <w:spacing w:val="-6"/>
          <w:sz w:val="32"/>
          <w:szCs w:val="32"/>
          <w:highlight w:val="none"/>
          <w:lang w:val="en-US" w:eastAsia="zh-CN"/>
        </w:rPr>
        <w:t>2025年</w:t>
      </w:r>
      <w:r>
        <w:rPr>
          <w:rFonts w:hint="default" w:ascii="Times New Roman" w:hAnsi="Times New Roman" w:eastAsia="仿宋_GB2312" w:cs="Times New Roman"/>
          <w:b w:val="0"/>
          <w:bCs/>
          <w:spacing w:val="-6"/>
          <w:sz w:val="32"/>
          <w:szCs w:val="32"/>
          <w:highlight w:val="none"/>
          <w:lang w:eastAsia="zh-CN"/>
        </w:rPr>
        <w:t>高层次人才引进简章，加大高层次教育人才引进力度，计划引进</w:t>
      </w:r>
      <w:r>
        <w:rPr>
          <w:rFonts w:hint="default" w:ascii="Times New Roman" w:hAnsi="Times New Roman" w:eastAsia="仿宋_GB2312" w:cs="Times New Roman"/>
          <w:b w:val="0"/>
          <w:bCs/>
          <w:spacing w:val="-6"/>
          <w:sz w:val="32"/>
          <w:szCs w:val="32"/>
          <w:highlight w:val="none"/>
          <w:lang w:val="en-US" w:eastAsia="zh-CN"/>
        </w:rPr>
        <w:t>高层次教育人才或骨干教师20人，柔性引进名校长、名教师2~3人</w:t>
      </w:r>
      <w:r>
        <w:rPr>
          <w:rFonts w:hint="default" w:ascii="Times New Roman" w:hAnsi="Times New Roman" w:eastAsia="仿宋_GB2312" w:cs="Times New Roman"/>
          <w:b w:val="0"/>
          <w:bCs/>
          <w:spacing w:val="-6"/>
          <w:sz w:val="32"/>
          <w:szCs w:val="32"/>
          <w:highlight w:val="none"/>
          <w:lang w:eastAsia="zh-CN"/>
        </w:rPr>
        <w:t>。</w:t>
      </w:r>
      <w:r>
        <w:rPr>
          <w:rFonts w:hint="default" w:ascii="Times New Roman" w:hAnsi="Times New Roman" w:eastAsia="仿宋_GB2312" w:cs="Times New Roman"/>
          <w:b w:val="0"/>
          <w:bCs/>
          <w:color w:val="000000" w:themeColor="text1"/>
          <w:spacing w:val="-6"/>
          <w:sz w:val="32"/>
          <w:szCs w:val="32"/>
          <w:highlight w:val="none"/>
          <w:lang w:val="en-US" w:eastAsia="zh-CN"/>
          <w14:textFill>
            <w14:solidFill>
              <w14:schemeClr w14:val="tx1"/>
            </w14:solidFill>
          </w14:textFill>
        </w:rPr>
        <w:t>全方位做好签约师范生和乡村定向师范生签约及跟踪培养工作。制定《2025年太仓市师德师风建设工作要点》，</w:t>
      </w:r>
      <w:r>
        <w:rPr>
          <w:rFonts w:hint="default" w:ascii="Times New Roman" w:hAnsi="Times New Roman" w:eastAsia="仿宋_GB2312" w:cs="Times New Roman"/>
          <w:b w:val="0"/>
          <w:bCs w:val="0"/>
          <w:color w:val="auto"/>
          <w:spacing w:val="-6"/>
          <w:sz w:val="32"/>
          <w:szCs w:val="32"/>
          <w:highlight w:val="none"/>
          <w:lang w:val="en-US" w:eastAsia="zh-CN"/>
        </w:rPr>
        <w:t>开展师德违规专项治理行动，</w:t>
      </w:r>
      <w:r>
        <w:rPr>
          <w:rFonts w:hint="default" w:ascii="Times New Roman" w:hAnsi="Times New Roman" w:eastAsia="仿宋_GB2312" w:cs="Times New Roman"/>
          <w:b w:val="0"/>
          <w:bCs/>
          <w:spacing w:val="-6"/>
          <w:sz w:val="32"/>
          <w:szCs w:val="32"/>
          <w:highlight w:val="none"/>
          <w:lang w:eastAsia="zh-CN"/>
        </w:rPr>
        <w:t>常态化推进师德培育涵养，</w:t>
      </w:r>
      <w:r>
        <w:rPr>
          <w:rFonts w:hint="default" w:ascii="Times New Roman" w:hAnsi="Times New Roman" w:eastAsia="仿宋_GB2312" w:cs="Times New Roman"/>
          <w:b w:val="0"/>
          <w:bCs/>
          <w:spacing w:val="-6"/>
          <w:sz w:val="32"/>
          <w:szCs w:val="32"/>
          <w:highlight w:val="none"/>
        </w:rPr>
        <w:t>以高水平师德建设助推</w:t>
      </w:r>
      <w:r>
        <w:rPr>
          <w:rFonts w:hint="default" w:ascii="Times New Roman" w:hAnsi="Times New Roman" w:eastAsia="仿宋_GB2312" w:cs="Times New Roman"/>
          <w:b w:val="0"/>
          <w:bCs/>
          <w:spacing w:val="-6"/>
          <w:sz w:val="32"/>
          <w:szCs w:val="32"/>
          <w:highlight w:val="none"/>
          <w:lang w:eastAsia="zh-CN"/>
        </w:rPr>
        <w:t>太仓</w:t>
      </w:r>
      <w:r>
        <w:rPr>
          <w:rFonts w:hint="default" w:ascii="Times New Roman" w:hAnsi="Times New Roman" w:eastAsia="仿宋_GB2312" w:cs="Times New Roman"/>
          <w:b w:val="0"/>
          <w:bCs/>
          <w:spacing w:val="-6"/>
          <w:sz w:val="32"/>
          <w:szCs w:val="32"/>
          <w:highlight w:val="none"/>
        </w:rPr>
        <w:t>教育高质量发展</w:t>
      </w:r>
      <w:r>
        <w:rPr>
          <w:rFonts w:hint="default" w:ascii="Times New Roman" w:hAnsi="Times New Roman" w:eastAsia="仿宋_GB2312" w:cs="Times New Roman"/>
          <w:b w:val="0"/>
          <w:bCs/>
          <w:spacing w:val="-6"/>
          <w:sz w:val="32"/>
          <w:szCs w:val="32"/>
          <w:highlight w:val="none"/>
          <w:lang w:eastAsia="zh-CN"/>
        </w:rPr>
        <w:t>。</w:t>
      </w:r>
    </w:p>
    <w:p w14:paraId="7024676A">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16" w:firstLineChars="200"/>
        <w:textAlignment w:val="auto"/>
        <w:rPr>
          <w:rFonts w:hint="default" w:ascii="Times New Roman" w:hAnsi="Times New Roman" w:eastAsia="仿宋_GB2312" w:cs="Times New Roman"/>
          <w:b w:val="0"/>
          <w:bCs w:val="0"/>
          <w:spacing w:val="-6"/>
          <w:kern w:val="2"/>
          <w:sz w:val="32"/>
          <w:szCs w:val="32"/>
          <w:lang w:val="en-US" w:eastAsia="zh-CN" w:bidi="ar-SA"/>
        </w:rPr>
      </w:pPr>
      <w:r>
        <w:rPr>
          <w:rFonts w:hint="default" w:ascii="Times New Roman" w:hAnsi="Times New Roman" w:eastAsia="楷体_GB2312" w:cs="Times New Roman"/>
          <w:b w:val="0"/>
          <w:bCs w:val="0"/>
          <w:color w:val="auto"/>
          <w:spacing w:val="-6"/>
          <w:kern w:val="2"/>
          <w:sz w:val="32"/>
          <w:szCs w:val="32"/>
          <w:highlight w:val="none"/>
          <w:lang w:val="en-US" w:eastAsia="zh-CN" w:bidi="ar-SA"/>
        </w:rPr>
        <w:t>（三）加强校园安全稳定工作。</w:t>
      </w:r>
      <w:r>
        <w:rPr>
          <w:rFonts w:hint="default" w:ascii="Times New Roman" w:hAnsi="Times New Roman" w:eastAsia="仿宋_GB2312" w:cs="Times New Roman"/>
          <w:b w:val="0"/>
          <w:bCs w:val="0"/>
          <w:spacing w:val="-6"/>
          <w:kern w:val="2"/>
          <w:sz w:val="32"/>
          <w:szCs w:val="32"/>
          <w:lang w:val="en-US" w:eastAsia="zh-CN" w:bidi="ar-SA"/>
        </w:rPr>
        <w:t>实施护校安园行动，深化校园安全“六化”建设工作，推动主要领导安全生产第一责任人制度走深走实，推动校园安全责任到人到岗。推进全市教育系统治本攻坚三年行动，健全校园安全日常巡查机制，强化“保安全护稳定”隐患排查，开展校园周边、消防、建筑安全专项整治。积极融入智慧校园建设，完善智慧安防校园和教育智防平台功能，积极构筑新形势下校园风险防控体系。深化“1530”安全教育机制，实施“小手拉大手”工程，综合化开展交通安全、防溺水、防欺凌、反诈骗等安全教育。强化“应急疏散演练示范校”建设，推进应急疏散演练规范化、可复制，提升师生自护自救能力。加强食堂全流程监管，提升“校园餐”营养水平与餐食质量，守护校园“舌尖安全”。</w:t>
      </w:r>
    </w:p>
    <w:p w14:paraId="5A3D7205">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16" w:firstLineChars="200"/>
        <w:textAlignment w:val="auto"/>
        <w:rPr>
          <w:rFonts w:hint="default" w:ascii="Times New Roman" w:hAnsi="Times New Roman" w:cs="Times New Roman"/>
          <w:spacing w:val="-6"/>
          <w:sz w:val="32"/>
          <w:szCs w:val="32"/>
          <w:highlight w:val="green"/>
          <w:lang w:val="en-US" w:eastAsia="zh-CN"/>
        </w:rPr>
      </w:pPr>
      <w:r>
        <w:rPr>
          <w:rFonts w:hint="default" w:ascii="Times New Roman" w:hAnsi="Times New Roman" w:eastAsia="楷体_GB2312" w:cs="Times New Roman"/>
          <w:b w:val="0"/>
          <w:bCs w:val="0"/>
          <w:color w:val="auto"/>
          <w:spacing w:val="-6"/>
          <w:kern w:val="2"/>
          <w:sz w:val="32"/>
          <w:szCs w:val="32"/>
          <w:highlight w:val="none"/>
          <w:lang w:val="en-US" w:eastAsia="zh-CN" w:bidi="ar-SA"/>
        </w:rPr>
        <w:t>（四）加速健全教育保障体系。</w:t>
      </w:r>
      <w:r>
        <w:rPr>
          <w:rFonts w:hint="default" w:ascii="Times New Roman" w:hAnsi="Times New Roman" w:eastAsia="仿宋_GB2312" w:cs="Times New Roman"/>
          <w:b w:val="0"/>
          <w:bCs w:val="0"/>
          <w:spacing w:val="-6"/>
          <w:kern w:val="2"/>
          <w:sz w:val="32"/>
          <w:szCs w:val="32"/>
          <w:lang w:val="en-US" w:eastAsia="zh-CN" w:bidi="ar-SA"/>
        </w:rPr>
        <w:t>擦亮“法润成长·放飞梦想”普法品牌，融合社会实践活动与游学活动，拓宽沉浸式普法教育路径，打造“理论教育+基地展示+活动体验”法治教育模式。做好舆情信息研判及接访化解处置工作。优化教育质量监测评价，科学运用监测数据，助力学校优化效能和高质量发展。高质量完成各级各类教育质量监测工作，不断提升教育教学质量。完善教育督导体制机制，落实政府履行教育职责机制，加强督导结果运用。</w:t>
      </w:r>
      <w:r>
        <w:rPr>
          <w:rFonts w:hint="default" w:ascii="Times New Roman" w:hAnsi="Times New Roman" w:eastAsia="仿宋_GB2312" w:cs="Times New Roman"/>
          <w:b w:val="0"/>
          <w:bCs w:val="0"/>
          <w:spacing w:val="-6"/>
          <w:kern w:val="2"/>
          <w:sz w:val="32"/>
          <w:szCs w:val="32"/>
          <w:lang w:val="en-US" w:eastAsia="zh-Hans" w:bidi="ar-SA"/>
        </w:rPr>
        <w:t>构建平安招考协同机制</w:t>
      </w:r>
      <w:r>
        <w:rPr>
          <w:rFonts w:hint="default" w:ascii="Times New Roman" w:hAnsi="Times New Roman" w:eastAsia="仿宋_GB2312" w:cs="Times New Roman"/>
          <w:b w:val="0"/>
          <w:bCs w:val="0"/>
          <w:spacing w:val="-6"/>
          <w:kern w:val="2"/>
          <w:sz w:val="32"/>
          <w:szCs w:val="32"/>
          <w:lang w:eastAsia="zh-Hans" w:bidi="ar-SA"/>
        </w:rPr>
        <w:t>，</w:t>
      </w:r>
      <w:r>
        <w:rPr>
          <w:rFonts w:hint="default" w:ascii="Times New Roman" w:hAnsi="Times New Roman" w:eastAsia="仿宋_GB2312" w:cs="Times New Roman"/>
          <w:b w:val="0"/>
          <w:bCs w:val="0"/>
          <w:spacing w:val="-6"/>
          <w:kern w:val="2"/>
          <w:sz w:val="32"/>
          <w:szCs w:val="32"/>
          <w:lang w:val="en-US" w:eastAsia="zh-Hans" w:bidi="ar-SA"/>
        </w:rPr>
        <w:t>做好标准化考点升级维护工作</w:t>
      </w:r>
      <w:r>
        <w:rPr>
          <w:rFonts w:hint="default" w:ascii="Times New Roman" w:hAnsi="Times New Roman" w:eastAsia="仿宋_GB2312" w:cs="Times New Roman"/>
          <w:b w:val="0"/>
          <w:bCs w:val="0"/>
          <w:spacing w:val="-6"/>
          <w:kern w:val="2"/>
          <w:sz w:val="32"/>
          <w:szCs w:val="32"/>
          <w:lang w:eastAsia="zh-Hans" w:bidi="ar-SA"/>
        </w:rPr>
        <w:t>，</w:t>
      </w:r>
      <w:r>
        <w:rPr>
          <w:rFonts w:hint="default" w:ascii="Times New Roman" w:hAnsi="Times New Roman" w:eastAsia="仿宋_GB2312" w:cs="Times New Roman"/>
          <w:b w:val="0"/>
          <w:bCs w:val="0"/>
          <w:spacing w:val="-6"/>
          <w:kern w:val="2"/>
          <w:sz w:val="32"/>
          <w:szCs w:val="32"/>
          <w:lang w:val="en-US" w:eastAsia="zh-Hans" w:bidi="ar-SA"/>
        </w:rPr>
        <w:t>规范组考流程</w:t>
      </w:r>
      <w:r>
        <w:rPr>
          <w:rFonts w:hint="default" w:ascii="Times New Roman" w:hAnsi="Times New Roman" w:eastAsia="仿宋_GB2312" w:cs="Times New Roman"/>
          <w:b w:val="0"/>
          <w:bCs w:val="0"/>
          <w:spacing w:val="-6"/>
          <w:kern w:val="2"/>
          <w:sz w:val="32"/>
          <w:szCs w:val="32"/>
          <w:lang w:eastAsia="zh-Hans" w:bidi="ar-SA"/>
        </w:rPr>
        <w:t>，</w:t>
      </w:r>
      <w:r>
        <w:rPr>
          <w:rFonts w:hint="default" w:ascii="Times New Roman" w:hAnsi="Times New Roman" w:eastAsia="仿宋_GB2312" w:cs="Times New Roman"/>
          <w:b w:val="0"/>
          <w:bCs w:val="0"/>
          <w:spacing w:val="-6"/>
          <w:kern w:val="2"/>
          <w:sz w:val="32"/>
          <w:szCs w:val="32"/>
          <w:lang w:val="en-US" w:eastAsia="zh-Hans" w:bidi="ar-SA"/>
        </w:rPr>
        <w:t>筑牢考试安全防线</w:t>
      </w:r>
      <w:r>
        <w:rPr>
          <w:rFonts w:hint="default" w:ascii="Times New Roman" w:hAnsi="Times New Roman" w:eastAsia="仿宋_GB2312" w:cs="Times New Roman"/>
          <w:b w:val="0"/>
          <w:bCs w:val="0"/>
          <w:spacing w:val="-6"/>
          <w:kern w:val="2"/>
          <w:sz w:val="32"/>
          <w:szCs w:val="32"/>
          <w:lang w:eastAsia="zh-Hans" w:bidi="ar-SA"/>
        </w:rPr>
        <w:t>。</w:t>
      </w:r>
      <w:r>
        <w:rPr>
          <w:rFonts w:hint="default" w:ascii="Times New Roman" w:hAnsi="Times New Roman" w:eastAsia="仿宋_GB2312" w:cs="Times New Roman"/>
          <w:b w:val="0"/>
          <w:bCs w:val="0"/>
          <w:spacing w:val="-6"/>
          <w:kern w:val="2"/>
          <w:sz w:val="32"/>
          <w:szCs w:val="32"/>
          <w:lang w:eastAsia="zh-CN" w:bidi="ar-SA"/>
        </w:rPr>
        <w:t>强化保障型资助稳步发展，推动发展型资助见真见效，筹划建立学生应急资助制度，提升资助育人水平。</w:t>
      </w:r>
      <w:r>
        <w:rPr>
          <w:rFonts w:hint="default" w:ascii="Times New Roman" w:hAnsi="Times New Roman" w:eastAsia="仿宋_GB2312" w:cs="Times New Roman"/>
          <w:b w:val="0"/>
          <w:bCs w:val="0"/>
          <w:spacing w:val="-6"/>
          <w:kern w:val="2"/>
          <w:sz w:val="32"/>
          <w:szCs w:val="32"/>
          <w:lang w:val="en-US" w:eastAsia="zh-CN" w:bidi="ar-SA"/>
        </w:rPr>
        <w:t>聚焦中华优秀传统文化传承弘扬，做好语言文字高质量推广普及工作。</w:t>
      </w:r>
    </w:p>
    <w:sectPr>
      <w:footerReference r:id="rId3" w:type="default"/>
      <w:pgSz w:w="11906" w:h="16838"/>
      <w:pgMar w:top="1814" w:right="1531" w:bottom="1984" w:left="1531"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92FF1746-FFC9-4F92-A6B4-19088FE6E5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2D56BB20-1CA7-43FB-A3AC-3645A7BBB32A}"/>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1F22F45C-ECB5-4AEA-AAD9-A609D2B360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8871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7B7E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57B7E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72002"/>
    <w:rsid w:val="020B7AD1"/>
    <w:rsid w:val="04F142A7"/>
    <w:rsid w:val="079165CC"/>
    <w:rsid w:val="09F63855"/>
    <w:rsid w:val="0BFF4F53"/>
    <w:rsid w:val="0CA743A3"/>
    <w:rsid w:val="0F7F5F4D"/>
    <w:rsid w:val="118C2E25"/>
    <w:rsid w:val="1247567D"/>
    <w:rsid w:val="12E31190"/>
    <w:rsid w:val="14537132"/>
    <w:rsid w:val="15262B73"/>
    <w:rsid w:val="169E0860"/>
    <w:rsid w:val="171028F6"/>
    <w:rsid w:val="190B174C"/>
    <w:rsid w:val="1A6665A7"/>
    <w:rsid w:val="1F96727C"/>
    <w:rsid w:val="1FF0532A"/>
    <w:rsid w:val="213450CD"/>
    <w:rsid w:val="23744F1A"/>
    <w:rsid w:val="24734561"/>
    <w:rsid w:val="24B60624"/>
    <w:rsid w:val="252C5346"/>
    <w:rsid w:val="2669123E"/>
    <w:rsid w:val="26B64928"/>
    <w:rsid w:val="272A0576"/>
    <w:rsid w:val="289D18F9"/>
    <w:rsid w:val="298C16D7"/>
    <w:rsid w:val="2B420EE4"/>
    <w:rsid w:val="2C906780"/>
    <w:rsid w:val="2D1139FF"/>
    <w:rsid w:val="2D15059D"/>
    <w:rsid w:val="2E2F17EB"/>
    <w:rsid w:val="2EDC3653"/>
    <w:rsid w:val="2F2A72A2"/>
    <w:rsid w:val="2F49398C"/>
    <w:rsid w:val="2FEB217C"/>
    <w:rsid w:val="30610AD2"/>
    <w:rsid w:val="30B12C53"/>
    <w:rsid w:val="31774223"/>
    <w:rsid w:val="358D6A87"/>
    <w:rsid w:val="35D72002"/>
    <w:rsid w:val="36AD4D59"/>
    <w:rsid w:val="37427C4A"/>
    <w:rsid w:val="396334E8"/>
    <w:rsid w:val="3A726D54"/>
    <w:rsid w:val="3B036CFD"/>
    <w:rsid w:val="3C4A1B4E"/>
    <w:rsid w:val="3D3A5660"/>
    <w:rsid w:val="3ED74B5E"/>
    <w:rsid w:val="3FAA7608"/>
    <w:rsid w:val="4079596E"/>
    <w:rsid w:val="43FF15AC"/>
    <w:rsid w:val="448D1B67"/>
    <w:rsid w:val="4655267D"/>
    <w:rsid w:val="46E3521A"/>
    <w:rsid w:val="50CC67BB"/>
    <w:rsid w:val="511F64FB"/>
    <w:rsid w:val="521E03EC"/>
    <w:rsid w:val="53041573"/>
    <w:rsid w:val="57BB6726"/>
    <w:rsid w:val="5BB35778"/>
    <w:rsid w:val="5D9D3D9F"/>
    <w:rsid w:val="5E0B5B0F"/>
    <w:rsid w:val="5E81586B"/>
    <w:rsid w:val="6113373C"/>
    <w:rsid w:val="656E5B71"/>
    <w:rsid w:val="66D86922"/>
    <w:rsid w:val="695E59EF"/>
    <w:rsid w:val="6A2F40E2"/>
    <w:rsid w:val="6B6E7293"/>
    <w:rsid w:val="6B730597"/>
    <w:rsid w:val="6B9145AA"/>
    <w:rsid w:val="6E756C28"/>
    <w:rsid w:val="6F1A0980"/>
    <w:rsid w:val="6F7B6582"/>
    <w:rsid w:val="6FC65793"/>
    <w:rsid w:val="6FEF50D9"/>
    <w:rsid w:val="72897532"/>
    <w:rsid w:val="77335475"/>
    <w:rsid w:val="77A70C24"/>
    <w:rsid w:val="7AE1224B"/>
    <w:rsid w:val="7BEF6CB9"/>
    <w:rsid w:val="7EB70869"/>
    <w:rsid w:val="BDDB23BA"/>
    <w:rsid w:val="BF9F5EAD"/>
    <w:rsid w:val="E6BDA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14"/>
    <w:unhideWhenUsed/>
    <w:qFormat/>
    <w:uiPriority w:val="0"/>
    <w:pPr>
      <w:keepNext w:val="0"/>
      <w:keepLines w:val="0"/>
      <w:adjustRightInd w:val="0"/>
      <w:snapToGrid w:val="0"/>
      <w:spacing w:beforeLines="0" w:beforeAutospacing="0" w:afterLines="0" w:afterAutospacing="0" w:line="560" w:lineRule="exact"/>
      <w:ind w:firstLine="420" w:firstLineChars="200"/>
      <w:outlineLvl w:val="2"/>
    </w:pPr>
    <w:rPr>
      <w:rFonts w:ascii="Times New Roman" w:hAnsi="Times New Roman" w:eastAsia="仿宋_GB2312"/>
      <w:b/>
      <w:spacing w:val="-6"/>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6">
    <w:name w:val="Body Text"/>
    <w:basedOn w:val="1"/>
    <w:qFormat/>
    <w:uiPriority w:val="0"/>
    <w:pPr>
      <w:spacing w:after="120" w:line="360" w:lineRule="auto"/>
    </w:pPr>
  </w:style>
  <w:style w:type="paragraph" w:styleId="7">
    <w:name w:val="footer"/>
    <w:basedOn w:val="1"/>
    <w:unhideWhenUsed/>
    <w:qFormat/>
    <w:uiPriority w:val="99"/>
    <w:pPr>
      <w:tabs>
        <w:tab w:val="center" w:pos="4153"/>
        <w:tab w:val="right" w:pos="8306"/>
      </w:tabs>
      <w:autoSpaceDE/>
      <w:autoSpaceDN/>
      <w:snapToGrid w:val="0"/>
    </w:pPr>
    <w:rPr>
      <w:rFonts w:ascii="等线" w:hAnsi="等线" w:eastAsia="等线" w:cs="Times New Roman"/>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w:basedOn w:val="6"/>
    <w:qFormat/>
    <w:uiPriority w:val="0"/>
    <w:pPr>
      <w:adjustRightInd w:val="0"/>
      <w:snapToGrid w:val="0"/>
      <w:spacing w:after="0" w:line="500" w:lineRule="exact"/>
      <w:ind w:firstLine="420" w:firstLineChars="100"/>
    </w:pPr>
    <w:rPr>
      <w:rFonts w:ascii="Times New Roman" w:hAnsi="Times New Roman" w:eastAsia="仿宋"/>
      <w:b/>
      <w:bCs/>
      <w:sz w:val="30"/>
    </w:rPr>
  </w:style>
  <w:style w:type="character" w:styleId="13">
    <w:name w:val="Strong"/>
    <w:basedOn w:val="12"/>
    <w:qFormat/>
    <w:uiPriority w:val="0"/>
    <w:rPr>
      <w:b/>
    </w:rPr>
  </w:style>
  <w:style w:type="character" w:customStyle="1" w:styleId="14">
    <w:name w:val="标题 3 Char"/>
    <w:link w:val="5"/>
    <w:qFormat/>
    <w:uiPriority w:val="0"/>
    <w:rPr>
      <w:rFonts w:ascii="Times New Roman" w:hAnsi="Times New Roman" w:eastAsia="仿宋_GB2312"/>
      <w:b/>
      <w:spacing w:val="-6"/>
      <w:sz w:val="32"/>
      <w:szCs w:val="32"/>
    </w:rPr>
  </w:style>
  <w:style w:type="paragraph" w:customStyle="1" w:styleId="15">
    <w:name w:val="主题词"/>
    <w:basedOn w:val="1"/>
    <w:qFormat/>
    <w:uiPriority w:val="0"/>
    <w:pPr>
      <w:autoSpaceDE w:val="0"/>
      <w:autoSpaceDN w:val="0"/>
      <w:adjustRightInd w:val="0"/>
      <w:spacing w:line="240" w:lineRule="atLeast"/>
      <w:jc w:val="left"/>
    </w:pPr>
    <w:rPr>
      <w:rFonts w:ascii="宋体"/>
      <w:b/>
      <w:snapToGrid w:val="0"/>
      <w:kern w:val="0"/>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5933</Words>
  <Characters>6045</Characters>
  <Lines>0</Lines>
  <Paragraphs>0</Paragraphs>
  <TotalTime>0</TotalTime>
  <ScaleCrop>false</ScaleCrop>
  <LinksUpToDate>false</LinksUpToDate>
  <CharactersWithSpaces>6120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2024-11-13T08:29:00Z</dcterms:created>
  <dc:creator>cindy</dc:creator>
  <cp:lastModifiedBy>Administrator</cp:lastModifiedBy>
  <cp:lastPrinted>2025-02-10T05:03:00Z</cp:lastPrinted>
  <dcterms:modified xsi:type="dcterms:W3CDTF">2025-02-10T08:59:57Z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BE5B37D790CC41F2A9AA65BC5C7679B4_13</vt:lpwstr>
  </property>
  <property fmtid="{D5CDD505-2E9C-101B-9397-08002B2CF9AE}" pid="4" name="KSOTemplateDocerSaveRecord">
    <vt:lpwstr>eyJoZGlkIjoiZWVmYzkzZDE5NjYwZmQ1MWExMDI1NDkzZDYxOTU2ZWYifQ==</vt:lpwstr>
  </property>
</Properties>
</file>