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EFAE">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关于印发《2024年度教育工作总结》的通知</w:t>
      </w:r>
    </w:p>
    <w:p w14:paraId="2BCC208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p>
    <w:p w14:paraId="12A1309D">
      <w:pPr>
        <w:keepNext w:val="0"/>
        <w:keepLines w:val="0"/>
        <w:pageBreakBefore w:val="0"/>
        <w:widowControl w:val="0"/>
        <w:kinsoku/>
        <w:wordWrap/>
        <w:topLinePunct w:val="0"/>
        <w:bidi w:val="0"/>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太教〔202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2</w:t>
      </w:r>
      <w:r>
        <w:rPr>
          <w:rFonts w:hint="default" w:ascii="Times New Roman" w:hAnsi="Times New Roman" w:eastAsia="仿宋_GB2312" w:cs="Times New Roman"/>
          <w:sz w:val="32"/>
        </w:rPr>
        <w:t>号</w:t>
      </w:r>
    </w:p>
    <w:p w14:paraId="4CD4440C">
      <w:pPr>
        <w:keepNext w:val="0"/>
        <w:keepLines w:val="0"/>
        <w:pageBreakBefore w:val="0"/>
        <w:widowControl w:val="0"/>
        <w:kinsoku/>
        <w:wordWrap/>
        <w:topLinePunct w:val="0"/>
        <w:bidi w:val="0"/>
        <w:spacing w:line="300" w:lineRule="exact"/>
        <w:textAlignment w:val="auto"/>
        <w:rPr>
          <w:rFonts w:hint="default" w:ascii="Times New Roman" w:hAnsi="Times New Roman" w:cs="Times New Roman"/>
        </w:rPr>
      </w:pPr>
    </w:p>
    <w:p w14:paraId="159472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各镇</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区</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社会事业办，各中小学、幼教中心及有关单位:</w:t>
      </w:r>
    </w:p>
    <w:p w14:paraId="4BD49EB5">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现将《2024年度教育工作总结》印发给你们，请认真学习，总结经验，正视不足，结合实际，推动2025年工作再上新台阶。</w:t>
      </w:r>
    </w:p>
    <w:p w14:paraId="4EACFFE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color w:val="auto"/>
          <w:spacing w:val="-6"/>
          <w:sz w:val="32"/>
          <w:szCs w:val="32"/>
          <w:lang w:val="en-US" w:eastAsia="zh-CN"/>
        </w:rPr>
      </w:pPr>
    </w:p>
    <w:p w14:paraId="0DF6B9A8">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left"/>
        <w:textAlignment w:val="auto"/>
        <w:rPr>
          <w:rFonts w:hint="default" w:ascii="Times New Roman" w:hAnsi="Times New Roman" w:eastAsia="仿宋_GB2312" w:cs="Times New Roman"/>
          <w:color w:val="auto"/>
          <w:spacing w:val="-6"/>
          <w:sz w:val="32"/>
          <w:szCs w:val="32"/>
          <w:lang w:val="en-US" w:eastAsia="zh-CN"/>
        </w:rPr>
      </w:pPr>
    </w:p>
    <w:p w14:paraId="17DCFA5C">
      <w:pPr>
        <w:pStyle w:val="2"/>
        <w:rPr>
          <w:rFonts w:hint="default"/>
          <w:lang w:val="en-US" w:eastAsia="zh-CN"/>
        </w:rPr>
      </w:pPr>
    </w:p>
    <w:p w14:paraId="54C53BD8">
      <w:pPr>
        <w:keepNext w:val="0"/>
        <w:keepLines w:val="0"/>
        <w:pageBreakBefore w:val="0"/>
        <w:widowControl w:val="0"/>
        <w:kinsoku/>
        <w:wordWrap/>
        <w:overflowPunct/>
        <w:topLinePunct w:val="0"/>
        <w:autoSpaceDE/>
        <w:autoSpaceDN/>
        <w:bidi w:val="0"/>
        <w:adjustRightInd/>
        <w:snapToGrid/>
        <w:spacing w:line="560" w:lineRule="exact"/>
        <w:ind w:firstLine="5852" w:firstLineChars="19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太仓市教育局</w:t>
      </w:r>
    </w:p>
    <w:p w14:paraId="24C9EE14">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center"/>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 xml:space="preserve">                       </w:t>
      </w:r>
      <w:r>
        <w:rPr>
          <w:rFonts w:hint="eastAsia"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pacing w:val="-6"/>
          <w:sz w:val="32"/>
          <w:szCs w:val="32"/>
          <w:lang w:val="en-US" w:eastAsia="zh-CN"/>
        </w:rPr>
        <w:t xml:space="preserve"> 2025年2月7日</w:t>
      </w:r>
    </w:p>
    <w:p w14:paraId="0B311618">
      <w:pPr>
        <w:keepNext w:val="0"/>
        <w:keepLines w:val="0"/>
        <w:pageBreakBefore w:val="0"/>
        <w:widowControl w:val="0"/>
        <w:kinsoku/>
        <w:wordWrap/>
        <w:overflowPunct/>
        <w:topLinePunct w:val="0"/>
        <w:bidi w:val="0"/>
        <w:adjustRightInd/>
        <w:snapToGrid/>
        <w:spacing w:line="560" w:lineRule="exact"/>
        <w:ind w:left="0" w:leftChars="0" w:right="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（此件</w:t>
      </w:r>
      <w:r>
        <w:rPr>
          <w:rFonts w:hint="default" w:ascii="Times New Roman" w:hAnsi="Times New Roman" w:eastAsia="仿宋_GB2312" w:cs="Times New Roman"/>
          <w:spacing w:val="-6"/>
          <w:sz w:val="32"/>
          <w:szCs w:val="32"/>
          <w:lang w:eastAsia="zh-CN"/>
        </w:rPr>
        <w:t>公开发布</w:t>
      </w:r>
      <w:r>
        <w:rPr>
          <w:rFonts w:hint="default" w:ascii="Times New Roman" w:hAnsi="Times New Roman" w:eastAsia="仿宋_GB2312" w:cs="Times New Roman"/>
          <w:spacing w:val="-6"/>
          <w:sz w:val="32"/>
          <w:szCs w:val="32"/>
        </w:rPr>
        <w:t>）</w:t>
      </w:r>
    </w:p>
    <w:p w14:paraId="0486565F">
      <w:pPr>
        <w:keepNext w:val="0"/>
        <w:keepLines w:val="0"/>
        <w:pageBreakBefore w:val="0"/>
        <w:widowControl w:val="0"/>
        <w:kinsoku/>
        <w:wordWrap/>
        <w:overflowPunct/>
        <w:topLinePunct w:val="0"/>
        <w:bidi w:val="0"/>
        <w:adjustRightInd/>
        <w:snapToGrid/>
        <w:spacing w:line="560" w:lineRule="exact"/>
        <w:ind w:left="0" w:leftChars="0" w:right="0" w:firstLine="616" w:firstLineChars="200"/>
        <w:textAlignment w:val="auto"/>
        <w:rPr>
          <w:rFonts w:hint="default" w:ascii="Times New Roman" w:hAnsi="Times New Roman" w:eastAsia="仿宋_GB2312" w:cs="Times New Roman"/>
          <w:spacing w:val="-6"/>
          <w:sz w:val="32"/>
          <w:szCs w:val="32"/>
        </w:rPr>
      </w:pPr>
    </w:p>
    <w:p w14:paraId="2FF72DD9">
      <w:pPr>
        <w:keepNext w:val="0"/>
        <w:keepLines w:val="0"/>
        <w:pageBreakBefore w:val="0"/>
        <w:widowControl w:val="0"/>
        <w:kinsoku/>
        <w:wordWrap/>
        <w:overflowPunct/>
        <w:topLinePunct w:val="0"/>
        <w:bidi w:val="0"/>
        <w:adjustRightInd/>
        <w:snapToGrid/>
        <w:spacing w:line="560" w:lineRule="exact"/>
        <w:ind w:left="0" w:leftChars="0" w:right="0" w:firstLine="616" w:firstLineChars="200"/>
        <w:textAlignment w:val="auto"/>
        <w:rPr>
          <w:rFonts w:hint="default" w:ascii="Times New Roman" w:hAnsi="Times New Roman" w:eastAsia="仿宋_GB2312" w:cs="Times New Roman"/>
          <w:spacing w:val="-6"/>
          <w:sz w:val="32"/>
          <w:szCs w:val="32"/>
        </w:rPr>
      </w:pPr>
    </w:p>
    <w:p w14:paraId="1C0BF00E">
      <w:pPr>
        <w:keepNext w:val="0"/>
        <w:keepLines w:val="0"/>
        <w:pageBreakBefore w:val="0"/>
        <w:widowControl w:val="0"/>
        <w:kinsoku/>
        <w:wordWrap/>
        <w:topLinePunct w:val="0"/>
        <w:bidi w:val="0"/>
        <w:textAlignment w:val="auto"/>
        <w:rPr>
          <w:rFonts w:hint="default" w:ascii="Times New Roman" w:hAnsi="Times New Roman" w:cs="Times New Roman"/>
        </w:rPr>
      </w:pPr>
    </w:p>
    <w:p w14:paraId="2A933F83">
      <w:pPr>
        <w:pStyle w:val="2"/>
        <w:rPr>
          <w:rFonts w:hint="default" w:ascii="Times New Roman" w:hAnsi="Times New Roman" w:cs="Times New Roman"/>
        </w:rPr>
      </w:pPr>
    </w:p>
    <w:p w14:paraId="6A242A99">
      <w:pPr>
        <w:rPr>
          <w:rFonts w:hint="default" w:ascii="Times New Roman" w:hAnsi="Times New Roman" w:cs="Times New Roman"/>
        </w:rPr>
      </w:pPr>
    </w:p>
    <w:p w14:paraId="170EF231">
      <w:pPr>
        <w:pStyle w:val="2"/>
        <w:rPr>
          <w:rFonts w:hint="default" w:ascii="Times New Roman" w:hAnsi="Times New Roman" w:cs="Times New Roman"/>
        </w:rPr>
      </w:pPr>
    </w:p>
    <w:p w14:paraId="777C938E">
      <w:pPr>
        <w:rPr>
          <w:rFonts w:hint="default" w:ascii="Times New Roman" w:hAnsi="Times New Roman" w:cs="Times New Roman"/>
        </w:rPr>
      </w:pPr>
    </w:p>
    <w:p w14:paraId="6FE6EFC4">
      <w:pPr>
        <w:pStyle w:val="2"/>
        <w:rPr>
          <w:rFonts w:hint="default" w:ascii="Times New Roman" w:hAnsi="Times New Roman" w:cs="Times New Roman"/>
        </w:rPr>
      </w:pPr>
    </w:p>
    <w:p w14:paraId="52A0A4E7">
      <w:pPr>
        <w:rPr>
          <w:rFonts w:hint="default" w:ascii="Times New Roman" w:hAnsi="Times New Roman" w:cs="Times New Roman"/>
        </w:rPr>
      </w:pPr>
    </w:p>
    <w:p w14:paraId="0FC7B321">
      <w:pPr>
        <w:pStyle w:val="2"/>
        <w:rPr>
          <w:rFonts w:hint="default" w:ascii="Times New Roman" w:hAnsi="Times New Roman" w:cs="Times New Roman"/>
        </w:rPr>
      </w:pPr>
    </w:p>
    <w:p w14:paraId="4FE242B7">
      <w:pPr>
        <w:rPr>
          <w:rFonts w:hint="default" w:ascii="Times New Roman" w:hAnsi="Times New Roman" w:cs="Times New Roman"/>
        </w:rPr>
      </w:pPr>
    </w:p>
    <w:p w14:paraId="3BA00074">
      <w:pPr>
        <w:pStyle w:val="2"/>
        <w:rPr>
          <w:rFonts w:hint="default"/>
        </w:rPr>
      </w:pPr>
      <w:bookmarkStart w:id="0" w:name="_GoBack"/>
      <w:bookmarkEnd w:id="0"/>
    </w:p>
    <w:p w14:paraId="29B5C0DD">
      <w:pPr>
        <w:spacing w:line="240" w:lineRule="exact"/>
        <w:rPr>
          <w:rFonts w:hint="default" w:ascii="Times New Roman" w:hAnsi="Times New Roman" w:eastAsia="仿宋_GB2312" w:cs="Times New Roman"/>
          <w:color w:val="auto"/>
          <w:spacing w:val="-4"/>
          <w:sz w:val="32"/>
          <w:szCs w:val="32"/>
        </w:rPr>
      </w:pPr>
    </w:p>
    <w:p w14:paraId="2586589D">
      <w:pPr>
        <w:pStyle w:val="2"/>
        <w:rPr>
          <w:rFonts w:hint="default"/>
        </w:rPr>
      </w:pPr>
    </w:p>
    <w:p w14:paraId="7BFFB557">
      <w:pPr>
        <w:spacing w:line="240" w:lineRule="exact"/>
        <w:rPr>
          <w:rFonts w:hint="default" w:ascii="Times New Roman" w:hAnsi="Times New Roman" w:eastAsia="仿宋_GB2312" w:cs="Times New Roman"/>
          <w:color w:val="auto"/>
          <w:spacing w:val="-4"/>
          <w:sz w:val="32"/>
          <w:szCs w:val="32"/>
        </w:rPr>
      </w:pPr>
    </w:p>
    <w:p w14:paraId="62F281F5">
      <w:pPr>
        <w:spacing w:line="20" w:lineRule="exact"/>
        <w:rPr>
          <w:rFonts w:hint="default" w:ascii="Times New Roman" w:hAnsi="Times New Roman" w:cs="Times New Roman"/>
          <w:color w:val="auto"/>
        </w:rPr>
      </w:pPr>
    </w:p>
    <w:tbl>
      <w:tblPr>
        <w:tblStyle w:val="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EEA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tcBorders>
              <w:top w:val="single" w:color="auto" w:sz="12" w:space="0"/>
              <w:left w:val="nil"/>
              <w:right w:val="nil"/>
            </w:tcBorders>
            <w:noWrap w:val="0"/>
            <w:vAlign w:val="top"/>
          </w:tcPr>
          <w:p w14:paraId="64B5891C">
            <w:pPr>
              <w:spacing w:line="360" w:lineRule="exact"/>
              <w:ind w:left="551" w:hanging="551" w:hangingChars="196"/>
              <w:rPr>
                <w:rFonts w:hint="default" w:ascii="Times New Roman" w:hAnsi="Times New Roman" w:eastAsia="仿宋_GB2312" w:cs="Times New Roman"/>
                <w:snapToGrid w:val="0"/>
                <w:color w:val="auto"/>
                <w:kern w:val="0"/>
                <w:sz w:val="28"/>
                <w:szCs w:val="28"/>
              </w:rPr>
            </w:pPr>
            <w:r>
              <w:rPr>
                <w:rFonts w:hint="default" w:ascii="Times New Roman" w:hAnsi="Times New Roman" w:eastAsia="仿宋_GB2312" w:cs="Times New Roman"/>
                <w:b/>
                <w:color w:val="auto"/>
                <w:sz w:val="28"/>
                <w:szCs w:val="28"/>
              </w:rPr>
              <w:t>抄：</w:t>
            </w:r>
            <w:r>
              <w:rPr>
                <w:rFonts w:hint="default" w:ascii="Times New Roman" w:hAnsi="Times New Roman" w:eastAsia="仿宋_GB2312" w:cs="Times New Roman"/>
                <w:color w:val="auto"/>
                <w:sz w:val="28"/>
                <w:szCs w:val="28"/>
              </w:rPr>
              <w:t>苏州市教育局办公室，市委办公室、市人大办公室、市政府办公室、市政协秘书处</w:t>
            </w:r>
          </w:p>
        </w:tc>
      </w:tr>
      <w:tr w14:paraId="53EF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tcBorders>
              <w:left w:val="nil"/>
              <w:bottom w:val="single" w:color="auto" w:sz="12" w:space="0"/>
              <w:right w:val="nil"/>
            </w:tcBorders>
            <w:noWrap w:val="0"/>
            <w:vAlign w:val="top"/>
          </w:tcPr>
          <w:p w14:paraId="4940B217">
            <w:pPr>
              <w:pStyle w:val="11"/>
              <w:overflowPunct w:val="0"/>
              <w:snapToGrid w:val="0"/>
              <w:spacing w:line="360" w:lineRule="exact"/>
              <w:rPr>
                <w:rFonts w:hint="default" w:ascii="Times New Roman" w:hAnsi="Times New Roman" w:eastAsia="仿宋_GB2312" w:cs="Times New Roman"/>
                <w:b w:val="0"/>
                <w:color w:val="auto"/>
                <w:sz w:val="28"/>
                <w:szCs w:val="28"/>
              </w:rPr>
            </w:pPr>
            <w:r>
              <w:rPr>
                <w:rFonts w:hint="default" w:ascii="Times New Roman" w:hAnsi="Times New Roman" w:eastAsia="仿宋_GB2312" w:cs="Times New Roman"/>
                <w:b w:val="0"/>
                <w:color w:val="auto"/>
                <w:sz w:val="28"/>
                <w:szCs w:val="28"/>
              </w:rPr>
              <w:t>太仓市教育局</w:t>
            </w:r>
            <w:r>
              <w:rPr>
                <w:rFonts w:hint="default" w:ascii="Times New Roman" w:hAnsi="Times New Roman" w:eastAsia="仿宋_GB2312" w:cs="Times New Roman"/>
                <w:b w:val="0"/>
                <w:color w:val="auto"/>
                <w:sz w:val="28"/>
                <w:szCs w:val="28"/>
                <w:lang w:eastAsia="zh-CN"/>
              </w:rPr>
              <w:t>党政</w:t>
            </w:r>
            <w:r>
              <w:rPr>
                <w:rFonts w:hint="default" w:ascii="Times New Roman" w:hAnsi="Times New Roman" w:eastAsia="仿宋_GB2312" w:cs="Times New Roman"/>
                <w:b w:val="0"/>
                <w:color w:val="auto"/>
                <w:sz w:val="28"/>
                <w:szCs w:val="28"/>
              </w:rPr>
              <w:t xml:space="preserve">办公室                      </w:t>
            </w:r>
            <w:r>
              <w:rPr>
                <w:rFonts w:hint="eastAsia" w:ascii="Times New Roman" w:hAnsi="Times New Roman" w:eastAsia="仿宋_GB2312" w:cs="Times New Roman"/>
                <w:b w:val="0"/>
                <w:color w:val="auto"/>
                <w:sz w:val="28"/>
                <w:szCs w:val="28"/>
                <w:lang w:val="en-US" w:eastAsia="zh-CN"/>
              </w:rPr>
              <w:t xml:space="preserve"> </w:t>
            </w:r>
            <w:r>
              <w:rPr>
                <w:rFonts w:hint="default" w:ascii="Times New Roman" w:hAnsi="Times New Roman" w:eastAsia="仿宋_GB2312" w:cs="Times New Roman"/>
                <w:b w:val="0"/>
                <w:color w:val="auto"/>
                <w:sz w:val="28"/>
                <w:szCs w:val="28"/>
              </w:rPr>
              <w:t xml:space="preserve"> 20</w:t>
            </w:r>
            <w:r>
              <w:rPr>
                <w:rFonts w:hint="eastAsia" w:ascii="Times New Roman" w:hAnsi="Times New Roman" w:eastAsia="仿宋_GB2312" w:cs="Times New Roman"/>
                <w:b w:val="0"/>
                <w:color w:val="auto"/>
                <w:sz w:val="28"/>
                <w:szCs w:val="28"/>
                <w:lang w:val="en-US" w:eastAsia="zh-CN"/>
              </w:rPr>
              <w:t>25</w:t>
            </w:r>
            <w:r>
              <w:rPr>
                <w:rFonts w:hint="default" w:ascii="Times New Roman" w:hAnsi="Times New Roman" w:eastAsia="仿宋_GB2312" w:cs="Times New Roman"/>
                <w:b w:val="0"/>
                <w:color w:val="auto"/>
                <w:sz w:val="28"/>
                <w:szCs w:val="28"/>
              </w:rPr>
              <w:t>年</w:t>
            </w:r>
            <w:r>
              <w:rPr>
                <w:rFonts w:hint="eastAsia" w:ascii="Times New Roman" w:hAnsi="Times New Roman" w:eastAsia="仿宋_GB2312" w:cs="Times New Roman"/>
                <w:b w:val="0"/>
                <w:color w:val="auto"/>
                <w:sz w:val="28"/>
                <w:szCs w:val="28"/>
                <w:lang w:val="en-US" w:eastAsia="zh-CN"/>
              </w:rPr>
              <w:t>2</w:t>
            </w:r>
            <w:r>
              <w:rPr>
                <w:rFonts w:hint="default" w:ascii="Times New Roman" w:hAnsi="Times New Roman" w:eastAsia="仿宋_GB2312" w:cs="Times New Roman"/>
                <w:b w:val="0"/>
                <w:color w:val="auto"/>
                <w:sz w:val="28"/>
                <w:szCs w:val="28"/>
              </w:rPr>
              <w:t>月</w:t>
            </w:r>
            <w:r>
              <w:rPr>
                <w:rFonts w:hint="eastAsia" w:ascii="Times New Roman" w:hAnsi="Times New Roman" w:eastAsia="仿宋_GB2312" w:cs="Times New Roman"/>
                <w:b w:val="0"/>
                <w:color w:val="auto"/>
                <w:sz w:val="28"/>
                <w:szCs w:val="28"/>
                <w:lang w:val="en-US" w:eastAsia="zh-CN"/>
              </w:rPr>
              <w:t>7</w:t>
            </w:r>
            <w:r>
              <w:rPr>
                <w:rFonts w:hint="default" w:ascii="Times New Roman" w:hAnsi="Times New Roman" w:eastAsia="仿宋_GB2312" w:cs="Times New Roman"/>
                <w:b w:val="0"/>
                <w:color w:val="auto"/>
                <w:sz w:val="28"/>
                <w:szCs w:val="28"/>
              </w:rPr>
              <w:t>日印发</w:t>
            </w:r>
          </w:p>
        </w:tc>
      </w:tr>
    </w:tbl>
    <w:p w14:paraId="43719BD7">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lang w:val="en-US" w:eastAsia="zh-CN"/>
        </w:rPr>
        <w:sectPr>
          <w:pgSz w:w="11906" w:h="16838"/>
          <w:pgMar w:top="2041" w:right="1474" w:bottom="1928" w:left="1474" w:header="851" w:footer="992" w:gutter="0"/>
          <w:pgNumType w:fmt="decimal" w:start="1"/>
          <w:cols w:space="425" w:num="1"/>
          <w:docGrid w:type="lines" w:linePitch="312" w:charSpace="0"/>
        </w:sectPr>
      </w:pPr>
    </w:p>
    <w:p w14:paraId="4B1026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6"/>
          <w:szCs w:val="36"/>
          <w:lang w:val="en-US" w:eastAsia="zh-CN"/>
        </w:rPr>
      </w:pPr>
      <w:r>
        <w:rPr>
          <w:rFonts w:hint="default" w:ascii="Times New Roman" w:hAnsi="Times New Roman" w:eastAsia="方正小标宋简体" w:cs="Times New Roman"/>
          <w:color w:val="auto"/>
          <w:spacing w:val="0"/>
          <w:sz w:val="36"/>
          <w:szCs w:val="36"/>
          <w:lang w:val="en-US" w:eastAsia="zh-CN"/>
        </w:rPr>
        <w:t>2024年度教育工作总结</w:t>
      </w:r>
    </w:p>
    <w:p w14:paraId="02A96FFE">
      <w:pPr>
        <w:pStyle w:val="2"/>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color w:val="auto"/>
          <w:spacing w:val="-6"/>
          <w:sz w:val="32"/>
          <w:szCs w:val="32"/>
          <w:lang w:val="en-US" w:eastAsia="zh-CN"/>
        </w:rPr>
      </w:pPr>
    </w:p>
    <w:p w14:paraId="5548C56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2024年，全市教育系统以习近平新时代中国特色社会主义思想为指导，深入学习贯彻党的二十大精神、党的二十届三中全会精神及全国</w:t>
      </w:r>
      <w:r>
        <w:rPr>
          <w:rFonts w:hint="eastAsia" w:ascii="Times New Roman" w:hAnsi="Times New Roman" w:eastAsia="仿宋_GB2312" w:cs="Times New Roman"/>
          <w:color w:val="auto"/>
          <w:spacing w:val="-6"/>
          <w:kern w:val="2"/>
          <w:sz w:val="32"/>
          <w:szCs w:val="32"/>
          <w:lang w:val="en-US" w:eastAsia="zh-CN" w:bidi="ar-SA"/>
        </w:rPr>
        <w:t>、全省</w:t>
      </w:r>
      <w:r>
        <w:rPr>
          <w:rFonts w:hint="default" w:ascii="Times New Roman" w:hAnsi="Times New Roman" w:eastAsia="仿宋_GB2312" w:cs="Times New Roman"/>
          <w:color w:val="auto"/>
          <w:spacing w:val="-6"/>
          <w:kern w:val="2"/>
          <w:sz w:val="32"/>
          <w:szCs w:val="32"/>
          <w:lang w:val="en-US" w:eastAsia="zh-CN" w:bidi="ar-SA"/>
        </w:rPr>
        <w:t>教育工作大会精神，</w:t>
      </w:r>
      <w:r>
        <w:rPr>
          <w:rFonts w:hint="default" w:ascii="Times New Roman" w:hAnsi="Times New Roman" w:eastAsia="仿宋_GB2312" w:cs="Times New Roman"/>
          <w:color w:val="auto"/>
          <w:spacing w:val="-6"/>
          <w:sz w:val="32"/>
          <w:szCs w:val="32"/>
          <w:lang w:val="en-US" w:eastAsia="zh-CN"/>
        </w:rPr>
        <w:t>紧扣进入“苏州教育第一方阵”奋斗目标，以更高标准、更大力度和更优举措，奋力推动全市教育高质量发展。</w:t>
      </w:r>
    </w:p>
    <w:p w14:paraId="54A5DB4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lang w:eastAsia="zh-CN"/>
        </w:rPr>
      </w:pPr>
      <w:r>
        <w:rPr>
          <w:rFonts w:hint="default" w:ascii="Times New Roman" w:hAnsi="Times New Roman" w:eastAsia="黑体" w:cs="Times New Roman"/>
          <w:color w:val="auto"/>
          <w:spacing w:val="-6"/>
          <w:sz w:val="32"/>
          <w:szCs w:val="32"/>
          <w:lang w:eastAsia="zh-CN"/>
        </w:rPr>
        <w:t>一、强化党建全面领航，凝聚教育高质量发展思政引领力</w:t>
      </w:r>
    </w:p>
    <w:p w14:paraId="2BAC9DDE">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default" w:ascii="Times New Roman" w:hAnsi="Times New Roman" w:eastAsia="仿宋_GB2312" w:cs="Times New Roman"/>
          <w:b w:val="0"/>
          <w:bCs w:val="0"/>
          <w:color w:val="auto"/>
          <w:spacing w:val="-6"/>
          <w:sz w:val="32"/>
          <w:szCs w:val="32"/>
          <w:lang w:eastAsia="zh-CN"/>
        </w:rPr>
      </w:pPr>
      <w:r>
        <w:rPr>
          <w:rFonts w:hint="default" w:ascii="Times New Roman" w:hAnsi="Times New Roman" w:eastAsia="楷体_GB2312" w:cs="Times New Roman"/>
          <w:b w:val="0"/>
          <w:bCs w:val="0"/>
          <w:color w:val="auto"/>
          <w:spacing w:val="-6"/>
          <w:sz w:val="32"/>
          <w:szCs w:val="32"/>
          <w:lang w:val="en-US" w:eastAsia="zh-CN"/>
        </w:rPr>
        <w:t>（一）</w:t>
      </w:r>
      <w:r>
        <w:rPr>
          <w:rFonts w:hint="default" w:ascii="Times New Roman" w:hAnsi="Times New Roman" w:eastAsia="楷体_GB2312" w:cs="Times New Roman"/>
          <w:b w:val="0"/>
          <w:bCs w:val="0"/>
          <w:color w:val="auto"/>
          <w:spacing w:val="-6"/>
          <w:sz w:val="32"/>
          <w:szCs w:val="32"/>
          <w:lang w:eastAsia="zh-CN"/>
        </w:rPr>
        <w:t>党的全面领导</w:t>
      </w:r>
      <w:r>
        <w:rPr>
          <w:rFonts w:hint="default" w:ascii="Times New Roman" w:hAnsi="Times New Roman" w:eastAsia="楷体_GB2312" w:cs="Times New Roman"/>
          <w:b w:val="0"/>
          <w:bCs w:val="0"/>
          <w:color w:val="auto"/>
          <w:spacing w:val="-6"/>
          <w:sz w:val="32"/>
          <w:szCs w:val="32"/>
          <w:lang w:val="en-US" w:eastAsia="zh-CN"/>
        </w:rPr>
        <w:t>持续强化</w:t>
      </w:r>
      <w:r>
        <w:rPr>
          <w:rFonts w:hint="default" w:ascii="Times New Roman" w:hAnsi="Times New Roman" w:eastAsia="楷体_GB2312" w:cs="Times New Roman"/>
          <w:b w:val="0"/>
          <w:bCs w:val="0"/>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坚持把政治建设摆在首位，牢牢把握组织路线服务保证政治路线的基本定位，进一步提高党建引领教育高质量发展的能力。</w:t>
      </w:r>
      <w:r>
        <w:rPr>
          <w:rFonts w:hint="default" w:ascii="Times New Roman" w:hAnsi="Times New Roman" w:eastAsia="仿宋_GB2312" w:cs="Times New Roman"/>
          <w:color w:val="auto"/>
          <w:spacing w:val="-6"/>
          <w:sz w:val="32"/>
          <w:szCs w:val="32"/>
        </w:rPr>
        <w:t>全面完成中小学校党组织领导的校长负责制体制改革</w:t>
      </w:r>
      <w:r>
        <w:rPr>
          <w:rFonts w:hint="default" w:ascii="Times New Roman" w:hAnsi="Times New Roman" w:eastAsia="仿宋_GB2312" w:cs="Times New Roman"/>
          <w:color w:val="auto"/>
          <w:spacing w:val="-6"/>
          <w:sz w:val="32"/>
          <w:szCs w:val="32"/>
          <w:lang w:eastAsia="zh-CN"/>
        </w:rPr>
        <w:t>，强化</w:t>
      </w:r>
      <w:r>
        <w:rPr>
          <w:rFonts w:hint="default" w:ascii="Times New Roman" w:hAnsi="Times New Roman" w:eastAsia="仿宋_GB2312" w:cs="Times New Roman"/>
          <w:bCs/>
          <w:color w:val="auto"/>
          <w:spacing w:val="-6"/>
          <w:sz w:val="32"/>
          <w:szCs w:val="32"/>
        </w:rPr>
        <w:t>基层党组织书记“第一责任人”</w:t>
      </w:r>
      <w:r>
        <w:rPr>
          <w:rFonts w:hint="default" w:ascii="Times New Roman" w:hAnsi="Times New Roman" w:eastAsia="仿宋_GB2312" w:cs="Times New Roman"/>
          <w:bCs/>
          <w:color w:val="auto"/>
          <w:spacing w:val="-6"/>
          <w:sz w:val="32"/>
          <w:szCs w:val="32"/>
          <w:lang w:eastAsia="zh-CN"/>
        </w:rPr>
        <w:t>职责，</w:t>
      </w:r>
      <w:r>
        <w:rPr>
          <w:rFonts w:hint="default" w:ascii="Times New Roman" w:hAnsi="Times New Roman" w:eastAsia="仿宋_GB2312" w:cs="Times New Roman"/>
          <w:bCs/>
          <w:color w:val="auto"/>
          <w:spacing w:val="-6"/>
          <w:sz w:val="32"/>
          <w:szCs w:val="32"/>
        </w:rPr>
        <w:t>形成落实党的领导</w:t>
      </w:r>
      <w:r>
        <w:rPr>
          <w:rFonts w:hint="default" w:ascii="Times New Roman" w:hAnsi="Times New Roman" w:eastAsia="仿宋_GB2312" w:cs="Times New Roman"/>
          <w:bCs/>
          <w:color w:val="auto"/>
          <w:spacing w:val="-6"/>
          <w:sz w:val="32"/>
          <w:szCs w:val="32"/>
          <w:lang w:eastAsia="zh-CN"/>
        </w:rPr>
        <w:t>全面</w:t>
      </w:r>
      <w:r>
        <w:rPr>
          <w:rFonts w:hint="default" w:ascii="Times New Roman" w:hAnsi="Times New Roman" w:eastAsia="仿宋_GB2312" w:cs="Times New Roman"/>
          <w:bCs/>
          <w:color w:val="auto"/>
          <w:spacing w:val="-6"/>
          <w:sz w:val="32"/>
          <w:szCs w:val="32"/>
        </w:rPr>
        <w:t>覆盖</w:t>
      </w:r>
      <w:r>
        <w:rPr>
          <w:rFonts w:hint="default" w:ascii="Times New Roman" w:hAnsi="Times New Roman" w:eastAsia="仿宋_GB2312" w:cs="Times New Roman"/>
          <w:bCs/>
          <w:color w:val="auto"/>
          <w:spacing w:val="-6"/>
          <w:sz w:val="32"/>
          <w:szCs w:val="32"/>
          <w:lang w:eastAsia="zh-CN"/>
        </w:rPr>
        <w:t>、深层浸润</w:t>
      </w:r>
      <w:r>
        <w:rPr>
          <w:rFonts w:hint="default" w:ascii="Times New Roman" w:hAnsi="Times New Roman" w:eastAsia="仿宋_GB2312" w:cs="Times New Roman"/>
          <w:bCs/>
          <w:color w:val="auto"/>
          <w:spacing w:val="-6"/>
          <w:sz w:val="32"/>
          <w:szCs w:val="32"/>
        </w:rPr>
        <w:t>的工作格局</w:t>
      </w:r>
      <w:r>
        <w:rPr>
          <w:rFonts w:hint="default" w:ascii="Times New Roman" w:hAnsi="Times New Roman" w:eastAsia="仿宋_GB2312" w:cs="Times New Roman"/>
          <w:bCs/>
          <w:color w:val="auto"/>
          <w:spacing w:val="-6"/>
          <w:sz w:val="32"/>
          <w:szCs w:val="32"/>
          <w:lang w:eastAsia="zh-CN"/>
        </w:rPr>
        <w:t>。加强党的创新理论学习教育，</w:t>
      </w:r>
      <w:r>
        <w:rPr>
          <w:rFonts w:hint="default" w:ascii="Times New Roman" w:hAnsi="Times New Roman" w:eastAsia="仿宋_GB2312" w:cs="Times New Roman"/>
          <w:b w:val="0"/>
          <w:bCs w:val="0"/>
          <w:color w:val="auto"/>
          <w:spacing w:val="-6"/>
          <w:kern w:val="0"/>
          <w:sz w:val="32"/>
          <w:szCs w:val="32"/>
          <w:lang w:val="en-US" w:eastAsia="zh-CN"/>
        </w:rPr>
        <w:t>开展教育系统</w:t>
      </w:r>
      <w:r>
        <w:rPr>
          <w:rFonts w:hint="default" w:ascii="Times New Roman" w:hAnsi="Times New Roman" w:eastAsia="仿宋_GB2312" w:cs="Times New Roman"/>
          <w:b w:val="0"/>
          <w:bCs w:val="0"/>
          <w:color w:val="auto"/>
          <w:spacing w:val="-6"/>
          <w:sz w:val="32"/>
          <w:szCs w:val="32"/>
          <w:highlight w:val="none"/>
          <w:lang w:val="en-US" w:eastAsia="zh-CN"/>
        </w:rPr>
        <w:t>“凝心聚力铸师魂，躬耕杏坛育桃李”主题活动和</w:t>
      </w:r>
      <w:r>
        <w:rPr>
          <w:rFonts w:hint="default" w:ascii="Times New Roman" w:hAnsi="Times New Roman" w:eastAsia="仿宋_GB2312" w:cs="Times New Roman"/>
          <w:color w:val="auto"/>
          <w:spacing w:val="-6"/>
          <w:sz w:val="32"/>
          <w:szCs w:val="32"/>
        </w:rPr>
        <w:t>“筑梦现代化</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共绘新图景”主题宣讲</w:t>
      </w:r>
      <w:r>
        <w:rPr>
          <w:rFonts w:hint="default" w:ascii="Times New Roman" w:hAnsi="Times New Roman" w:eastAsia="仿宋_GB2312" w:cs="Times New Roman"/>
          <w:color w:val="auto"/>
          <w:spacing w:val="-6"/>
          <w:sz w:val="32"/>
          <w:szCs w:val="32"/>
          <w:lang w:eastAsia="zh-CN"/>
        </w:rPr>
        <w:t>、“中华民族一家亲，同心共筑教育梦”等系列</w:t>
      </w:r>
      <w:r>
        <w:rPr>
          <w:rFonts w:hint="default" w:ascii="Times New Roman" w:hAnsi="Times New Roman" w:eastAsia="仿宋_GB2312" w:cs="Times New Roman"/>
          <w:color w:val="auto"/>
          <w:spacing w:val="-6"/>
          <w:sz w:val="32"/>
          <w:szCs w:val="32"/>
        </w:rPr>
        <w:t>活</w:t>
      </w:r>
      <w:r>
        <w:rPr>
          <w:rFonts w:hint="default" w:ascii="Times New Roman" w:hAnsi="Times New Roman" w:eastAsia="仿宋_GB2312" w:cs="Times New Roman"/>
          <w:color w:val="auto"/>
          <w:spacing w:val="-6"/>
          <w:sz w:val="32"/>
          <w:szCs w:val="32"/>
          <w:lang w:eastAsia="zh-CN"/>
        </w:rPr>
        <w:t>动</w:t>
      </w:r>
      <w:r>
        <w:rPr>
          <w:rFonts w:hint="default" w:ascii="Times New Roman" w:hAnsi="Times New Roman" w:eastAsia="仿宋_GB2312" w:cs="Times New Roman"/>
          <w:b w:val="0"/>
          <w:bCs w:val="0"/>
          <w:color w:val="auto"/>
          <w:spacing w:val="-6"/>
          <w:sz w:val="32"/>
          <w:szCs w:val="32"/>
          <w:highlight w:val="none"/>
          <w:lang w:val="en-US" w:eastAsia="zh-CN"/>
        </w:rPr>
        <w:t>。</w:t>
      </w:r>
    </w:p>
    <w:p w14:paraId="0E62FCDC">
      <w:pPr>
        <w:pStyle w:val="2"/>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b w:val="0"/>
          <w:bCs w:val="0"/>
          <w:color w:val="auto"/>
          <w:spacing w:val="-6"/>
          <w:sz w:val="32"/>
          <w:szCs w:val="32"/>
          <w:lang w:val="en-US" w:eastAsia="zh-CN"/>
        </w:rPr>
        <w:t>（二）</w:t>
      </w:r>
      <w:r>
        <w:rPr>
          <w:rFonts w:hint="default" w:ascii="Times New Roman" w:hAnsi="Times New Roman" w:eastAsia="楷体_GB2312" w:cs="Times New Roman"/>
          <w:b w:val="0"/>
          <w:bCs w:val="0"/>
          <w:color w:val="auto"/>
          <w:spacing w:val="-6"/>
          <w:sz w:val="32"/>
          <w:szCs w:val="32"/>
          <w:lang w:eastAsia="zh-CN"/>
        </w:rPr>
        <w:t>党建阵地建设</w:t>
      </w:r>
      <w:r>
        <w:rPr>
          <w:rFonts w:hint="default" w:ascii="Times New Roman" w:hAnsi="Times New Roman" w:eastAsia="楷体_GB2312" w:cs="Times New Roman"/>
          <w:b w:val="0"/>
          <w:bCs w:val="0"/>
          <w:color w:val="auto"/>
          <w:spacing w:val="-6"/>
          <w:sz w:val="32"/>
          <w:szCs w:val="32"/>
          <w:lang w:val="en-US" w:eastAsia="zh-CN"/>
        </w:rPr>
        <w:t>持续夯实</w:t>
      </w:r>
      <w:r>
        <w:rPr>
          <w:rFonts w:hint="default" w:ascii="Times New Roman" w:hAnsi="Times New Roman" w:eastAsia="楷体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pacing w:val="-6"/>
          <w:sz w:val="32"/>
          <w:szCs w:val="32"/>
          <w:highlight w:val="none"/>
          <w:lang w:val="en-US" w:eastAsia="zh-CN"/>
        </w:rPr>
        <w:t>印发《太仓市教育系统基层党建工作意见》，</w:t>
      </w:r>
      <w:r>
        <w:rPr>
          <w:rFonts w:hint="default" w:ascii="Times New Roman" w:hAnsi="Times New Roman" w:eastAsia="仿宋_GB2312" w:cs="Times New Roman"/>
          <w:color w:val="auto"/>
          <w:spacing w:val="-6"/>
          <w:sz w:val="32"/>
          <w:szCs w:val="32"/>
          <w:lang w:eastAsia="zh-CN"/>
        </w:rPr>
        <w:t>推进</w:t>
      </w:r>
      <w:r>
        <w:rPr>
          <w:rFonts w:hint="default" w:ascii="Times New Roman" w:hAnsi="Times New Roman" w:eastAsia="仿宋_GB2312" w:cs="Times New Roman"/>
          <w:color w:val="auto"/>
          <w:spacing w:val="-6"/>
          <w:sz w:val="32"/>
          <w:szCs w:val="32"/>
          <w:lang w:val="en-US" w:eastAsia="zh-CN"/>
        </w:rPr>
        <w:t>29个</w:t>
      </w:r>
      <w:r>
        <w:rPr>
          <w:rFonts w:hint="default" w:ascii="Times New Roman" w:hAnsi="Times New Roman" w:eastAsia="仿宋_GB2312" w:cs="Times New Roman"/>
          <w:color w:val="auto"/>
          <w:spacing w:val="-6"/>
          <w:sz w:val="32"/>
          <w:szCs w:val="32"/>
          <w:lang w:val="zh-CN" w:eastAsia="zh-CN"/>
        </w:rPr>
        <w:t>“海棠花红”先锋阵地</w:t>
      </w:r>
      <w:r>
        <w:rPr>
          <w:rFonts w:hint="default" w:ascii="Times New Roman" w:hAnsi="Times New Roman" w:eastAsia="仿宋_GB2312" w:cs="Times New Roman"/>
          <w:color w:val="auto"/>
          <w:spacing w:val="-6"/>
          <w:sz w:val="32"/>
          <w:szCs w:val="32"/>
          <w:lang w:val="en-US" w:eastAsia="zh-CN"/>
        </w:rPr>
        <w:t>建设，立项74个基层党建“书记项目”，意识形态思想防线持续筑牢。搭建干部研训平台，办好第二期卓越校长能力提升工程研训班、党务干部业务能力提升培训班，评选“太教新青年”20名，干部专业素质显著提升。组织“走看聚”沉浸式主题实践活动60余次</w:t>
      </w:r>
      <w:r>
        <w:rPr>
          <w:rFonts w:hint="default" w:ascii="Times New Roman" w:hAnsi="Times New Roman" w:eastAsia="仿宋_GB2312" w:cs="Times New Roman"/>
          <w:b w:val="0"/>
          <w:bCs w:val="0"/>
          <w:color w:val="auto"/>
          <w:spacing w:val="-6"/>
          <w:sz w:val="32"/>
          <w:szCs w:val="32"/>
          <w:highlight w:val="none"/>
          <w:lang w:val="en-US" w:eastAsia="zh-CN"/>
        </w:rPr>
        <w:t>，持续推出“书记上党课”专栏。</w:t>
      </w:r>
      <w:r>
        <w:rPr>
          <w:rFonts w:hint="default" w:ascii="Times New Roman" w:hAnsi="Times New Roman" w:eastAsia="仿宋_GB2312" w:cs="Times New Roman"/>
          <w:color w:val="auto"/>
          <w:spacing w:val="-6"/>
          <w:sz w:val="32"/>
          <w:szCs w:val="32"/>
          <w:lang w:eastAsia="zh-CN"/>
        </w:rPr>
        <w:t>开展教育系统“两优一先”评选，评选优秀共产党员、</w:t>
      </w:r>
      <w:r>
        <w:rPr>
          <w:rFonts w:hint="default" w:ascii="Times New Roman" w:hAnsi="Times New Roman" w:eastAsia="仿宋_GB2312" w:cs="Times New Roman"/>
          <w:color w:val="auto"/>
          <w:spacing w:val="-6"/>
          <w:sz w:val="32"/>
          <w:szCs w:val="32"/>
          <w:lang w:val="en-US" w:eastAsia="zh-CN"/>
        </w:rPr>
        <w:t>优秀党务工作者各30名，先进基层党组织12个，典型榜样力量不断强化。</w:t>
      </w:r>
    </w:p>
    <w:p w14:paraId="52E5F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楷体_GB2312" w:cs="Times New Roman"/>
          <w:b w:val="0"/>
          <w:bCs w:val="0"/>
          <w:color w:val="auto"/>
          <w:spacing w:val="-6"/>
          <w:sz w:val="32"/>
          <w:szCs w:val="32"/>
          <w:lang w:val="en-US" w:eastAsia="zh-CN"/>
        </w:rPr>
        <w:t>（三）</w:t>
      </w:r>
      <w:r>
        <w:rPr>
          <w:rFonts w:hint="default" w:ascii="Times New Roman" w:hAnsi="Times New Roman" w:eastAsia="楷体_GB2312" w:cs="Times New Roman"/>
          <w:b w:val="0"/>
          <w:bCs w:val="0"/>
          <w:color w:val="auto"/>
          <w:spacing w:val="-6"/>
          <w:sz w:val="32"/>
          <w:szCs w:val="32"/>
          <w:lang w:eastAsia="zh-CN"/>
        </w:rPr>
        <w:t>全面从严治党</w:t>
      </w:r>
      <w:r>
        <w:rPr>
          <w:rFonts w:hint="default" w:ascii="Times New Roman" w:hAnsi="Times New Roman" w:eastAsia="楷体_GB2312" w:cs="Times New Roman"/>
          <w:b w:val="0"/>
          <w:bCs w:val="0"/>
          <w:color w:val="auto"/>
          <w:spacing w:val="-6"/>
          <w:sz w:val="32"/>
          <w:szCs w:val="32"/>
          <w:lang w:val="en-US" w:eastAsia="zh-CN"/>
        </w:rPr>
        <w:t>持续推进</w:t>
      </w:r>
      <w:r>
        <w:rPr>
          <w:rFonts w:hint="default" w:ascii="Times New Roman" w:hAnsi="Times New Roman" w:eastAsia="楷体_GB2312" w:cs="Times New Roman"/>
          <w:b w:val="0"/>
          <w:bCs w:val="0"/>
          <w:color w:val="auto"/>
          <w:spacing w:val="-6"/>
          <w:sz w:val="32"/>
          <w:szCs w:val="32"/>
          <w:lang w:eastAsia="zh-CN"/>
        </w:rPr>
        <w:t>。</w:t>
      </w:r>
      <w:r>
        <w:rPr>
          <w:rFonts w:hint="default" w:ascii="Times New Roman" w:hAnsi="Times New Roman" w:eastAsia="仿宋_GB2312" w:cs="Times New Roman"/>
          <w:color w:val="auto"/>
          <w:spacing w:val="-6"/>
          <w:kern w:val="2"/>
          <w:sz w:val="32"/>
          <w:szCs w:val="32"/>
          <w:lang w:val="en-US" w:eastAsia="zh-CN" w:bidi="ar-SA"/>
        </w:rPr>
        <w:t>制定</w:t>
      </w:r>
      <w:r>
        <w:rPr>
          <w:rFonts w:hint="default" w:ascii="Times New Roman" w:hAnsi="Times New Roman" w:eastAsia="仿宋_GB2312" w:cs="Times New Roman"/>
          <w:color w:val="auto"/>
          <w:spacing w:val="-6"/>
          <w:sz w:val="32"/>
          <w:szCs w:val="32"/>
          <w:lang w:val="en-US" w:eastAsia="zh-CN"/>
        </w:rPr>
        <w:t>《2024年太仓市教育系统党风廉政建设和反腐败工作要点》。强化廉政风险防范，排查岗位风险点并制定防控措施900余条。高质量做好巡视巡察整改落实。召开教育系统开展群众身边不正之风和腐败问题集中整治工作会议，围绕校园餐管理、“双减”政策落实、教辅材料征订开展集中整治，查处教育系统违纪违法案件9起。</w:t>
      </w:r>
      <w:r>
        <w:rPr>
          <w:rFonts w:hint="default" w:ascii="Times New Roman" w:hAnsi="Times New Roman" w:eastAsia="仿宋_GB2312" w:cs="Times New Roman"/>
          <w:color w:val="auto"/>
          <w:spacing w:val="-6"/>
          <w:kern w:val="0"/>
          <w:sz w:val="32"/>
          <w:szCs w:val="32"/>
        </w:rPr>
        <w:t>召开</w:t>
      </w:r>
      <w:r>
        <w:rPr>
          <w:rFonts w:hint="default" w:ascii="Times New Roman" w:hAnsi="Times New Roman" w:eastAsia="仿宋_GB2312" w:cs="Times New Roman"/>
          <w:color w:val="auto"/>
          <w:spacing w:val="-6"/>
          <w:sz w:val="32"/>
          <w:szCs w:val="32"/>
        </w:rPr>
        <w:t>党风廉政建设专题会议，</w:t>
      </w:r>
      <w:r>
        <w:rPr>
          <w:rFonts w:hint="default" w:ascii="Times New Roman" w:hAnsi="Times New Roman" w:eastAsia="仿宋_GB2312" w:cs="Times New Roman"/>
          <w:color w:val="auto"/>
          <w:spacing w:val="-6"/>
          <w:sz w:val="32"/>
          <w:szCs w:val="32"/>
          <w:lang w:eastAsia="zh-CN"/>
        </w:rPr>
        <w:t>开设书记专题党课，组织观看警示教育片，</w:t>
      </w:r>
      <w:r>
        <w:rPr>
          <w:rFonts w:hint="default" w:ascii="Times New Roman" w:hAnsi="Times New Roman" w:eastAsia="仿宋_GB2312" w:cs="Times New Roman"/>
          <w:color w:val="auto"/>
          <w:spacing w:val="-6"/>
          <w:sz w:val="32"/>
          <w:szCs w:val="32"/>
          <w:lang w:val="en-US" w:eastAsia="zh-CN"/>
        </w:rPr>
        <w:t>开展太仓市教育系统首届廉洁文化周、“清风传家，廉润娄城”家风故事征集、微“廉”课评选等活动，浓厚的廉洁太仓教育氛围持续打造。印发《在全市教育系统党员干部中开展党纪学习教育的实施方案》，完成纪律党课70余节，覆盖党员2500余人，党纪学习教育走深走实。</w:t>
      </w:r>
    </w:p>
    <w:p w14:paraId="760BFFB2">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lang w:eastAsia="zh-CN"/>
        </w:rPr>
      </w:pPr>
      <w:r>
        <w:rPr>
          <w:rFonts w:hint="default" w:ascii="Times New Roman" w:hAnsi="Times New Roman" w:eastAsia="黑体" w:cs="Times New Roman"/>
          <w:color w:val="auto"/>
          <w:spacing w:val="-6"/>
          <w:sz w:val="32"/>
          <w:szCs w:val="32"/>
          <w:lang w:val="en-US" w:eastAsia="zh-CN"/>
        </w:rPr>
        <w:t>二、</w:t>
      </w:r>
      <w:r>
        <w:rPr>
          <w:rFonts w:hint="default" w:ascii="Times New Roman" w:hAnsi="Times New Roman" w:eastAsia="黑体" w:cs="Times New Roman"/>
          <w:color w:val="auto"/>
          <w:spacing w:val="-6"/>
          <w:sz w:val="32"/>
          <w:szCs w:val="32"/>
          <w:lang w:eastAsia="zh-CN"/>
        </w:rPr>
        <w:t>扩优提质教育资源，提升教育高质量发展民生保障力</w:t>
      </w:r>
    </w:p>
    <w:p w14:paraId="59F79CD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（一）学校项目建设不断推进。</w:t>
      </w:r>
      <w:r>
        <w:rPr>
          <w:rFonts w:hint="default" w:ascii="Times New Roman" w:hAnsi="Times New Roman" w:eastAsia="仿宋_GB2312" w:cs="Times New Roman"/>
          <w:color w:val="auto"/>
          <w:spacing w:val="-6"/>
          <w:kern w:val="2"/>
          <w:sz w:val="32"/>
          <w:szCs w:val="32"/>
          <w:highlight w:val="none"/>
          <w:lang w:val="en-US" w:eastAsia="zh-CN" w:bidi="ar-SA"/>
        </w:rPr>
        <w:t>优化完善教育设施布局规划，完成《太仓市教育设施布局专项规划（2021~2035）》编制工作。推进《太仓市“十四五”期间新建改扩建中小学、幼儿园项目库》建设，苏州、太仓两级2024年民生实事项目扎实推进，省太中专港城校区二期等学校项目加快建设，镇洋小学、培远实验学校等12个学校项目竣工投用，新增学位7110个。做好既有建筑安全管理常态长效工作，开展全市校园建筑安全隐患排查整治，完成2024年全市学校暑期校舍维修项目。“江浙沪”“嘉昆太”区域联盟合作持续紧密，成立嘉昆太研学实践教育基地联盟，与上海外国语大学签订合作协议，上海外国语大学太仓附属学校加快建设。</w:t>
      </w:r>
    </w:p>
    <w:p w14:paraId="1EFD028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（二）智慧教育样态不断丰富。</w:t>
      </w:r>
      <w:r>
        <w:rPr>
          <w:rFonts w:hint="default" w:ascii="Times New Roman" w:hAnsi="Times New Roman" w:eastAsia="仿宋_GB2312" w:cs="Times New Roman"/>
          <w:b w:val="0"/>
          <w:bCs w:val="0"/>
          <w:snapToGrid w:val="0"/>
          <w:color w:val="auto"/>
          <w:spacing w:val="-6"/>
          <w:kern w:val="0"/>
          <w:sz w:val="32"/>
          <w:szCs w:val="32"/>
        </w:rPr>
        <w:t>苏州市智慧安防校园建设</w:t>
      </w:r>
      <w:r>
        <w:rPr>
          <w:rFonts w:hint="default" w:ascii="Times New Roman" w:hAnsi="Times New Roman" w:eastAsia="仿宋_GB2312" w:cs="Times New Roman"/>
          <w:b w:val="0"/>
          <w:bCs w:val="0"/>
          <w:snapToGrid w:val="0"/>
          <w:color w:val="auto"/>
          <w:spacing w:val="-6"/>
          <w:kern w:val="0"/>
          <w:sz w:val="32"/>
          <w:szCs w:val="32"/>
          <w:lang w:val="en-US" w:eastAsia="zh-CN"/>
        </w:rPr>
        <w:t>高效</w:t>
      </w:r>
      <w:r>
        <w:rPr>
          <w:rFonts w:hint="default" w:ascii="Times New Roman" w:hAnsi="Times New Roman" w:eastAsia="仿宋_GB2312" w:cs="Times New Roman"/>
          <w:b w:val="0"/>
          <w:bCs w:val="0"/>
          <w:snapToGrid w:val="0"/>
          <w:color w:val="auto"/>
          <w:spacing w:val="-6"/>
          <w:kern w:val="0"/>
          <w:sz w:val="32"/>
          <w:szCs w:val="32"/>
        </w:rPr>
        <w:t>推进</w:t>
      </w:r>
      <w:r>
        <w:rPr>
          <w:rFonts w:hint="default" w:ascii="Times New Roman" w:hAnsi="Times New Roman" w:eastAsia="仿宋_GB2312" w:cs="Times New Roman"/>
          <w:b w:val="0"/>
          <w:bCs w:val="0"/>
          <w:snapToGrid w:val="0"/>
          <w:color w:val="auto"/>
          <w:spacing w:val="-6"/>
          <w:kern w:val="0"/>
          <w:sz w:val="32"/>
          <w:szCs w:val="32"/>
          <w:lang w:eastAsia="zh-CN"/>
        </w:rPr>
        <w:t>，</w:t>
      </w:r>
      <w:r>
        <w:rPr>
          <w:rFonts w:hint="default" w:ascii="Times New Roman" w:hAnsi="Times New Roman" w:eastAsia="仿宋_GB2312" w:cs="Times New Roman"/>
          <w:b w:val="0"/>
          <w:bCs w:val="0"/>
          <w:snapToGrid w:val="0"/>
          <w:color w:val="auto"/>
          <w:spacing w:val="-6"/>
          <w:kern w:val="0"/>
          <w:sz w:val="32"/>
          <w:szCs w:val="32"/>
          <w:lang w:val="en-US" w:eastAsia="zh-CN"/>
        </w:rPr>
        <w:t>打造</w:t>
      </w:r>
      <w:r>
        <w:rPr>
          <w:rFonts w:hint="default" w:ascii="Times New Roman" w:hAnsi="Times New Roman" w:eastAsia="仿宋_GB2312" w:cs="Times New Roman"/>
          <w:b w:val="0"/>
          <w:bCs w:val="0"/>
          <w:snapToGrid w:val="0"/>
          <w:color w:val="auto"/>
          <w:spacing w:val="-6"/>
          <w:kern w:val="0"/>
          <w:sz w:val="32"/>
          <w:szCs w:val="32"/>
        </w:rPr>
        <w:t>“教育智防”云平台，实现线上实时监管</w:t>
      </w:r>
      <w:r>
        <w:rPr>
          <w:rFonts w:hint="default" w:ascii="Times New Roman" w:hAnsi="Times New Roman" w:eastAsia="仿宋_GB2312" w:cs="Times New Roman"/>
          <w:b w:val="0"/>
          <w:bCs w:val="0"/>
          <w:snapToGrid w:val="0"/>
          <w:color w:val="auto"/>
          <w:spacing w:val="-6"/>
          <w:kern w:val="0"/>
          <w:sz w:val="32"/>
          <w:szCs w:val="32"/>
          <w:lang w:eastAsia="zh-CN"/>
        </w:rPr>
        <w:t>、</w:t>
      </w:r>
      <w:r>
        <w:rPr>
          <w:rFonts w:hint="default" w:ascii="Times New Roman" w:hAnsi="Times New Roman" w:eastAsia="仿宋_GB2312" w:cs="Times New Roman"/>
          <w:b w:val="0"/>
          <w:bCs w:val="0"/>
          <w:snapToGrid w:val="0"/>
          <w:color w:val="auto"/>
          <w:spacing w:val="-6"/>
          <w:kern w:val="0"/>
          <w:sz w:val="32"/>
          <w:szCs w:val="32"/>
        </w:rPr>
        <w:t>云端巡查示警</w:t>
      </w:r>
      <w:r>
        <w:rPr>
          <w:rFonts w:hint="default" w:ascii="Times New Roman" w:hAnsi="Times New Roman" w:eastAsia="仿宋_GB2312" w:cs="Times New Roman"/>
          <w:color w:val="auto"/>
          <w:spacing w:val="-6"/>
          <w:kern w:val="2"/>
          <w:sz w:val="32"/>
          <w:szCs w:val="32"/>
          <w:highlight w:val="none"/>
          <w:lang w:val="en-US" w:eastAsia="zh-CN" w:bidi="ar-SA"/>
        </w:rPr>
        <w:t>，校园安全“数字化”管理水平有力提升。</w:t>
      </w:r>
      <w:r>
        <w:rPr>
          <w:rFonts w:hint="default" w:ascii="Times New Roman" w:hAnsi="Times New Roman" w:eastAsia="仿宋_GB2312" w:cs="Times New Roman"/>
          <w:b w:val="0"/>
          <w:bCs w:val="0"/>
          <w:color w:val="auto"/>
          <w:spacing w:val="-6"/>
          <w:kern w:val="2"/>
          <w:sz w:val="32"/>
          <w:szCs w:val="32"/>
          <w:lang w:val="en-US" w:eastAsia="zh-CN" w:bidi="ar-SA"/>
        </w:rPr>
        <w:t>“江苏省智慧教育样板区建</w:t>
      </w:r>
      <w:r>
        <w:rPr>
          <w:rFonts w:hint="default" w:ascii="Times New Roman" w:hAnsi="Times New Roman" w:eastAsia="仿宋_GB2312" w:cs="Times New Roman"/>
          <w:color w:val="auto"/>
          <w:spacing w:val="-6"/>
          <w:sz w:val="32"/>
          <w:szCs w:val="32"/>
          <w:lang w:val="en-US" w:eastAsia="zh-CN"/>
        </w:rPr>
        <w:t>设”项目</w:t>
      </w:r>
      <w:r>
        <w:rPr>
          <w:rFonts w:hint="default" w:ascii="Times New Roman" w:hAnsi="Times New Roman" w:eastAsia="仿宋_GB2312" w:cs="Times New Roman"/>
          <w:color w:val="auto"/>
          <w:spacing w:val="-6"/>
          <w:kern w:val="2"/>
          <w:sz w:val="32"/>
          <w:szCs w:val="32"/>
          <w:highlight w:val="none"/>
          <w:lang w:val="en-US" w:eastAsia="zh-CN" w:bidi="ar-SA"/>
        </w:rPr>
        <w:t>持续开展</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kern w:val="2"/>
          <w:sz w:val="32"/>
          <w:szCs w:val="32"/>
          <w:highlight w:val="none"/>
          <w:lang w:val="en-US" w:eastAsia="zh-CN" w:bidi="ar-SA"/>
        </w:rPr>
        <w:t>20个样</w:t>
      </w:r>
      <w:r>
        <w:rPr>
          <w:rFonts w:hint="default" w:ascii="Times New Roman" w:hAnsi="Times New Roman" w:eastAsia="仿宋_GB2312" w:cs="Times New Roman"/>
          <w:color w:val="auto"/>
          <w:spacing w:val="-6"/>
          <w:sz w:val="32"/>
          <w:szCs w:val="32"/>
          <w:lang w:val="en-US" w:eastAsia="zh-CN"/>
        </w:rPr>
        <w:t>板培育校特色应用深入推</w:t>
      </w:r>
      <w:r>
        <w:rPr>
          <w:rFonts w:hint="default" w:ascii="Times New Roman" w:hAnsi="Times New Roman" w:eastAsia="仿宋_GB2312" w:cs="Times New Roman"/>
          <w:color w:val="auto"/>
          <w:spacing w:val="-6"/>
          <w:kern w:val="2"/>
          <w:sz w:val="32"/>
          <w:szCs w:val="32"/>
          <w:highlight w:val="none"/>
          <w:lang w:val="en-US" w:eastAsia="zh-CN" w:bidi="ar-SA"/>
        </w:rPr>
        <w:t>进</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rPr>
        <w:t>获评第三批全国家校（园）共育数字化项目示范区</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《数字化赋能PBL项目制教学》获评省教育数字化典型应用场景。加强教育数字化平台建设，区域教育应用服务进一步完善，</w:t>
      </w:r>
      <w:r>
        <w:rPr>
          <w:rFonts w:hint="default" w:ascii="Times New Roman" w:hAnsi="Times New Roman" w:eastAsia="仿宋_GB2312" w:cs="Times New Roman"/>
          <w:color w:val="auto"/>
          <w:spacing w:val="-6"/>
          <w:sz w:val="32"/>
          <w:szCs w:val="32"/>
        </w:rPr>
        <w:t>苏州线上教育中心太仓分中心创建专题22184个，总资源数45160个，累计观看资源2320.76万次。</w:t>
      </w:r>
      <w:r>
        <w:rPr>
          <w:rFonts w:hint="default" w:ascii="Times New Roman" w:hAnsi="Times New Roman" w:eastAsia="仿宋_GB2312" w:cs="Times New Roman"/>
          <w:color w:val="auto"/>
          <w:spacing w:val="-6"/>
          <w:sz w:val="32"/>
          <w:szCs w:val="32"/>
          <w:lang w:val="en-US" w:eastAsia="zh-CN"/>
        </w:rPr>
        <w:t>未来教师培养工程、学生核心素养提升助力工程有效实施。</w:t>
      </w:r>
    </w:p>
    <w:p w14:paraId="51D4D53C">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（三）教育装备水平不断提升。</w:t>
      </w:r>
      <w:r>
        <w:rPr>
          <w:rFonts w:hint="default" w:ascii="Times New Roman" w:hAnsi="Times New Roman" w:eastAsia="仿宋_GB2312" w:cs="Times New Roman"/>
          <w:color w:val="auto"/>
          <w:spacing w:val="-6"/>
          <w:sz w:val="32"/>
          <w:szCs w:val="32"/>
          <w:lang w:val="en-US" w:eastAsia="zh-CN"/>
        </w:rPr>
        <w:t>实现省“阳光平台”“互联网+明厨亮灶”安全监管平台全覆盖，加强食材配送流程监管，创新建立食堂“学校行政+学生家长+食堂工作人员”供货联合验菜机制，全市中小学幼儿园食堂量化等级优秀率达97.6%。持续推行营养配餐工作，制定学生优秀带量食谱97份，保障学生餐营养美味。全力提升中小学实验管理水平、教师实验教学能力及学生实验创新能力，实施小学科学实验优师计划，组织参加省中小学生实验知识竞赛、苏州市中小学实验教学说课评比及学生实验能力大赛，获奖成果丰硕。坚持发展型资助育人导向，全年资助学生6369人次，资助金额555.9万元，连续四年获省学生资助绩效考核优秀等次。</w:t>
      </w:r>
    </w:p>
    <w:p w14:paraId="1FF772E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三、聚焦育人方式变革，夯实教育高质量发展人才培养力</w:t>
      </w:r>
    </w:p>
    <w:p w14:paraId="3C0B38D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（一）立德树人根本任务牢牢把握。</w:t>
      </w:r>
      <w:r>
        <w:rPr>
          <w:rFonts w:hint="default" w:ascii="Times New Roman" w:hAnsi="Times New Roman" w:eastAsia="仿宋_GB2312" w:cs="Times New Roman"/>
          <w:color w:val="auto"/>
          <w:spacing w:val="-6"/>
          <w:kern w:val="2"/>
          <w:sz w:val="32"/>
          <w:szCs w:val="32"/>
          <w:highlight w:val="none"/>
          <w:lang w:val="en-US" w:eastAsia="zh-CN" w:bidi="ar-SA"/>
        </w:rPr>
        <w:t>坚持党对德育工作的领导，多措并举部署关心关爱未成年人工作。持续健全“大思政课”工作体系，不断推进习近平新时代中国特色社会主义思想进教材、进课堂、进头脑。开展“扣好人生第一粒扣子”主题教育，组织“童”字系列、“学习二十大 争做接班人”和“青少年学生五心教育”等活动120场，厚植爱国主义情怀。推进中小学生品格提升工程项目建设，新增苏州市品格提升工程项目2个。有效链接区域教育资源，持续营造协同育人氛围，成功举办苏州市“润心”主题研讨暨太仓市家校社协同育人成果与学生综合素养展示活动。</w:t>
      </w:r>
      <w:r>
        <w:rPr>
          <w:rFonts w:hint="default" w:ascii="Times New Roman" w:hAnsi="Times New Roman" w:eastAsia="仿宋_GB2312" w:cs="Times New Roman"/>
          <w:color w:val="auto"/>
          <w:spacing w:val="-6"/>
          <w:sz w:val="32"/>
          <w:szCs w:val="32"/>
          <w:lang w:eastAsia="zh-CN"/>
        </w:rPr>
        <w:t>获省市及太仓市级三好学生、优秀学生干部等</w:t>
      </w:r>
      <w:r>
        <w:rPr>
          <w:rFonts w:hint="default" w:ascii="Times New Roman" w:hAnsi="Times New Roman" w:eastAsia="仿宋_GB2312" w:cs="Times New Roman"/>
          <w:color w:val="auto"/>
          <w:spacing w:val="-6"/>
          <w:sz w:val="32"/>
          <w:szCs w:val="32"/>
          <w:lang w:val="en-US" w:eastAsia="zh-CN"/>
        </w:rPr>
        <w:t>荣誉</w:t>
      </w:r>
      <w:r>
        <w:rPr>
          <w:rFonts w:hint="default" w:ascii="Times New Roman" w:hAnsi="Times New Roman" w:eastAsia="仿宋_GB2312" w:cs="Times New Roman"/>
          <w:color w:val="auto"/>
          <w:spacing w:val="-6"/>
          <w:kern w:val="2"/>
          <w:sz w:val="32"/>
          <w:szCs w:val="32"/>
          <w:highlight w:val="none"/>
          <w:lang w:val="en-US" w:eastAsia="zh-CN" w:bidi="ar-SA"/>
        </w:rPr>
        <w:t>494人</w:t>
      </w:r>
      <w:r>
        <w:rPr>
          <w:rFonts w:hint="default" w:ascii="Times New Roman" w:hAnsi="Times New Roman" w:eastAsia="仿宋_GB2312" w:cs="Times New Roman"/>
          <w:color w:val="auto"/>
          <w:spacing w:val="-6"/>
          <w:sz w:val="32"/>
          <w:szCs w:val="32"/>
          <w:lang w:eastAsia="zh-CN"/>
        </w:rPr>
        <w:t>。</w:t>
      </w:r>
    </w:p>
    <w:p w14:paraId="0525284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（二）促进学生全面发展蹄疾步稳。</w:t>
      </w:r>
      <w:r>
        <w:rPr>
          <w:rFonts w:hint="default" w:ascii="Times New Roman" w:hAnsi="Times New Roman" w:eastAsia="仿宋_GB2312" w:cs="Times New Roman"/>
          <w:color w:val="auto"/>
          <w:spacing w:val="-6"/>
          <w:sz w:val="32"/>
          <w:szCs w:val="32"/>
          <w:lang w:val="en-US" w:eastAsia="zh-CN"/>
        </w:rPr>
        <w:t>丰富校园体育活动，</w:t>
      </w:r>
      <w:r>
        <w:rPr>
          <w:rFonts w:hint="default" w:ascii="Times New Roman" w:hAnsi="Times New Roman" w:eastAsia="仿宋_GB2312" w:cs="Times New Roman"/>
          <w:color w:val="auto"/>
          <w:spacing w:val="-6"/>
          <w:sz w:val="32"/>
          <w:szCs w:val="32"/>
          <w:lang w:eastAsia="zh-CN"/>
        </w:rPr>
        <w:t>组织阳光体育运动联赛，进一步提升学生体质健康水平</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eastAsia="zh-CN"/>
        </w:rPr>
        <w:t>高新区二小获“省长杯”小学男子甲组亚军，双凤中心小学女篮获苏州市校园篮球联赛“八连冠”。强化美育浸润行动，</w:t>
      </w:r>
      <w:r>
        <w:rPr>
          <w:rFonts w:hint="default" w:ascii="Times New Roman" w:hAnsi="Times New Roman" w:eastAsia="仿宋_GB2312" w:cs="Times New Roman"/>
          <w:color w:val="auto"/>
          <w:spacing w:val="-6"/>
          <w:kern w:val="0"/>
          <w:sz w:val="32"/>
          <w:szCs w:val="32"/>
          <w:lang w:val="en-US" w:eastAsia="zh-CN" w:bidi="ar"/>
        </w:rPr>
        <w:t>构建“一校一艺术”特色项目，实验小学获省第八届中小学生艺术展演活动美育改革创新优秀案例一等奖，</w:t>
      </w:r>
      <w:r>
        <w:rPr>
          <w:rFonts w:hint="default" w:ascii="Times New Roman" w:hAnsi="Times New Roman" w:eastAsia="仿宋_GB2312" w:cs="Times New Roman"/>
          <w:color w:val="auto"/>
          <w:spacing w:val="-6"/>
          <w:kern w:val="2"/>
          <w:sz w:val="32"/>
          <w:szCs w:val="32"/>
          <w:highlight w:val="none"/>
          <w:lang w:val="en-US" w:eastAsia="zh-CN" w:bidi="ar-SA"/>
        </w:rPr>
        <w:t>小百灵童声合唱团获第十七届中国国际合唱节“典范之声”称号。聚焦劳动教育课程化、生活化，创新劳动教育内容和方法，中小学社会实践基地获评2023年省中小学劳动教育与综合实践优秀基地，获评市劳动教育特色学校5所。</w:t>
      </w:r>
      <w:r>
        <w:rPr>
          <w:rFonts w:hint="default" w:ascii="Times New Roman" w:hAnsi="Times New Roman" w:eastAsia="仿宋_GB2312" w:cs="Times New Roman"/>
          <w:color w:val="auto"/>
          <w:spacing w:val="-6"/>
          <w:sz w:val="32"/>
          <w:szCs w:val="32"/>
          <w:lang w:eastAsia="zh-CN"/>
        </w:rPr>
        <w:t>陆渡小学获评全国中小学国防教育示范学校。</w:t>
      </w:r>
    </w:p>
    <w:p w14:paraId="57FFBC2C">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eastAsia="仿宋_GB2312" w:cs="Times New Roman"/>
          <w:color w:val="auto"/>
          <w:spacing w:val="-6"/>
          <w:kern w:val="0"/>
          <w:sz w:val="32"/>
          <w:szCs w:val="32"/>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（三）区域德育特色品牌创新擦亮。</w:t>
      </w:r>
      <w:r>
        <w:rPr>
          <w:rFonts w:hint="default" w:ascii="Times New Roman" w:hAnsi="Times New Roman" w:eastAsia="仿宋_GB2312" w:cs="Times New Roman"/>
          <w:color w:val="auto"/>
          <w:spacing w:val="-6"/>
          <w:kern w:val="0"/>
          <w:sz w:val="32"/>
          <w:szCs w:val="32"/>
          <w:lang w:val="en-US" w:eastAsia="zh-CN" w:bidi="ar-SA"/>
        </w:rPr>
        <w:t>着力推进</w:t>
      </w:r>
      <w:r>
        <w:rPr>
          <w:rFonts w:hint="default" w:ascii="Times New Roman" w:hAnsi="Times New Roman" w:eastAsia="仿宋_GB2312" w:cs="Times New Roman"/>
          <w:color w:val="auto"/>
          <w:spacing w:val="-6"/>
          <w:kern w:val="2"/>
          <w:sz w:val="32"/>
          <w:szCs w:val="32"/>
          <w:highlight w:val="none"/>
          <w:lang w:val="en-US" w:eastAsia="zh-CN" w:bidi="ar-SA"/>
        </w:rPr>
        <w:t>“德育新时空”品牌建设，</w:t>
      </w:r>
      <w:r>
        <w:rPr>
          <w:rFonts w:hint="default" w:ascii="Times New Roman" w:hAnsi="Times New Roman" w:eastAsia="仿宋_GB2312" w:cs="Times New Roman"/>
          <w:color w:val="auto"/>
          <w:spacing w:val="-6"/>
          <w:sz w:val="32"/>
          <w:szCs w:val="32"/>
          <w:lang w:val="en-US" w:eastAsia="zh-CN"/>
        </w:rPr>
        <w:t>积极开发区域特色课程和线上资源，落实青春期教育“七个一”行动，编制完成区域青春期教育手册，组织开发“54321德育与心理”课程，</w:t>
      </w:r>
      <w:r>
        <w:rPr>
          <w:rFonts w:hint="default" w:ascii="Times New Roman" w:hAnsi="Times New Roman" w:eastAsia="仿宋_GB2312" w:cs="Times New Roman"/>
          <w:color w:val="auto"/>
          <w:spacing w:val="-6"/>
          <w:kern w:val="0"/>
          <w:sz w:val="32"/>
          <w:szCs w:val="32"/>
          <w:lang w:val="en-US" w:eastAsia="zh-CN" w:bidi="ar-SA"/>
        </w:rPr>
        <w:t>新增青春期教育、文明礼仪教育、心理健康教育精品课程92节，推出线上德育微课12节。深入实施“润心”行动，用好心理热线和家庭教育指导热线，通过心理健康筛查与干预、社工课堂、家长训练营、教师工作坊等举措，不断优化心理健康服务体系。聚力提升德育队伍专业化水平，强化班主任、家庭教育指导师等培训，构建全方位、多层次心育人才培育体系。</w:t>
      </w:r>
    </w:p>
    <w:p w14:paraId="27471E3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四、提升教育教学质量，增强教育高质量发展内涵品质力</w:t>
      </w:r>
    </w:p>
    <w:p w14:paraId="0109E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（一）基础教育优质普惠跨上新台阶。</w:t>
      </w:r>
      <w:r>
        <w:rPr>
          <w:rFonts w:hint="default" w:ascii="Times New Roman" w:hAnsi="Times New Roman" w:eastAsia="仿宋_GB2312" w:cs="Times New Roman"/>
          <w:b/>
          <w:bCs/>
          <w:color w:val="auto"/>
          <w:spacing w:val="-6"/>
          <w:kern w:val="2"/>
          <w:sz w:val="32"/>
          <w:szCs w:val="32"/>
          <w:highlight w:val="none"/>
          <w:lang w:val="en-US" w:eastAsia="zh-CN" w:bidi="ar-SA"/>
        </w:rPr>
        <w:t>学前教育：</w:t>
      </w:r>
      <w:r>
        <w:rPr>
          <w:rFonts w:hint="default" w:ascii="Times New Roman" w:hAnsi="Times New Roman" w:eastAsia="仿宋_GB2312" w:cs="Times New Roman"/>
          <w:b w:val="0"/>
          <w:bCs w:val="0"/>
          <w:color w:val="auto"/>
          <w:spacing w:val="-6"/>
          <w:kern w:val="2"/>
          <w:sz w:val="32"/>
          <w:szCs w:val="32"/>
          <w:highlight w:val="none"/>
          <w:lang w:val="en-US" w:eastAsia="zh-CN" w:bidi="ar-SA"/>
        </w:rPr>
        <w:t>高位统筹协调</w:t>
      </w:r>
      <w:r>
        <w:rPr>
          <w:rFonts w:hint="default" w:ascii="Times New Roman" w:hAnsi="Times New Roman" w:eastAsia="仿宋_GB2312" w:cs="Times New Roman"/>
          <w:color w:val="auto"/>
          <w:spacing w:val="-6"/>
          <w:sz w:val="32"/>
          <w:szCs w:val="32"/>
          <w:highlight w:val="none"/>
          <w:lang w:val="en-US" w:eastAsia="zh-CN"/>
        </w:rPr>
        <w:t>国家学前教育普及普惠县（市、区）创建，高质量通过学前教育普及普惠县（市、区）省级实地核查。课程游戏化项目深入推进，新增苏州市优质幼儿园4所，省市优质园、普惠园占比分别达92.35%、93.51%。</w:t>
      </w:r>
      <w:r>
        <w:rPr>
          <w:rFonts w:hint="default" w:ascii="Times New Roman" w:hAnsi="Times New Roman" w:eastAsia="仿宋_GB2312" w:cs="Times New Roman"/>
          <w:b/>
          <w:bCs/>
          <w:color w:val="auto"/>
          <w:spacing w:val="-6"/>
          <w:kern w:val="2"/>
          <w:sz w:val="32"/>
          <w:szCs w:val="32"/>
          <w:lang w:val="en-US" w:eastAsia="zh-CN" w:bidi="ar-SA"/>
        </w:rPr>
        <w:t>义务教育：</w:t>
      </w:r>
      <w:r>
        <w:rPr>
          <w:rFonts w:hint="default" w:ascii="Times New Roman" w:hAnsi="Times New Roman" w:eastAsia="仿宋_GB2312" w:cs="Times New Roman"/>
          <w:color w:val="auto"/>
          <w:spacing w:val="-6"/>
          <w:sz w:val="32"/>
          <w:szCs w:val="32"/>
          <w:lang w:val="en-US" w:eastAsia="zh-CN"/>
        </w:rPr>
        <w:t>“三纵九横”教育联盟持续深入推进，小学生良好学习品质培养计划、初中学校“强校计划”有效实施，科学系统做好幼小衔接、小初衔接工作。获评全国义务教育优质均衡发展县（市、区），全国基础教育集团化办学联盟2024年度大会在太成功举办。</w:t>
      </w:r>
      <w:r>
        <w:rPr>
          <w:rFonts w:hint="default" w:ascii="Times New Roman" w:hAnsi="Times New Roman" w:eastAsia="仿宋_GB2312" w:cs="Times New Roman"/>
          <w:b/>
          <w:bCs/>
          <w:color w:val="auto"/>
          <w:spacing w:val="-6"/>
          <w:kern w:val="2"/>
          <w:sz w:val="32"/>
          <w:szCs w:val="32"/>
          <w:lang w:val="en-US" w:eastAsia="zh-CN" w:bidi="ar-SA"/>
        </w:rPr>
        <w:t>高中教育：</w:t>
      </w:r>
      <w:r>
        <w:rPr>
          <w:rFonts w:hint="default" w:ascii="Times New Roman" w:hAnsi="Times New Roman" w:eastAsia="仿宋_GB2312" w:cs="Times New Roman"/>
          <w:color w:val="auto"/>
          <w:spacing w:val="-6"/>
          <w:sz w:val="32"/>
          <w:szCs w:val="32"/>
          <w:highlight w:val="none"/>
        </w:rPr>
        <w:t>有序推进“小</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初</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高”贯通一体化拔尖创新人才培养，</w:t>
      </w:r>
      <w:r>
        <w:rPr>
          <w:rFonts w:hint="default" w:ascii="Times New Roman" w:hAnsi="Times New Roman" w:eastAsia="仿宋_GB2312" w:cs="Times New Roman"/>
          <w:color w:val="auto"/>
          <w:spacing w:val="-6"/>
          <w:sz w:val="32"/>
          <w:szCs w:val="32"/>
          <w:lang w:val="en-US" w:eastAsia="zh-CN"/>
        </w:rPr>
        <w:t>创新探索普通高中新型人才培养模式，我市四星级高中均获得省级高品质特色高中建设立项。2024年高考拔尖考生取得重大突破，C9高校录取18人，其中清北录取3人，本科达线率提升至91.95%，本科和特殊类型线出线人数和出线率均创历史新高。</w:t>
      </w:r>
      <w:r>
        <w:rPr>
          <w:rFonts w:hint="default" w:ascii="Times New Roman" w:hAnsi="Times New Roman" w:eastAsia="仿宋_GB2312" w:cs="Times New Roman"/>
          <w:b/>
          <w:bCs/>
          <w:color w:val="auto"/>
          <w:spacing w:val="-6"/>
          <w:kern w:val="2"/>
          <w:sz w:val="32"/>
          <w:szCs w:val="32"/>
          <w:lang w:val="en-US" w:eastAsia="zh-CN" w:bidi="ar-SA"/>
        </w:rPr>
        <w:t>特殊教育：</w:t>
      </w:r>
      <w:r>
        <w:rPr>
          <w:rFonts w:hint="default" w:ascii="Times New Roman" w:hAnsi="Times New Roman" w:eastAsia="仿宋_GB2312" w:cs="Times New Roman"/>
          <w:color w:val="auto"/>
          <w:spacing w:val="-6"/>
          <w:kern w:val="2"/>
          <w:sz w:val="32"/>
          <w:szCs w:val="32"/>
          <w:lang w:val="en-US" w:eastAsia="zh-CN" w:bidi="ar-SA"/>
        </w:rPr>
        <w:t>省融合教育示范区建设全力推进，</w:t>
      </w:r>
      <w:r>
        <w:rPr>
          <w:rFonts w:hint="default" w:ascii="Times New Roman" w:hAnsi="Times New Roman" w:eastAsia="仿宋_GB2312" w:cs="Times New Roman"/>
          <w:color w:val="auto"/>
          <w:spacing w:val="-6"/>
          <w:sz w:val="32"/>
          <w:szCs w:val="32"/>
          <w:highlight w:val="none"/>
          <w:lang w:val="en-US" w:eastAsia="zh-CN"/>
        </w:rPr>
        <w:t>立足</w:t>
      </w:r>
      <w:r>
        <w:rPr>
          <w:rFonts w:hint="default" w:ascii="Times New Roman" w:hAnsi="Times New Roman" w:eastAsia="仿宋_GB2312" w:cs="Times New Roman"/>
          <w:color w:val="auto"/>
          <w:spacing w:val="-6"/>
          <w:kern w:val="0"/>
          <w:sz w:val="32"/>
          <w:szCs w:val="32"/>
          <w:lang w:val="en-US" w:eastAsia="zh-CN" w:bidi="ar-SA"/>
        </w:rPr>
        <w:t>省特殊教育发展工程项目</w:t>
      </w:r>
      <w:r>
        <w:rPr>
          <w:rFonts w:hint="default" w:ascii="Times New Roman" w:hAnsi="Times New Roman" w:eastAsia="仿宋_GB2312" w:cs="Times New Roman"/>
          <w:color w:val="auto"/>
          <w:spacing w:val="-6"/>
          <w:sz w:val="32"/>
          <w:szCs w:val="32"/>
          <w:highlight w:val="none"/>
          <w:lang w:val="en-US" w:eastAsia="zh-CN"/>
        </w:rPr>
        <w:t>《融爱成海 合创未来——融合教育</w:t>
      </w:r>
      <w:r>
        <w:rPr>
          <w:rFonts w:hint="default" w:ascii="Times New Roman" w:hAnsi="Times New Roman" w:eastAsia="仿宋_GB2312" w:cs="Times New Roman"/>
          <w:color w:val="auto"/>
          <w:spacing w:val="-6"/>
          <w:kern w:val="0"/>
          <w:sz w:val="32"/>
          <w:szCs w:val="32"/>
          <w:lang w:val="en-US" w:eastAsia="zh-CN" w:bidi="ar-SA"/>
        </w:rPr>
        <w:t>高质量发展的区域实践》，提升特殊教育公共服务水平。</w:t>
      </w:r>
    </w:p>
    <w:p w14:paraId="6B327D41">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eastAsia="仿宋_GB2312" w:cs="Times New Roman"/>
          <w:color w:val="auto"/>
          <w:spacing w:val="-6"/>
          <w:kern w:val="0"/>
          <w:sz w:val="32"/>
          <w:szCs w:val="32"/>
          <w:lang w:val="en-US" w:eastAsia="zh-Hans" w:bidi="ar-SA"/>
        </w:rPr>
      </w:pPr>
      <w:r>
        <w:rPr>
          <w:rFonts w:hint="default" w:ascii="Times New Roman" w:hAnsi="Times New Roman" w:eastAsia="楷体_GB2312" w:cs="Times New Roman"/>
          <w:b w:val="0"/>
          <w:bCs w:val="0"/>
          <w:color w:val="auto"/>
          <w:spacing w:val="-6"/>
          <w:kern w:val="2"/>
          <w:sz w:val="32"/>
          <w:szCs w:val="32"/>
          <w:lang w:val="en-US" w:eastAsia="zh-CN" w:bidi="ar-SA"/>
        </w:rPr>
        <w:t>（二）职业教育本土实践走出新步伐。</w:t>
      </w:r>
      <w:r>
        <w:rPr>
          <w:rFonts w:hint="default" w:ascii="Times New Roman" w:hAnsi="Times New Roman" w:eastAsia="仿宋_GB2312" w:cs="Times New Roman"/>
          <w:color w:val="auto"/>
          <w:spacing w:val="-6"/>
          <w:kern w:val="2"/>
          <w:sz w:val="32"/>
          <w:szCs w:val="32"/>
          <w:lang w:eastAsia="zh-Hans" w:bidi="ar-SA"/>
        </w:rPr>
        <w:t>锚定太仓</w:t>
      </w:r>
      <w:r>
        <w:rPr>
          <w:rFonts w:hint="default" w:ascii="Times New Roman" w:hAnsi="Times New Roman" w:eastAsia="仿宋_GB2312" w:cs="Times New Roman"/>
          <w:color w:val="auto"/>
          <w:spacing w:val="-6"/>
          <w:kern w:val="0"/>
          <w:sz w:val="32"/>
          <w:szCs w:val="32"/>
          <w:lang w:val="en-US" w:eastAsia="zh-Hans" w:bidi="ar-SA"/>
        </w:rPr>
        <w:t>“3+3”产业创新集群，强化产</w:t>
      </w:r>
      <w:r>
        <w:rPr>
          <w:rFonts w:hint="default" w:ascii="Times New Roman" w:hAnsi="Times New Roman" w:eastAsia="仿宋_GB2312" w:cs="Times New Roman"/>
          <w:color w:val="auto"/>
          <w:spacing w:val="-6"/>
          <w:kern w:val="0"/>
          <w:sz w:val="32"/>
          <w:szCs w:val="32"/>
          <w:lang w:val="en-US" w:eastAsia="zh-CN" w:bidi="ar-SA"/>
        </w:rPr>
        <w:t>教</w:t>
      </w:r>
      <w:r>
        <w:rPr>
          <w:rFonts w:hint="default" w:ascii="Times New Roman" w:hAnsi="Times New Roman" w:eastAsia="仿宋_GB2312" w:cs="Times New Roman"/>
          <w:color w:val="auto"/>
          <w:spacing w:val="-6"/>
          <w:kern w:val="0"/>
          <w:sz w:val="32"/>
          <w:szCs w:val="32"/>
          <w:lang w:val="en-US" w:eastAsia="zh-Hans" w:bidi="ar-SA"/>
        </w:rPr>
        <w:t>学融合</w:t>
      </w:r>
      <w:r>
        <w:rPr>
          <w:rFonts w:hint="default" w:ascii="Times New Roman" w:hAnsi="Times New Roman" w:eastAsia="仿宋_GB2312" w:cs="Times New Roman"/>
          <w:color w:val="auto"/>
          <w:spacing w:val="-6"/>
          <w:kern w:val="0"/>
          <w:sz w:val="32"/>
          <w:szCs w:val="32"/>
          <w:lang w:val="en-US" w:eastAsia="zh-CN" w:bidi="ar-SA"/>
        </w:rPr>
        <w:t>。</w:t>
      </w:r>
      <w:r>
        <w:rPr>
          <w:rFonts w:hint="default" w:ascii="Times New Roman" w:hAnsi="Times New Roman" w:eastAsia="仿宋_GB2312" w:cs="Times New Roman"/>
          <w:color w:val="auto"/>
          <w:spacing w:val="-6"/>
          <w:kern w:val="2"/>
          <w:sz w:val="32"/>
          <w:szCs w:val="32"/>
          <w:lang w:val="en-US" w:eastAsia="zh-Hans" w:bidi="ar-SA"/>
        </w:rPr>
        <w:t>出台</w:t>
      </w:r>
      <w:r>
        <w:rPr>
          <w:rFonts w:hint="default" w:ascii="Times New Roman" w:hAnsi="Times New Roman" w:eastAsia="仿宋_GB2312" w:cs="Times New Roman"/>
          <w:color w:val="auto"/>
          <w:spacing w:val="-6"/>
          <w:kern w:val="2"/>
          <w:sz w:val="32"/>
          <w:szCs w:val="32"/>
          <w:lang w:eastAsia="zh-Hans" w:bidi="ar-SA"/>
        </w:rPr>
        <w:t>《</w:t>
      </w:r>
      <w:r>
        <w:rPr>
          <w:rFonts w:hint="default" w:ascii="Times New Roman" w:hAnsi="Times New Roman" w:eastAsia="仿宋_GB2312" w:cs="Times New Roman"/>
          <w:color w:val="auto"/>
          <w:spacing w:val="-6"/>
          <w:kern w:val="2"/>
          <w:sz w:val="32"/>
          <w:szCs w:val="32"/>
          <w:lang w:val="en-US" w:eastAsia="zh-Hans" w:bidi="ar-SA"/>
        </w:rPr>
        <w:t>关于深化产教融合</w:t>
      </w:r>
      <w:r>
        <w:rPr>
          <w:rFonts w:hint="default" w:ascii="Times New Roman" w:hAnsi="Times New Roman" w:eastAsia="仿宋_GB2312" w:cs="Times New Roman"/>
          <w:color w:val="auto"/>
          <w:spacing w:val="-6"/>
          <w:kern w:val="2"/>
          <w:sz w:val="32"/>
          <w:szCs w:val="32"/>
          <w:lang w:eastAsia="zh-Hans" w:bidi="ar-SA"/>
        </w:rPr>
        <w:t xml:space="preserve"> </w:t>
      </w:r>
      <w:r>
        <w:rPr>
          <w:rFonts w:hint="default" w:ascii="Times New Roman" w:hAnsi="Times New Roman" w:eastAsia="仿宋_GB2312" w:cs="Times New Roman"/>
          <w:color w:val="auto"/>
          <w:spacing w:val="-6"/>
          <w:kern w:val="2"/>
          <w:sz w:val="32"/>
          <w:szCs w:val="32"/>
          <w:lang w:val="en-US" w:eastAsia="zh-Hans" w:bidi="ar-SA"/>
        </w:rPr>
        <w:t>推进“双元制”教育高质量发展的若干政策</w:t>
      </w:r>
      <w:r>
        <w:rPr>
          <w:rFonts w:hint="default" w:ascii="Times New Roman" w:hAnsi="Times New Roman" w:eastAsia="仿宋_GB2312" w:cs="Times New Roman"/>
          <w:color w:val="auto"/>
          <w:spacing w:val="-6"/>
          <w:kern w:val="2"/>
          <w:sz w:val="32"/>
          <w:szCs w:val="32"/>
          <w:lang w:eastAsia="zh-Hans" w:bidi="ar-SA"/>
        </w:rPr>
        <w:t>》</w:t>
      </w:r>
      <w:r>
        <w:rPr>
          <w:rFonts w:hint="default" w:ascii="Times New Roman" w:hAnsi="Times New Roman" w:eastAsia="仿宋_GB2312" w:cs="Times New Roman"/>
          <w:color w:val="auto"/>
          <w:spacing w:val="-6"/>
          <w:kern w:val="2"/>
          <w:sz w:val="32"/>
          <w:szCs w:val="32"/>
          <w:lang w:eastAsia="zh-CN" w:bidi="ar-SA"/>
        </w:rPr>
        <w:t>。</w:t>
      </w:r>
      <w:r>
        <w:rPr>
          <w:rFonts w:hint="default" w:ascii="Times New Roman" w:hAnsi="Times New Roman" w:eastAsia="仿宋_GB2312" w:cs="Times New Roman"/>
          <w:color w:val="auto"/>
          <w:spacing w:val="-6"/>
          <w:kern w:val="0"/>
          <w:sz w:val="32"/>
          <w:szCs w:val="32"/>
          <w:lang w:val="en-US" w:eastAsia="zh-Hans" w:bidi="ar-SA"/>
        </w:rPr>
        <w:t>太仓中德智能制造产教联合体入选</w:t>
      </w:r>
      <w:r>
        <w:rPr>
          <w:rFonts w:hint="default" w:ascii="Times New Roman" w:hAnsi="Times New Roman" w:eastAsia="仿宋_GB2312" w:cs="Times New Roman"/>
          <w:color w:val="auto"/>
          <w:spacing w:val="-6"/>
          <w:kern w:val="0"/>
          <w:sz w:val="32"/>
          <w:szCs w:val="32"/>
          <w:lang w:val="en-US" w:eastAsia="zh-CN" w:bidi="ar-SA"/>
        </w:rPr>
        <w:t>“</w:t>
      </w:r>
      <w:r>
        <w:rPr>
          <w:rFonts w:hint="default" w:ascii="Times New Roman" w:hAnsi="Times New Roman" w:eastAsia="仿宋_GB2312" w:cs="Times New Roman"/>
          <w:color w:val="auto"/>
          <w:spacing w:val="-6"/>
          <w:kern w:val="0"/>
          <w:sz w:val="32"/>
          <w:szCs w:val="32"/>
          <w:lang w:val="en-US" w:eastAsia="zh-Hans" w:bidi="ar-SA"/>
        </w:rPr>
        <w:t>2024年新设国家市域产教联合体</w:t>
      </w:r>
      <w:r>
        <w:rPr>
          <w:rFonts w:hint="default" w:ascii="Times New Roman" w:hAnsi="Times New Roman" w:eastAsia="仿宋_GB2312" w:cs="Times New Roman"/>
          <w:color w:val="auto"/>
          <w:spacing w:val="-6"/>
          <w:kern w:val="0"/>
          <w:sz w:val="32"/>
          <w:szCs w:val="32"/>
          <w:lang w:val="en-US" w:eastAsia="zh-CN" w:bidi="ar-SA"/>
        </w:rPr>
        <w:t>”，“构建职普融通、产教融合双元制职业教育体系”获评中国改革2024年度地方全面深化改革典型案例，</w:t>
      </w:r>
      <w:r>
        <w:rPr>
          <w:rFonts w:hint="default" w:ascii="Times New Roman" w:hAnsi="Times New Roman" w:eastAsia="仿宋_GB2312" w:cs="Times New Roman"/>
          <w:color w:val="auto"/>
          <w:spacing w:val="-6"/>
          <w:kern w:val="0"/>
          <w:sz w:val="32"/>
          <w:szCs w:val="32"/>
          <w:lang w:val="en-US" w:eastAsia="zh-Hans" w:bidi="ar-SA"/>
        </w:rPr>
        <w:t>获评首批苏州市优秀行业产教融合共同体1个</w:t>
      </w:r>
      <w:r>
        <w:rPr>
          <w:rFonts w:hint="default" w:ascii="Times New Roman" w:hAnsi="Times New Roman" w:eastAsia="仿宋_GB2312" w:cs="Times New Roman"/>
          <w:color w:val="auto"/>
          <w:spacing w:val="-6"/>
          <w:kern w:val="0"/>
          <w:sz w:val="32"/>
          <w:szCs w:val="32"/>
          <w:lang w:val="en-US" w:eastAsia="zh-CN" w:bidi="ar-SA"/>
        </w:rPr>
        <w:t>。</w:t>
      </w:r>
      <w:r>
        <w:rPr>
          <w:rFonts w:hint="default" w:ascii="Times New Roman" w:hAnsi="Times New Roman" w:eastAsia="仿宋_GB2312" w:cs="Times New Roman"/>
          <w:color w:val="auto"/>
          <w:spacing w:val="-6"/>
          <w:kern w:val="0"/>
          <w:sz w:val="32"/>
          <w:szCs w:val="32"/>
          <w:lang w:val="en-US" w:eastAsia="zh-Hans" w:bidi="ar-SA"/>
        </w:rPr>
        <w:t>新增苏州市职业院校优秀产业（企业）学院2个、现代学徒制项目1个</w:t>
      </w:r>
      <w:r>
        <w:rPr>
          <w:rFonts w:hint="default" w:ascii="Times New Roman" w:hAnsi="Times New Roman" w:eastAsia="仿宋_GB2312" w:cs="Times New Roman"/>
          <w:color w:val="auto"/>
          <w:spacing w:val="-6"/>
          <w:kern w:val="0"/>
          <w:sz w:val="32"/>
          <w:szCs w:val="32"/>
          <w:lang w:val="en-US" w:eastAsia="zh-CN" w:bidi="ar-SA"/>
        </w:rPr>
        <w:t>和</w:t>
      </w:r>
      <w:r>
        <w:rPr>
          <w:rFonts w:hint="default" w:ascii="Times New Roman" w:hAnsi="Times New Roman" w:eastAsia="仿宋_GB2312" w:cs="Times New Roman"/>
          <w:color w:val="auto"/>
          <w:spacing w:val="-6"/>
          <w:kern w:val="0"/>
          <w:sz w:val="32"/>
          <w:szCs w:val="32"/>
          <w:lang w:val="en-US" w:eastAsia="zh-Hans" w:bidi="ar-SA"/>
        </w:rPr>
        <w:t>江苏联院五年制高职专业2个、高水平产业学院2个、现代学徒制示范专业点3个。新增中等职业教育与应用本科教育“3+4”分段培养项目。职教高考成绩创历年新高，省太中专达本率63.84%。职教“四大赛”成绩持续提升，</w:t>
      </w:r>
      <w:r>
        <w:rPr>
          <w:rFonts w:hint="default" w:ascii="Times New Roman" w:hAnsi="Times New Roman" w:eastAsia="仿宋_GB2312" w:cs="Times New Roman"/>
          <w:color w:val="auto"/>
          <w:spacing w:val="-6"/>
          <w:kern w:val="0"/>
          <w:sz w:val="32"/>
          <w:szCs w:val="32"/>
          <w:lang w:val="en-US" w:eastAsia="zh-CN" w:bidi="ar-SA"/>
        </w:rPr>
        <w:t>夺得省赛2</w:t>
      </w:r>
      <w:r>
        <w:rPr>
          <w:rFonts w:hint="default" w:ascii="Times New Roman" w:hAnsi="Times New Roman" w:eastAsia="仿宋_GB2312" w:cs="Times New Roman"/>
          <w:color w:val="auto"/>
          <w:spacing w:val="-6"/>
          <w:kern w:val="0"/>
          <w:sz w:val="32"/>
          <w:szCs w:val="32"/>
          <w:lang w:val="en-US" w:eastAsia="zh-Hans" w:bidi="ar-SA"/>
        </w:rPr>
        <w:t>金</w:t>
      </w:r>
      <w:r>
        <w:rPr>
          <w:rFonts w:hint="default" w:ascii="Times New Roman" w:hAnsi="Times New Roman" w:eastAsia="仿宋_GB2312" w:cs="Times New Roman"/>
          <w:color w:val="auto"/>
          <w:spacing w:val="-6"/>
          <w:kern w:val="0"/>
          <w:sz w:val="32"/>
          <w:szCs w:val="32"/>
          <w:lang w:val="en-US" w:eastAsia="zh-CN" w:bidi="ar-SA"/>
        </w:rPr>
        <w:t>7</w:t>
      </w:r>
      <w:r>
        <w:rPr>
          <w:rFonts w:hint="default" w:ascii="Times New Roman" w:hAnsi="Times New Roman" w:eastAsia="仿宋_GB2312" w:cs="Times New Roman"/>
          <w:color w:val="auto"/>
          <w:spacing w:val="-6"/>
          <w:kern w:val="0"/>
          <w:sz w:val="32"/>
          <w:szCs w:val="32"/>
          <w:lang w:val="en-US" w:eastAsia="zh-Hans" w:bidi="ar-SA"/>
        </w:rPr>
        <w:t>银</w:t>
      </w:r>
      <w:r>
        <w:rPr>
          <w:rFonts w:hint="default" w:ascii="Times New Roman" w:hAnsi="Times New Roman" w:eastAsia="仿宋_GB2312" w:cs="Times New Roman"/>
          <w:color w:val="auto"/>
          <w:spacing w:val="-6"/>
          <w:kern w:val="0"/>
          <w:sz w:val="32"/>
          <w:szCs w:val="32"/>
          <w:lang w:val="en-US" w:eastAsia="zh-CN" w:bidi="ar-SA"/>
        </w:rPr>
        <w:t>9</w:t>
      </w:r>
      <w:r>
        <w:rPr>
          <w:rFonts w:hint="default" w:ascii="Times New Roman" w:hAnsi="Times New Roman" w:eastAsia="仿宋_GB2312" w:cs="Times New Roman"/>
          <w:color w:val="auto"/>
          <w:spacing w:val="-6"/>
          <w:kern w:val="0"/>
          <w:sz w:val="32"/>
          <w:szCs w:val="32"/>
          <w:lang w:val="en-US" w:eastAsia="zh-Hans" w:bidi="ar-SA"/>
        </w:rPr>
        <w:t>铜，获2024</w:t>
      </w:r>
      <w:r>
        <w:rPr>
          <w:rFonts w:hint="default" w:ascii="Times New Roman" w:hAnsi="Times New Roman" w:eastAsia="仿宋_GB2312" w:cs="Times New Roman"/>
          <w:color w:val="auto"/>
          <w:spacing w:val="-6"/>
          <w:kern w:val="0"/>
          <w:sz w:val="32"/>
          <w:szCs w:val="32"/>
          <w:lang w:val="en-US" w:eastAsia="zh-CN" w:bidi="ar-SA"/>
        </w:rPr>
        <w:t>“一带一路”</w:t>
      </w:r>
      <w:r>
        <w:rPr>
          <w:rFonts w:hint="default" w:ascii="Times New Roman" w:hAnsi="Times New Roman" w:eastAsia="仿宋_GB2312" w:cs="Times New Roman"/>
          <w:color w:val="auto"/>
          <w:spacing w:val="-6"/>
          <w:kern w:val="0"/>
          <w:sz w:val="32"/>
          <w:szCs w:val="32"/>
          <w:lang w:val="en-US" w:eastAsia="zh-Hans" w:bidi="ar-SA"/>
        </w:rPr>
        <w:t>暨金砖国家技能发展与技术创新大赛全国三等奖。</w:t>
      </w:r>
      <w:r>
        <w:rPr>
          <w:rFonts w:hint="default" w:ascii="Times New Roman" w:hAnsi="Times New Roman" w:eastAsia="仿宋_GB2312" w:cs="Times New Roman"/>
          <w:color w:val="auto"/>
          <w:spacing w:val="-6"/>
          <w:kern w:val="0"/>
          <w:sz w:val="32"/>
          <w:szCs w:val="32"/>
          <w:lang w:val="en-US" w:eastAsia="zh-CN" w:bidi="ar-SA"/>
        </w:rPr>
        <w:t>省太中专被认定为</w:t>
      </w:r>
      <w:r>
        <w:rPr>
          <w:rFonts w:hint="default" w:ascii="Times New Roman" w:hAnsi="Times New Roman" w:eastAsia="仿宋_GB2312" w:cs="Times New Roman"/>
          <w:color w:val="auto"/>
          <w:spacing w:val="-6"/>
          <w:kern w:val="0"/>
          <w:sz w:val="32"/>
          <w:szCs w:val="32"/>
          <w:lang w:val="en-US" w:eastAsia="zh-Hans" w:bidi="ar-SA"/>
        </w:rPr>
        <w:t>江苏联合职业技术学院太仓分院</w:t>
      </w:r>
      <w:r>
        <w:rPr>
          <w:rFonts w:hint="default" w:ascii="Times New Roman" w:hAnsi="Times New Roman" w:eastAsia="仿宋_GB2312" w:cs="Times New Roman"/>
          <w:color w:val="auto"/>
          <w:spacing w:val="-6"/>
          <w:kern w:val="0"/>
          <w:sz w:val="32"/>
          <w:szCs w:val="32"/>
          <w:lang w:val="en-US" w:eastAsia="zh-CN" w:bidi="ar-SA"/>
        </w:rPr>
        <w:t>。</w:t>
      </w:r>
    </w:p>
    <w:p w14:paraId="337D831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楷体_GB2312" w:cs="Times New Roman"/>
          <w:b w:val="0"/>
          <w:bCs w:val="0"/>
          <w:color w:val="auto"/>
          <w:spacing w:val="-6"/>
          <w:kern w:val="2"/>
          <w:sz w:val="32"/>
          <w:szCs w:val="32"/>
          <w:highlight w:val="none"/>
          <w:lang w:val="en-US" w:eastAsia="zh-CN" w:bidi="ar-SA"/>
        </w:rPr>
        <w:t>（三）高等教育发展创新取得新进展。</w:t>
      </w:r>
      <w:r>
        <w:rPr>
          <w:rFonts w:hint="default" w:ascii="Times New Roman" w:hAnsi="Times New Roman" w:eastAsia="仿宋_GB2312" w:cs="Times New Roman"/>
          <w:b w:val="0"/>
          <w:bCs w:val="0"/>
          <w:color w:val="auto"/>
          <w:spacing w:val="-6"/>
          <w:kern w:val="2"/>
          <w:sz w:val="32"/>
          <w:szCs w:val="32"/>
          <w:highlight w:val="none"/>
          <w:lang w:val="en-US" w:eastAsia="zh-CN" w:bidi="ar-SA"/>
        </w:rPr>
        <w:t>持续发挥高校发展服务中心沟通协调功能，在太高校各项办学工作稳步推进。引导在太高校逐步稳定增加在校学生规模，2024年西浦太仓校区新增5个硕士专业，师生规模超3000人。协助在太高校对上争取上级人才计划，西工大获评国家级青年人才1人、省级人才项目9人、苏州市级项目9人，首届苏州市青年科学家2人。探索产学研深度融合新方式，西工大苏州高等研究院和“三航”产业科技创新中心揭牌，已入驻“三航”产业科技创新中心的校企联合创新中心10家。西浦太仓校区浦创汇等校内创新创业孵化平台高效运营，孵化项目25个。协助办好“西工大校园苏州日”“西浦全球梦想家大赛”等活动。依托高校学科和人才优势，助力港口发展“一号工程”。</w:t>
      </w:r>
    </w:p>
    <w:p w14:paraId="43501D91">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（四）终身教育阵地建设展现新成效。</w:t>
      </w:r>
      <w:r>
        <w:rPr>
          <w:rFonts w:hint="default" w:ascii="Times New Roman" w:hAnsi="Times New Roman" w:eastAsia="仿宋_GB2312" w:cs="Times New Roman"/>
          <w:b w:val="0"/>
          <w:bCs w:val="0"/>
          <w:color w:val="auto"/>
          <w:spacing w:val="-6"/>
          <w:kern w:val="2"/>
          <w:sz w:val="32"/>
          <w:szCs w:val="32"/>
          <w:lang w:val="en-US" w:eastAsia="zh-CN" w:bidi="ar-SA"/>
        </w:rPr>
        <w:t>召开太仓市终身教育专题工作会议，组织开展“百姓学习之星”“社区教育先进工</w:t>
      </w:r>
      <w:r>
        <w:rPr>
          <w:rFonts w:hint="default" w:ascii="Times New Roman" w:hAnsi="Times New Roman" w:eastAsia="仿宋_GB2312" w:cs="Times New Roman"/>
          <w:color w:val="auto"/>
          <w:spacing w:val="-6"/>
          <w:kern w:val="0"/>
          <w:sz w:val="32"/>
          <w:szCs w:val="32"/>
          <w:lang w:val="en-US" w:eastAsia="zh-CN" w:bidi="ar-SA"/>
        </w:rPr>
        <w:t>作者”“社区教育优秀志愿者”评选，获省级荣誉称号3人。持续擦亮社区教育品牌，“红印光晖 艺术娄东”入选2024年度省社区教育特色品牌培育项目，苏州市级社会教育课题成功结项2个，苏州市“家门口的老年大学”项目点考核优秀2个。获社区教育教师能力大赛苏州市级奖项7个、苏州市社区教育论文评比三等奖1篇，“太青彩”获评苏州市第二届社区教育优秀团队。</w:t>
      </w:r>
    </w:p>
    <w:p w14:paraId="3872D5AD">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五、推进师资队伍建设，赋能教育高质量发展核心竞争力</w:t>
      </w:r>
    </w:p>
    <w:p w14:paraId="684DF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（一）师德师风建设常态长效。</w:t>
      </w:r>
      <w:r>
        <w:rPr>
          <w:rFonts w:hint="default" w:ascii="Times New Roman" w:hAnsi="Times New Roman" w:eastAsia="仿宋_GB2312" w:cs="Times New Roman"/>
          <w:b w:val="0"/>
          <w:bCs w:val="0"/>
          <w:color w:val="auto"/>
          <w:spacing w:val="-6"/>
          <w:kern w:val="2"/>
          <w:sz w:val="32"/>
          <w:szCs w:val="32"/>
          <w:lang w:val="en-US" w:eastAsia="zh-CN" w:bidi="ar-SA"/>
        </w:rPr>
        <w:t>印发《2024年太仓市教师队伍建设工作要点》。坚定不移把师德师风建设放在教师队伍建设的首要位置，纳入各级各类教师培训、教师职业发展等环节，推动师德师风建设常态化。实施教职工准入查询制度，严肃查处师德失范行为。探索多渠道、全方位优秀教师事迹宣传路径，讲好</w:t>
      </w:r>
      <w:r>
        <w:rPr>
          <w:rFonts w:hint="default" w:ascii="Times New Roman" w:hAnsi="Times New Roman" w:eastAsia="仿宋_GB2312" w:cs="Times New Roman"/>
          <w:color w:val="auto"/>
          <w:spacing w:val="-6"/>
          <w:kern w:val="0"/>
          <w:sz w:val="32"/>
          <w:szCs w:val="32"/>
          <w:lang w:val="en-US" w:eastAsia="zh-CN" w:bidi="ar-SA"/>
        </w:rPr>
        <w:t>太仓教师立德树人故事，充分</w:t>
      </w:r>
      <w:r>
        <w:rPr>
          <w:rFonts w:hint="default" w:ascii="Times New Roman" w:hAnsi="Times New Roman" w:eastAsia="仿宋_GB2312" w:cs="Times New Roman"/>
          <w:b w:val="0"/>
          <w:bCs w:val="0"/>
          <w:color w:val="auto"/>
          <w:spacing w:val="-6"/>
          <w:kern w:val="2"/>
          <w:sz w:val="32"/>
          <w:szCs w:val="32"/>
          <w:lang w:val="en-US" w:eastAsia="zh-CN" w:bidi="ar-SA"/>
        </w:rPr>
        <w:t>发挥示范引领和辐射带动作用，</w:t>
      </w:r>
      <w:r>
        <w:rPr>
          <w:rFonts w:hint="default" w:ascii="Times New Roman" w:hAnsi="Times New Roman" w:eastAsia="仿宋_GB2312" w:cs="Times New Roman"/>
          <w:color w:val="auto"/>
          <w:spacing w:val="-6"/>
          <w:kern w:val="0"/>
          <w:sz w:val="32"/>
          <w:szCs w:val="32"/>
          <w:lang w:val="en-US" w:eastAsia="zh-CN" w:bidi="ar-SA"/>
        </w:rPr>
        <w:t>获评“全国模范教师”1人、“江苏省模范教师”1人、“四有”好教师团队省级重点培育团队1个。开展规范教职工履职专项治理行动，重点治理有偿家教、微商、直播带货等网上营利性兼职取酬行为，营造风清气正育人环境。</w:t>
      </w:r>
    </w:p>
    <w:p w14:paraId="158EFE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（二）人才招引生态近悦远来。</w:t>
      </w:r>
      <w:r>
        <w:rPr>
          <w:rFonts w:hint="default" w:ascii="Times New Roman" w:hAnsi="Times New Roman" w:eastAsia="仿宋_GB2312" w:cs="Times New Roman"/>
          <w:b w:val="0"/>
          <w:bCs w:val="0"/>
          <w:color w:val="auto"/>
          <w:spacing w:val="-6"/>
          <w:kern w:val="2"/>
          <w:sz w:val="32"/>
          <w:szCs w:val="32"/>
          <w:lang w:val="en-US" w:eastAsia="zh-CN" w:bidi="ar-SA"/>
        </w:rPr>
        <w:t>完善《太仓市教育人才计划实施细则》，健全人才保障配套措施。</w:t>
      </w:r>
      <w:r>
        <w:rPr>
          <w:rFonts w:hint="default" w:ascii="Times New Roman" w:hAnsi="Times New Roman" w:eastAsia="仿宋_GB2312" w:cs="Times New Roman"/>
          <w:b w:val="0"/>
          <w:bCs w:val="0"/>
          <w:color w:val="auto"/>
          <w:spacing w:val="-6"/>
          <w:kern w:val="2"/>
          <w:sz w:val="32"/>
          <w:szCs w:val="32"/>
          <w:lang w:val="en" w:eastAsia="zh-CN" w:bidi="ar-SA"/>
        </w:rPr>
        <w:t>大力弘扬尊师重教</w:t>
      </w:r>
      <w:r>
        <w:rPr>
          <w:rFonts w:hint="default" w:ascii="Times New Roman" w:hAnsi="Times New Roman" w:eastAsia="仿宋_GB2312" w:cs="Times New Roman"/>
          <w:color w:val="auto"/>
          <w:spacing w:val="-6"/>
          <w:kern w:val="0"/>
          <w:sz w:val="32"/>
          <w:szCs w:val="32"/>
          <w:lang w:val="en" w:eastAsia="zh-CN" w:bidi="ar-SA"/>
        </w:rPr>
        <w:t>社会风尚，</w:t>
      </w:r>
      <w:r>
        <w:rPr>
          <w:rFonts w:hint="default" w:ascii="Times New Roman" w:hAnsi="Times New Roman" w:eastAsia="仿宋_GB2312" w:cs="Times New Roman"/>
          <w:color w:val="auto"/>
          <w:spacing w:val="-6"/>
          <w:kern w:val="0"/>
          <w:sz w:val="32"/>
          <w:szCs w:val="32"/>
          <w:lang w:val="en-US" w:eastAsia="zh-CN" w:bidi="ar-SA"/>
        </w:rPr>
        <w:t>落实惠师举措，完善关爱激励教师机制。加大高层次教育人才引育力度，重点引进一批优秀青年骨干教师和名师名校长，全年共引进高层次教育人才8人。加大名校优生人才招聘力度，探索与知名高校开展联合培养、定向培养、驻校式培养。完善优秀高中毕业生报考师范类专业奖励政策，拓宽教师培养补充渠道。进一步加强优秀师资队伍源头储备，全年共招录新教师401人、签约师范生18人、乡村定向师范生40人。</w:t>
      </w:r>
    </w:p>
    <w:p w14:paraId="4F120DC9">
      <w:pPr>
        <w:pStyle w:val="2"/>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（三）分层培育体系建优建强。</w:t>
      </w:r>
      <w:r>
        <w:rPr>
          <w:rFonts w:hint="default" w:ascii="Times New Roman" w:hAnsi="Times New Roman" w:eastAsia="仿宋_GB2312" w:cs="Times New Roman"/>
          <w:b w:val="0"/>
          <w:bCs w:val="0"/>
          <w:color w:val="auto"/>
          <w:spacing w:val="-6"/>
          <w:kern w:val="2"/>
          <w:sz w:val="32"/>
          <w:szCs w:val="32"/>
          <w:lang w:val="en-US" w:eastAsia="zh-CN" w:bidi="ar-SA"/>
        </w:rPr>
        <w:t>优化“四层六级九模式”教师专业发展路径，新增姑苏教育名家、领军人才、青年拔尖人</w:t>
      </w:r>
      <w:r>
        <w:rPr>
          <w:rFonts w:hint="default" w:ascii="Times New Roman" w:hAnsi="Times New Roman" w:eastAsia="仿宋_GB2312" w:cs="Times New Roman"/>
          <w:color w:val="auto"/>
          <w:spacing w:val="-6"/>
          <w:kern w:val="0"/>
          <w:sz w:val="32"/>
          <w:szCs w:val="32"/>
          <w:lang w:val="en-US" w:eastAsia="zh-CN" w:bidi="ar-SA"/>
        </w:rPr>
        <w:t>才16人，正高级教师6人，苏州市学科带头人50人，太仓市学科带头人91人。推进职初教师跟踪培育，</w:t>
      </w:r>
      <w:r>
        <w:rPr>
          <w:rFonts w:hint="default" w:ascii="Times New Roman" w:hAnsi="Times New Roman" w:eastAsia="仿宋_GB2312" w:cs="Times New Roman"/>
          <w:color w:val="auto"/>
          <w:spacing w:val="-6"/>
          <w:kern w:val="0"/>
          <w:sz w:val="32"/>
          <w:szCs w:val="32"/>
          <w:lang w:val="en" w:eastAsia="zh-CN" w:bidi="ar-SA"/>
        </w:rPr>
        <w:t>健全骨干教师分层培养机制，</w:t>
      </w:r>
      <w:r>
        <w:rPr>
          <w:rFonts w:hint="default" w:ascii="Times New Roman" w:hAnsi="Times New Roman" w:eastAsia="仿宋_GB2312" w:cs="Times New Roman"/>
          <w:color w:val="auto"/>
          <w:spacing w:val="-6"/>
          <w:kern w:val="0"/>
          <w:sz w:val="32"/>
          <w:szCs w:val="32"/>
          <w:lang w:val="en-US" w:eastAsia="zh-CN" w:bidi="ar-SA"/>
        </w:rPr>
        <w:t>修订高研班和名师俱乐部培训方案、乡村培育站实施方案、名师工作管理办法和骨干教师年度考核办法，组建名师工作室25个、中青年骨干研修班16个、乡村骨干培育站23个和职初教师培育工作坊22个。实施“县管校聘”管理改革，持续优化区域资源配置。</w:t>
      </w:r>
    </w:p>
    <w:p w14:paraId="748AF67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六、深化教育综合改革，激发教育高质量发展社会协同力</w:t>
      </w:r>
    </w:p>
    <w:p w14:paraId="75732237">
      <w:pPr>
        <w:pStyle w:val="2"/>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kern w:val="0"/>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（一）重点改革全速推进。</w:t>
      </w:r>
      <w:r>
        <w:rPr>
          <w:rFonts w:hint="default" w:ascii="Times New Roman" w:hAnsi="Times New Roman" w:eastAsia="仿宋_GB2312" w:cs="Times New Roman"/>
          <w:b w:val="0"/>
          <w:bCs w:val="0"/>
          <w:color w:val="auto"/>
          <w:spacing w:val="-6"/>
          <w:kern w:val="2"/>
          <w:sz w:val="32"/>
          <w:szCs w:val="32"/>
          <w:lang w:val="en-US" w:eastAsia="zh-CN" w:bidi="ar-SA"/>
        </w:rPr>
        <w:t>落实《关于太仓教育高质量发展的</w:t>
      </w:r>
      <w:r>
        <w:rPr>
          <w:rFonts w:hint="default" w:ascii="Times New Roman" w:hAnsi="Times New Roman" w:eastAsia="仿宋_GB2312" w:cs="Times New Roman"/>
          <w:color w:val="auto"/>
          <w:spacing w:val="-6"/>
          <w:kern w:val="0"/>
          <w:sz w:val="32"/>
          <w:szCs w:val="32"/>
          <w:lang w:val="en-US" w:eastAsia="zh-CN" w:bidi="ar-SA"/>
        </w:rPr>
        <w:t>若干措施（2024~2028）》，打造太仓“活力教育”2.0新样态，开展“活力课堂”“活力课程”“活力研修”等活动，入选2024年省基础教育内涵建设项目省级参评项目4个。做好科学教育加法，获评“十四五”第二批省科学教育综合示范校1所。持续开展省前瞻性项目“跨学科主题学习课堂评价”研究。探索学校社工联合体创新实践，</w:t>
      </w:r>
      <w:r>
        <w:rPr>
          <w:rFonts w:hint="default" w:ascii="Times New Roman" w:hAnsi="Times New Roman" w:eastAsia="仿宋_GB2312" w:cs="Times New Roman"/>
          <w:color w:val="auto"/>
          <w:spacing w:val="-6"/>
          <w:kern w:val="0"/>
          <w:sz w:val="32"/>
          <w:szCs w:val="32"/>
          <w:rtl w:val="0"/>
          <w:lang w:val="en-US" w:eastAsia="zh-CN" w:bidi="ar-SA"/>
        </w:rPr>
        <w:t>《太仓市学校社工管理办法》完成更新。</w:t>
      </w:r>
      <w:r>
        <w:rPr>
          <w:rFonts w:hint="default" w:ascii="Times New Roman" w:hAnsi="Times New Roman" w:eastAsia="仿宋_GB2312" w:cs="Times New Roman"/>
          <w:color w:val="auto"/>
          <w:spacing w:val="-6"/>
          <w:kern w:val="0"/>
          <w:sz w:val="32"/>
          <w:szCs w:val="32"/>
          <w:lang w:val="en-US" w:eastAsia="zh-CN" w:bidi="ar-SA"/>
        </w:rPr>
        <w:t>“一校一社工”成功参评2024年中国基础教育十大创新案例。规范外来工子弟学校专项治理，外来工子弟学校全部完成撤并，</w:t>
      </w:r>
      <w:r>
        <w:rPr>
          <w:rFonts w:hint="default" w:ascii="Times New Roman" w:hAnsi="Times New Roman" w:eastAsia="仿宋_GB2312" w:cs="Times New Roman"/>
          <w:color w:val="auto"/>
          <w:spacing w:val="-6"/>
          <w:kern w:val="0"/>
          <w:sz w:val="32"/>
          <w:szCs w:val="32"/>
          <w:lang w:val="en-US" w:eastAsia="zh-Hans" w:bidi="ar-SA"/>
        </w:rPr>
        <w:t>民办义务教育在校生占比降至0.78%</w:t>
      </w:r>
      <w:r>
        <w:rPr>
          <w:rFonts w:hint="default" w:ascii="Times New Roman" w:hAnsi="Times New Roman" w:eastAsia="仿宋_GB2312" w:cs="Times New Roman"/>
          <w:color w:val="auto"/>
          <w:spacing w:val="-6"/>
          <w:kern w:val="0"/>
          <w:sz w:val="32"/>
          <w:szCs w:val="32"/>
          <w:lang w:val="en-US" w:eastAsia="zh-CN" w:bidi="ar-SA"/>
        </w:rPr>
        <w:t>。巩固全市“双减”工作实践成果，拓宽课后服务校内外资源渠道，打造多样课后服务形态。严查隐形变异培训机构，及时化解培训机构涉稳风险。</w:t>
      </w:r>
    </w:p>
    <w:p w14:paraId="40435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楷体_GB2312" w:cs="Times New Roman"/>
          <w:b w:val="0"/>
          <w:bCs w:val="0"/>
          <w:color w:val="auto"/>
          <w:spacing w:val="-6"/>
          <w:kern w:val="2"/>
          <w:sz w:val="32"/>
          <w:szCs w:val="32"/>
          <w:lang w:val="en-US" w:eastAsia="zh-CN" w:bidi="ar-SA"/>
        </w:rPr>
        <w:t>（二）依法治教全面加强。</w:t>
      </w:r>
      <w:r>
        <w:rPr>
          <w:rFonts w:hint="default" w:ascii="Times New Roman" w:hAnsi="Times New Roman" w:eastAsia="仿宋_GB2312" w:cs="Times New Roman"/>
          <w:b w:val="0"/>
          <w:bCs w:val="0"/>
          <w:color w:val="auto"/>
          <w:spacing w:val="-6"/>
          <w:kern w:val="2"/>
          <w:sz w:val="32"/>
          <w:szCs w:val="32"/>
          <w:lang w:val="en-US" w:eastAsia="zh-CN" w:bidi="ar-SA"/>
        </w:rPr>
        <w:t>严格执行公平性竞争审查和合法性审查制度，做好规范性文件的立、改、废工作，推进证明事项告知承诺制，强化教育依法行政。扎实推进“八五”普法工作，推动习近平法治思想全面进校园。依托“法润成长·放飞梦想”普法特色品牌，推进“一校一品”法治文化阵地建设，构建多元</w:t>
      </w:r>
      <w:r>
        <w:rPr>
          <w:rFonts w:hint="default" w:ascii="Times New Roman" w:hAnsi="Times New Roman" w:eastAsia="仿宋_GB2312" w:cs="Times New Roman"/>
          <w:color w:val="auto"/>
          <w:spacing w:val="-6"/>
          <w:kern w:val="0"/>
          <w:sz w:val="32"/>
          <w:szCs w:val="32"/>
          <w:lang w:val="en-US" w:eastAsia="zh-CN" w:bidi="ar-SA"/>
        </w:rPr>
        <w:t>法治宣传教育途径，获评首批省依法治校示范校1所。以推进信访工作法治化为引领，矛盾纠纷源头治理、信访事项高效处办等工作进一步加强。依法依规化解各界人士关切事，办理人大建议、政协提案共22个，满意度100%。</w:t>
      </w:r>
    </w:p>
    <w:p w14:paraId="09294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6" w:firstLineChars="200"/>
        <w:textAlignment w:val="auto"/>
        <w:rPr>
          <w:rFonts w:hint="default" w:ascii="Times New Roman" w:hAnsi="Times New Roman" w:eastAsia="仿宋_GB2312" w:cs="Times New Roman"/>
          <w:bCs/>
          <w:color w:val="auto"/>
          <w:spacing w:val="-6"/>
          <w:kern w:val="0"/>
          <w:sz w:val="32"/>
          <w:szCs w:val="32"/>
          <w:lang w:val="en-US" w:eastAsia="zh-CN"/>
        </w:rPr>
      </w:pPr>
      <w:r>
        <w:rPr>
          <w:rFonts w:hint="default" w:ascii="Times New Roman" w:hAnsi="Times New Roman" w:eastAsia="楷体_GB2312" w:cs="Times New Roman"/>
          <w:b w:val="0"/>
          <w:bCs w:val="0"/>
          <w:color w:val="auto"/>
          <w:spacing w:val="-6"/>
          <w:kern w:val="2"/>
          <w:sz w:val="32"/>
          <w:szCs w:val="32"/>
          <w:lang w:val="en-US" w:eastAsia="zh-CN" w:bidi="ar-SA"/>
        </w:rPr>
        <w:t>（三）保障能级全力提升。</w:t>
      </w:r>
      <w:r>
        <w:rPr>
          <w:rFonts w:hint="default" w:ascii="Times New Roman" w:hAnsi="Times New Roman" w:eastAsia="仿宋_GB2312" w:cs="Times New Roman"/>
          <w:b w:val="0"/>
          <w:bCs w:val="0"/>
          <w:color w:val="auto"/>
          <w:spacing w:val="-6"/>
          <w:kern w:val="2"/>
          <w:sz w:val="32"/>
          <w:szCs w:val="32"/>
          <w:lang w:val="en-US" w:eastAsia="zh-CN" w:bidi="ar-SA"/>
        </w:rPr>
        <w:t>认真做</w:t>
      </w:r>
      <w:r>
        <w:rPr>
          <w:rFonts w:hint="default" w:ascii="Times New Roman" w:hAnsi="Times New Roman" w:eastAsia="仿宋_GB2312" w:cs="Times New Roman"/>
          <w:color w:val="auto"/>
          <w:spacing w:val="-6"/>
          <w:kern w:val="0"/>
          <w:sz w:val="32"/>
          <w:szCs w:val="32"/>
          <w:lang w:val="en-US" w:eastAsia="zh-CN" w:bidi="ar-SA"/>
        </w:rPr>
        <w:t>好2023年度县级市（区）政府教育履职整改，开展省义务教育优质均衡监测、省普及普惠监测工作。开展心理健康教育、“双减”落实情况等教育重点工作专项督导，规范学校办学行为，助推学校发展。组织“垃圾分类进校园 环保意识润童心”主题活动，切实增强师生垃圾分类意识。做实做细教育系统内部审计工作，建立健全常态化监督机制，加大整改落实力度。规范招考组织管理，完成国家、省级组考工作24项，服务考生近12万人次。</w:t>
      </w:r>
      <w:r>
        <w:rPr>
          <w:rFonts w:hint="default" w:ascii="Times New Roman" w:hAnsi="Times New Roman" w:eastAsia="仿宋_GB2312" w:cs="Times New Roman"/>
          <w:bCs/>
          <w:color w:val="auto"/>
          <w:spacing w:val="-6"/>
          <w:kern w:val="0"/>
          <w:sz w:val="32"/>
          <w:szCs w:val="32"/>
          <w:lang w:val="zh-CN"/>
        </w:rPr>
        <w:t>依托</w:t>
      </w:r>
      <w:r>
        <w:rPr>
          <w:rFonts w:hint="default" w:ascii="Times New Roman" w:hAnsi="Times New Roman" w:eastAsia="仿宋_GB2312" w:cs="Times New Roman"/>
          <w:bCs/>
          <w:color w:val="auto"/>
          <w:spacing w:val="-6"/>
          <w:kern w:val="0"/>
          <w:sz w:val="32"/>
          <w:szCs w:val="32"/>
        </w:rPr>
        <w:t>省</w:t>
      </w:r>
      <w:r>
        <w:rPr>
          <w:rFonts w:hint="default" w:ascii="Times New Roman" w:hAnsi="Times New Roman" w:eastAsia="仿宋_GB2312" w:cs="Times New Roman"/>
          <w:bCs/>
          <w:color w:val="auto"/>
          <w:spacing w:val="-6"/>
          <w:kern w:val="0"/>
          <w:sz w:val="32"/>
          <w:szCs w:val="32"/>
          <w:lang w:val="zh-CN"/>
        </w:rPr>
        <w:t>中小学教学研究第十四期重点课题《指向区域推进学生发展指导的社会参与模式实践研究》，</w:t>
      </w:r>
      <w:r>
        <w:rPr>
          <w:rFonts w:hint="default" w:ascii="Times New Roman" w:hAnsi="Times New Roman" w:eastAsia="仿宋_GB2312" w:cs="Times New Roman"/>
          <w:bCs/>
          <w:color w:val="auto"/>
          <w:spacing w:val="-6"/>
          <w:kern w:val="0"/>
          <w:sz w:val="32"/>
          <w:szCs w:val="32"/>
          <w:lang w:val="en-US" w:eastAsia="zh-CN"/>
        </w:rPr>
        <w:t>优化完善“区域推进、机制赋能、学段贯通、四维一体、协同育人”的学生发展工作体系与指导模式，《区域推进中小学学生发展指导的实践研究》获评苏州市教育教学成果一等奖。</w:t>
      </w:r>
      <w:r>
        <w:rPr>
          <w:rFonts w:hint="default" w:ascii="Times New Roman" w:hAnsi="Times New Roman" w:eastAsia="仿宋_GB2312" w:cs="Times New Roman"/>
          <w:bCs/>
          <w:color w:val="auto"/>
          <w:spacing w:val="-6"/>
          <w:kern w:val="0"/>
          <w:sz w:val="32"/>
          <w:szCs w:val="32"/>
          <w:lang w:val="zh-CN"/>
        </w:rPr>
        <w:t>加大国家通用语言文字推广力度，传承弘扬中华优秀语言文化，扎实推进语言文字事业高质量发展。</w:t>
      </w:r>
    </w:p>
    <w:p w14:paraId="27D88C2F">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firstLine="616" w:firstLineChars="200"/>
        <w:textAlignment w:val="auto"/>
        <w:rPr>
          <w:rFonts w:hint="default" w:ascii="Times New Roman" w:hAnsi="Times New Roman" w:cs="Times New Roman"/>
          <w:color w:val="auto"/>
          <w:spacing w:val="-6"/>
          <w:sz w:val="32"/>
          <w:szCs w:val="32"/>
          <w:lang w:eastAsia="zh-CN"/>
        </w:rPr>
      </w:pPr>
      <w:r>
        <w:rPr>
          <w:rFonts w:hint="default" w:ascii="Times New Roman" w:hAnsi="Times New Roman" w:eastAsia="楷体_GB2312" w:cs="Times New Roman"/>
          <w:b w:val="0"/>
          <w:bCs w:val="0"/>
          <w:color w:val="auto"/>
          <w:spacing w:val="-6"/>
          <w:kern w:val="2"/>
          <w:sz w:val="32"/>
          <w:szCs w:val="32"/>
          <w:lang w:val="en-US" w:eastAsia="zh-CN" w:bidi="ar-SA"/>
        </w:rPr>
        <w:t>（四）校园安全全面守护。</w:t>
      </w:r>
      <w:r>
        <w:rPr>
          <w:rFonts w:hint="default" w:ascii="Times New Roman" w:hAnsi="Times New Roman" w:eastAsia="仿宋_GB2312" w:cs="Times New Roman"/>
          <w:b w:val="0"/>
          <w:bCs w:val="0"/>
          <w:color w:val="auto"/>
          <w:spacing w:val="-6"/>
          <w:kern w:val="2"/>
          <w:sz w:val="32"/>
          <w:szCs w:val="32"/>
          <w:lang w:val="en-US" w:eastAsia="zh-CN" w:bidi="ar-SA"/>
        </w:rPr>
        <w:t>印发《</w:t>
      </w:r>
      <w:r>
        <w:rPr>
          <w:rFonts w:hint="default" w:ascii="Times New Roman" w:hAnsi="Times New Roman" w:eastAsia="仿宋_GB2312" w:cs="Times New Roman"/>
          <w:b w:val="0"/>
          <w:bCs w:val="0"/>
          <w:color w:val="auto"/>
          <w:spacing w:val="-6"/>
          <w:sz w:val="32"/>
          <w:szCs w:val="32"/>
          <w:lang w:val="en-US" w:eastAsia="zh-CN"/>
        </w:rPr>
        <w:t>全市教育系统安全生产治本攻坚三年行动方案</w:t>
      </w:r>
      <w:r>
        <w:rPr>
          <w:rFonts w:hint="default" w:ascii="Times New Roman" w:hAnsi="Times New Roman" w:eastAsia="仿宋_GB2312" w:cs="Times New Roman"/>
          <w:b w:val="0"/>
          <w:bCs w:val="0"/>
          <w:color w:val="auto"/>
          <w:spacing w:val="-6"/>
          <w:kern w:val="2"/>
          <w:sz w:val="32"/>
          <w:szCs w:val="32"/>
          <w:lang w:val="en-US" w:eastAsia="zh-CN" w:bidi="ar-SA"/>
        </w:rPr>
        <w:t>》，严格执行“党政同责、一岗双责”，健全安全教育机制，全面推进校园安全“六化”建</w:t>
      </w:r>
      <w:r>
        <w:rPr>
          <w:rFonts w:hint="default" w:ascii="Times New Roman" w:hAnsi="Times New Roman" w:eastAsia="仿宋_GB2312" w:cs="Times New Roman"/>
          <w:color w:val="auto"/>
          <w:spacing w:val="-6"/>
          <w:kern w:val="0"/>
          <w:sz w:val="32"/>
          <w:szCs w:val="32"/>
          <w:lang w:val="en-US" w:eastAsia="zh-CN" w:bidi="ar-SA"/>
        </w:rPr>
        <w:t>设工作，压实校园安全主体责任。严格落实“133”自查巡查机制，围绕消防安全、校舍使用、实验实训等方面开展校园安全风险数据化巡查监管，形成隐患问题清单并及时整改到位。扎实推进“校园餐”专项治理工作，发现问题600余条，均完成整改，全市学校食堂运行规范程度有效提升。获评2023年省高质量平安校园建设县（市、区）。</w:t>
      </w:r>
    </w:p>
    <w:sectPr>
      <w:footerReference r:id="rId3" w:type="default"/>
      <w:pgSz w:w="11906" w:h="16838"/>
      <w:pgMar w:top="2041" w:right="1474" w:bottom="1928" w:left="147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13213C6-5757-4ADF-B80B-91139300FE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1B4DB3C-23B3-4D58-B04C-BC9E67B8259F}"/>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98A8D3A4-6322-4796-AA5C-DD4813D36B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F17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6506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6506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3474F"/>
    <w:rsid w:val="00F64BEA"/>
    <w:rsid w:val="04D57D7E"/>
    <w:rsid w:val="0EFF6327"/>
    <w:rsid w:val="0FD322E8"/>
    <w:rsid w:val="118B19BC"/>
    <w:rsid w:val="125A68E8"/>
    <w:rsid w:val="12C848B0"/>
    <w:rsid w:val="13E973C7"/>
    <w:rsid w:val="15734147"/>
    <w:rsid w:val="15EE21EA"/>
    <w:rsid w:val="17D26A91"/>
    <w:rsid w:val="18244BE3"/>
    <w:rsid w:val="18472085"/>
    <w:rsid w:val="1A921EBD"/>
    <w:rsid w:val="1C83474F"/>
    <w:rsid w:val="1EF34638"/>
    <w:rsid w:val="1F7E3D0E"/>
    <w:rsid w:val="22162A93"/>
    <w:rsid w:val="22175D08"/>
    <w:rsid w:val="229B76AE"/>
    <w:rsid w:val="241D248E"/>
    <w:rsid w:val="25766F8B"/>
    <w:rsid w:val="27D9713E"/>
    <w:rsid w:val="28092DC8"/>
    <w:rsid w:val="295A379B"/>
    <w:rsid w:val="2D7C470D"/>
    <w:rsid w:val="2DE41D7B"/>
    <w:rsid w:val="2E143EBE"/>
    <w:rsid w:val="2EF15491"/>
    <w:rsid w:val="2F480176"/>
    <w:rsid w:val="2F6723BA"/>
    <w:rsid w:val="31661634"/>
    <w:rsid w:val="31AF30FC"/>
    <w:rsid w:val="33932BCF"/>
    <w:rsid w:val="33FF357D"/>
    <w:rsid w:val="344175CA"/>
    <w:rsid w:val="346B4434"/>
    <w:rsid w:val="353F581A"/>
    <w:rsid w:val="3565226B"/>
    <w:rsid w:val="36BFEC8D"/>
    <w:rsid w:val="386254A6"/>
    <w:rsid w:val="39950FCE"/>
    <w:rsid w:val="3A37042F"/>
    <w:rsid w:val="3F162FC7"/>
    <w:rsid w:val="3F4A7C91"/>
    <w:rsid w:val="41606B30"/>
    <w:rsid w:val="44E73E1F"/>
    <w:rsid w:val="4ABA65C4"/>
    <w:rsid w:val="4B643E85"/>
    <w:rsid w:val="4CA12EFD"/>
    <w:rsid w:val="4D0B413B"/>
    <w:rsid w:val="4F6B7C06"/>
    <w:rsid w:val="508D50ED"/>
    <w:rsid w:val="51D27CA4"/>
    <w:rsid w:val="57EA3B43"/>
    <w:rsid w:val="596262C6"/>
    <w:rsid w:val="59944A35"/>
    <w:rsid w:val="5D807E56"/>
    <w:rsid w:val="5EE151C8"/>
    <w:rsid w:val="5F45150D"/>
    <w:rsid w:val="6006048D"/>
    <w:rsid w:val="64751210"/>
    <w:rsid w:val="655435DC"/>
    <w:rsid w:val="689247A7"/>
    <w:rsid w:val="69115E79"/>
    <w:rsid w:val="698C0863"/>
    <w:rsid w:val="6E554059"/>
    <w:rsid w:val="6EE85A68"/>
    <w:rsid w:val="6F391D5C"/>
    <w:rsid w:val="700D2A1D"/>
    <w:rsid w:val="71E0116F"/>
    <w:rsid w:val="72F04420"/>
    <w:rsid w:val="73434195"/>
    <w:rsid w:val="73B33A40"/>
    <w:rsid w:val="74424DE9"/>
    <w:rsid w:val="7FEE3901"/>
    <w:rsid w:val="F7FB1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
    <w:unhideWhenUsed/>
    <w:qFormat/>
    <w:uiPriority w:val="0"/>
    <w:pPr>
      <w:keepNext w:val="0"/>
      <w:keepLines w:val="0"/>
      <w:adjustRightInd w:val="0"/>
      <w:snapToGrid w:val="0"/>
      <w:spacing w:beforeLines="0" w:beforeAutospacing="0" w:afterLines="0" w:afterAutospacing="0" w:line="560" w:lineRule="exact"/>
      <w:ind w:firstLine="420" w:firstLineChars="200"/>
      <w:outlineLvl w:val="2"/>
    </w:pPr>
    <w:rPr>
      <w:rFonts w:ascii="Times New Roman" w:hAnsi="Times New Roman" w:eastAsia="仿宋_GB2312"/>
      <w:b/>
      <w:spacing w:val="-6"/>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4">
    <w:name w:val="Body Text"/>
    <w:basedOn w:val="1"/>
    <w:qFormat/>
    <w:uiPriority w:val="0"/>
    <w:pPr>
      <w:spacing w:after="120" w:line="36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adjustRightInd w:val="0"/>
      <w:snapToGrid w:val="0"/>
      <w:spacing w:after="0" w:line="500" w:lineRule="exact"/>
      <w:ind w:firstLine="420" w:firstLineChars="100"/>
    </w:pPr>
    <w:rPr>
      <w:rFonts w:ascii="Times New Roman" w:hAnsi="Times New Roman" w:eastAsia="仿宋"/>
      <w:b/>
      <w:bCs/>
      <w:sz w:val="30"/>
    </w:rPr>
  </w:style>
  <w:style w:type="character" w:customStyle="1" w:styleId="10">
    <w:name w:val="标题 3 Char"/>
    <w:link w:val="3"/>
    <w:qFormat/>
    <w:uiPriority w:val="0"/>
    <w:rPr>
      <w:rFonts w:ascii="Times New Roman" w:hAnsi="Times New Roman" w:eastAsia="仿宋_GB2312"/>
      <w:b/>
      <w:spacing w:val="-6"/>
      <w:sz w:val="32"/>
      <w:szCs w:val="32"/>
    </w:rPr>
  </w:style>
  <w:style w:type="paragraph" w:customStyle="1" w:styleId="11">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6022</Words>
  <Characters>6244</Characters>
  <Lines>0</Lines>
  <Paragraphs>0</Paragraphs>
  <TotalTime>0</TotalTime>
  <ScaleCrop>false</ScaleCrop>
  <LinksUpToDate>false</LinksUpToDate>
  <CharactersWithSpaces>6301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2024-11-12T14:40:00Z</dcterms:created>
  <dc:creator>cindy</dc:creator>
  <cp:lastModifiedBy>Administrator</cp:lastModifiedBy>
  <cp:lastPrinted>2025-02-10T05:52:00Z</cp:lastPrinted>
  <dcterms:modified xsi:type="dcterms:W3CDTF">2025-02-10T08:58:56Z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810E9C89FF6045E8B5F2418D12EC7135_13</vt:lpwstr>
  </property>
  <property fmtid="{D5CDD505-2E9C-101B-9397-08002B2CF9AE}" pid="4" name="KSOTemplateDocerSaveRecord">
    <vt:lpwstr>eyJoZGlkIjoiZWVmYzkzZDE5NjYwZmQ1MWExMDI1NDkzZDYxOTU2ZWYifQ==</vt:lpwstr>
  </property>
</Properties>
</file>