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C8A7F">
      <w:pPr>
        <w:keepNext w:val="0"/>
        <w:keepLines w:val="0"/>
        <w:pageBreakBefore w:val="0"/>
        <w:widowControl w:val="0"/>
        <w:shd w:val="clear"/>
        <w:kinsoku/>
        <w:wordWrap/>
        <w:overflowPunct/>
        <w:topLinePunct w:val="0"/>
        <w:autoSpaceDE/>
        <w:autoSpaceDN/>
        <w:bidi w:val="0"/>
        <w:adjustRightInd/>
        <w:snapToGrid/>
        <w:spacing w:line="720" w:lineRule="exact"/>
        <w:ind w:firstLine="215" w:firstLineChars="49"/>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关于公办高中指标生</w:t>
      </w:r>
    </w:p>
    <w:p w14:paraId="6D3E788C">
      <w:pPr>
        <w:keepNext w:val="0"/>
        <w:keepLines w:val="0"/>
        <w:pageBreakBefore w:val="0"/>
        <w:widowControl w:val="0"/>
        <w:shd w:val="clear"/>
        <w:kinsoku/>
        <w:wordWrap/>
        <w:overflowPunct/>
        <w:topLinePunct w:val="0"/>
        <w:autoSpaceDE/>
        <w:autoSpaceDN/>
        <w:bidi w:val="0"/>
        <w:adjustRightInd/>
        <w:snapToGrid/>
        <w:spacing w:line="720" w:lineRule="exact"/>
        <w:jc w:val="center"/>
        <w:textAlignment w:val="auto"/>
        <w:rPr>
          <w:rFonts w:hint="default" w:ascii="Times New Roman" w:hAnsi="Times New Roman" w:cs="Times New Roman"/>
          <w:color w:val="000000" w:themeColor="text1"/>
          <w:spacing w:val="-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定向分配到各初中校的通知</w:t>
      </w:r>
    </w:p>
    <w:p w14:paraId="00A2269B">
      <w:pPr>
        <w:shd w:val="clear"/>
        <w:jc w:val="center"/>
        <w:rPr>
          <w:rFonts w:hint="default" w:ascii="Times New Roman" w:hAnsi="Times New Roman" w:eastAsia="仿宋_GB2312" w:cs="Times New Roman"/>
          <w:color w:val="000000" w:themeColor="text1"/>
          <w:spacing w:val="-4"/>
          <w:sz w:val="32"/>
          <w:highlight w:val="none"/>
          <w14:textFill>
            <w14:solidFill>
              <w14:schemeClr w14:val="tx1"/>
            </w14:solidFill>
          </w14:textFill>
        </w:rPr>
      </w:pPr>
      <w:r>
        <w:rPr>
          <w:rFonts w:hint="default" w:ascii="Times New Roman" w:hAnsi="Times New Roman" w:eastAsia="仿宋_GB2312" w:cs="Times New Roman"/>
          <w:color w:val="000000" w:themeColor="text1"/>
          <w:spacing w:val="-4"/>
          <w:sz w:val="32"/>
          <w:highlight w:val="none"/>
          <w14:textFill>
            <w14:solidFill>
              <w14:schemeClr w14:val="tx1"/>
            </w14:solidFill>
          </w14:textFill>
        </w:rPr>
        <w:t>太教基〔2025〕</w:t>
      </w:r>
      <w:r>
        <w:rPr>
          <w:rFonts w:hint="eastAsia" w:eastAsia="仿宋_GB2312" w:cs="Times New Roman"/>
          <w:color w:val="000000" w:themeColor="text1"/>
          <w:spacing w:val="-4"/>
          <w:sz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4"/>
          <w:sz w:val="32"/>
          <w:highlight w:val="none"/>
          <w14:textFill>
            <w14:solidFill>
              <w14:schemeClr w14:val="tx1"/>
            </w14:solidFill>
          </w14:textFill>
        </w:rPr>
        <w:t>号</w:t>
      </w:r>
    </w:p>
    <w:p w14:paraId="6771228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各高中、初中、招生办：</w:t>
      </w:r>
    </w:p>
    <w:p w14:paraId="428B5F26">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根据《教育部关于进一步推进高中阶段学校考试招生制度改革的指导意见》（教基二〔2016〕4号）、《中共江苏省委 江苏省人民政府关于新时代推进基础教育高质量发展的意见》（苏发〔2020〕13号）、《省委办公厅省政府办公厅印发〈关于深化教育体制机制改革的实施意见〉的通知》（苏办发〔2018〕27号）、《省委办公厅省政府办公厅印发〈关于新时代推进普通高中育人方式改革和资源建设的实施意见〉的通知》（苏办发〔2020〕15号）、苏州市教育局《2025年苏州市普通高中招生工作意见》（苏教〔2025〕5号）和《关于做好2025年苏州市区各类高级中等学校招生工作的通知》（苏教〔2025〕6号）等文件相关规定，制定2025年太仓市公办普通高中指标生计划定向分配到各初中校的办法。现通知如下：</w:t>
      </w:r>
    </w:p>
    <w:p w14:paraId="760C4117">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rPr>
        <w:t>一、指标生的分配办法</w:t>
      </w:r>
    </w:p>
    <w:p w14:paraId="7F95774C">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江苏省太仓高级中学（以下简称省太高）指标生比例为招生计划的70%计462人。江苏省太仓高级中学教育集团太仓市实验高级中学（以下简称省太高集团实验高中）招生计划的50%计500人，江苏省沙溪高级中学（以下简称省沙高）招生计划的50%计400人，太仓市明德高级中学（以下简称明德高中）招生计划的50%计450人和江苏省沙溪高级中学金仓湖</w:t>
      </w:r>
      <w:r>
        <w:rPr>
          <w:rFonts w:hint="default" w:ascii="Times New Roman" w:hAnsi="Times New Roman" w:eastAsia="仿宋_GB2312" w:cs="Times New Roman"/>
          <w:color w:val="auto"/>
          <w:spacing w:val="-6"/>
          <w:sz w:val="32"/>
          <w:szCs w:val="32"/>
          <w:highlight w:val="none"/>
          <w:lang w:val="en-US" w:eastAsia="zh-CN"/>
        </w:rPr>
        <w:t>校区</w:t>
      </w:r>
      <w:r>
        <w:rPr>
          <w:rFonts w:hint="default" w:ascii="Times New Roman" w:hAnsi="Times New Roman" w:eastAsia="仿宋_GB2312" w:cs="Times New Roman"/>
          <w:color w:val="auto"/>
          <w:spacing w:val="-6"/>
          <w:sz w:val="32"/>
          <w:szCs w:val="32"/>
          <w:highlight w:val="none"/>
        </w:rPr>
        <w:t>（以下简称省沙高金仓湖</w:t>
      </w:r>
      <w:r>
        <w:rPr>
          <w:rFonts w:hint="default" w:ascii="Times New Roman" w:hAnsi="Times New Roman" w:eastAsia="仿宋_GB2312" w:cs="Times New Roman"/>
          <w:color w:val="auto"/>
          <w:spacing w:val="-6"/>
          <w:sz w:val="32"/>
          <w:szCs w:val="32"/>
          <w:highlight w:val="none"/>
          <w:lang w:val="en-US" w:eastAsia="zh-CN"/>
        </w:rPr>
        <w:t>校区</w:t>
      </w:r>
      <w:r>
        <w:rPr>
          <w:rFonts w:hint="default" w:ascii="Times New Roman" w:hAnsi="Times New Roman" w:eastAsia="仿宋_GB2312" w:cs="Times New Roman"/>
          <w:color w:val="auto"/>
          <w:spacing w:val="-6"/>
          <w:sz w:val="32"/>
          <w:szCs w:val="32"/>
          <w:highlight w:val="none"/>
        </w:rPr>
        <w:t>）招生计划的50%计200人作为定向指标分配，投放到所有初中学校。</w:t>
      </w:r>
    </w:p>
    <w:p w14:paraId="4BFB9CE4">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rPr>
        <w:t>二、指标生的具体事项</w:t>
      </w:r>
    </w:p>
    <w:p w14:paraId="5A064A71">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1.省太高、省太高集团实验高中、省沙高、明德高中和省沙高金仓湖</w:t>
      </w:r>
      <w:r>
        <w:rPr>
          <w:rFonts w:hint="default" w:ascii="Times New Roman" w:hAnsi="Times New Roman" w:eastAsia="仿宋_GB2312" w:cs="Times New Roman"/>
          <w:color w:val="auto"/>
          <w:spacing w:val="-6"/>
          <w:sz w:val="32"/>
          <w:szCs w:val="32"/>
          <w:highlight w:val="none"/>
          <w:lang w:val="en-US" w:eastAsia="zh-CN"/>
        </w:rPr>
        <w:t>校区</w:t>
      </w:r>
      <w:r>
        <w:rPr>
          <w:rFonts w:hint="default" w:ascii="Times New Roman" w:hAnsi="Times New Roman" w:eastAsia="仿宋_GB2312" w:cs="Times New Roman"/>
          <w:color w:val="auto"/>
          <w:spacing w:val="-6"/>
          <w:sz w:val="32"/>
          <w:szCs w:val="32"/>
          <w:highlight w:val="none"/>
        </w:rPr>
        <w:t>的指标按各初中校中考报名人数（不含择校生、转入学生、报名后休学学生）的比例均衡分配到各初中校。</w:t>
      </w:r>
    </w:p>
    <w:p w14:paraId="57C492F0">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2.各初中校要认真做好指标生的落实工作，指标生必须满足在初三毕业学校连续三年在籍在读及其他政策规定的相关条件，凡择校生与中途转入生均不享受指标生的分配政策。</w:t>
      </w:r>
    </w:p>
    <w:p w14:paraId="66186D0C">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3.指标生的录取，遵循填报志愿、依据计划、按分录取、社会公示的原则。具有指标生资格的考生，可填报一个志愿。录取时，先划定各公办高中指标生最低控制线，再按考生志愿及所在初中校指标生数，按中考总分从高分到低分依次录取。（详见《2025年太仓市各类高级中等学校招生工作意见》（太教〔2025〕13号文件）。</w:t>
      </w:r>
    </w:p>
    <w:p w14:paraId="0570B34A">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rPr>
        <w:t>三、工作要求</w:t>
      </w:r>
    </w:p>
    <w:p w14:paraId="520E7FA2">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实施公办高中指标生定向分配办法，是促进义务教育优质均衡发展、促进教育公平的重大举措。各公办高中与初中校要根据文件要求，认真做好宣传动员、公布定向分配指标、公示录取学生名单、及时组织指标生报到等相关工作。</w:t>
      </w:r>
    </w:p>
    <w:p w14:paraId="22C97E45">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公示时间：2025年6月中旬</w:t>
      </w:r>
    </w:p>
    <w:p w14:paraId="72491BA9">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公示场所：太仓市各初中学校</w:t>
      </w:r>
    </w:p>
    <w:p w14:paraId="72E8BC5B">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举报电话：53531152、53531151、53839607、53530093</w:t>
      </w:r>
    </w:p>
    <w:p w14:paraId="17F612F8">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指标分配详见附件。</w:t>
      </w:r>
    </w:p>
    <w:p w14:paraId="79AB16D5">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0389DAB6">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附件：2025年公办高中定向分配指标一览表</w:t>
      </w:r>
    </w:p>
    <w:p w14:paraId="4A9A308F">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496075C2">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34DAE43F">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79FAB42B">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4E160C53">
      <w:pPr>
        <w:keepNext w:val="0"/>
        <w:keepLines w:val="0"/>
        <w:pageBreakBefore w:val="0"/>
        <w:widowControl w:val="0"/>
        <w:shd w:val="clear"/>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pacing w:val="-6"/>
          <w:sz w:val="32"/>
          <w:szCs w:val="32"/>
          <w:highlight w:val="none"/>
        </w:rPr>
      </w:pPr>
    </w:p>
    <w:p w14:paraId="7B514713">
      <w:pPr>
        <w:keepNext w:val="0"/>
        <w:keepLines w:val="0"/>
        <w:pageBreakBefore w:val="0"/>
        <w:widowControl w:val="0"/>
        <w:shd w:val="clear"/>
        <w:kinsoku/>
        <w:wordWrap/>
        <w:overflowPunct/>
        <w:topLinePunct w:val="0"/>
        <w:autoSpaceDE/>
        <w:autoSpaceDN/>
        <w:bidi w:val="0"/>
        <w:adjustRightInd/>
        <w:snapToGrid/>
        <w:spacing w:line="560" w:lineRule="exact"/>
        <w:ind w:firstLine="6006" w:firstLineChars="195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太仓市教育局</w:t>
      </w:r>
    </w:p>
    <w:p w14:paraId="425BE406">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 xml:space="preserve">                                   2025年6月4日</w:t>
      </w:r>
    </w:p>
    <w:p w14:paraId="04AFBF98">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（此件公开发布）</w:t>
      </w:r>
    </w:p>
    <w:p w14:paraId="663F2C2F">
      <w:pPr>
        <w:shd w:val="clear"/>
        <w:spacing w:line="560" w:lineRule="exact"/>
        <w:ind w:firstLine="616" w:firstLineChars="200"/>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p>
    <w:p w14:paraId="16D9356B">
      <w:pPr>
        <w:shd w:val="clear"/>
        <w:spacing w:line="560" w:lineRule="exact"/>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p>
    <w:p w14:paraId="1978FA96">
      <w:pPr>
        <w:shd w:val="clear"/>
        <w:spacing w:line="560" w:lineRule="exact"/>
        <w:ind w:firstLine="616" w:firstLineChars="200"/>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p>
    <w:p w14:paraId="7E40F1FD">
      <w:pPr>
        <w:shd w:val="clear"/>
        <w:spacing w:line="560" w:lineRule="exact"/>
        <w:ind w:firstLine="616" w:firstLineChars="200"/>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p>
    <w:p w14:paraId="0495430C">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433D5FF4">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69B78902">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34046549">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31924894">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1D93FAF8">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1D7F5C40">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bookmarkStart w:id="1" w:name="_GoBack"/>
      <w:bookmarkEnd w:id="1"/>
    </w:p>
    <w:p w14:paraId="3AE8F4F2">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10068610">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13D6C4BB">
      <w:pPr>
        <w:shd w:val="clear"/>
        <w:spacing w:line="24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655CAABC">
      <w:pPr>
        <w:shd w:val="clear"/>
        <w:spacing w:line="200" w:lineRule="exact"/>
        <w:rPr>
          <w:rFonts w:hint="default" w:ascii="Times New Roman" w:hAnsi="Times New Roman" w:eastAsia="黑体" w:cs="Times New Roman"/>
          <w:color w:val="000000" w:themeColor="text1"/>
          <w:sz w:val="32"/>
          <w:szCs w:val="32"/>
          <w:highlight w:val="none"/>
          <w:u w:val="single"/>
          <w14:textFill>
            <w14:solidFill>
              <w14:schemeClr w14:val="tx1"/>
            </w14:solidFill>
          </w14:textFill>
        </w:rPr>
      </w:pPr>
    </w:p>
    <w:p w14:paraId="7EC4CCED">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p w14:paraId="20A1F2D9">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p w14:paraId="2E51B423">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p w14:paraId="03683AF3">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tbl>
      <w:tblPr>
        <w:tblStyle w:val="5"/>
        <w:tblpPr w:leftFromText="180" w:rightFromText="180" w:vertAnchor="text" w:horzAnchor="page" w:tblpX="1825" w:tblpY="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14:paraId="6BB7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0" w:type="dxa"/>
            <w:tcBorders>
              <w:left w:val="nil"/>
              <w:bottom w:val="single" w:color="auto" w:sz="12" w:space="0"/>
              <w:right w:val="nil"/>
            </w:tcBorders>
          </w:tcPr>
          <w:p w14:paraId="1674C37F">
            <w:pPr>
              <w:pStyle w:val="8"/>
              <w:shd w:val="clear"/>
              <w:overflowPunct w:val="0"/>
              <w:snapToGrid w:val="0"/>
              <w:spacing w:line="360" w:lineRule="exact"/>
              <w:rPr>
                <w:rFonts w:hint="default" w:ascii="Times New Roman" w:hAnsi="Times New Roman" w:eastAsia="仿宋_GB2312" w:cs="Times New Roman"/>
                <w:b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color w:val="000000" w:themeColor="text1"/>
                <w:sz w:val="28"/>
                <w:szCs w:val="28"/>
                <w:highlight w:val="none"/>
                <w14:textFill>
                  <w14:solidFill>
                    <w14:schemeClr w14:val="tx1"/>
                  </w14:solidFill>
                </w14:textFill>
              </w:rPr>
              <w:t>太仓市教育局党政办公室                      2025年6月4日印发</w:t>
            </w:r>
          </w:p>
        </w:tc>
      </w:tr>
    </w:tbl>
    <w:p w14:paraId="48A3FC1F">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p w14:paraId="3CB564CB">
      <w:pPr>
        <w:shd w:val="clear"/>
        <w:spacing w:line="40" w:lineRule="exact"/>
        <w:rPr>
          <w:rFonts w:hint="default" w:ascii="Times New Roman" w:hAnsi="Times New Roman" w:cs="Times New Roman"/>
          <w:color w:val="000000" w:themeColor="text1"/>
          <w:highlight w:val="none"/>
          <w14:textFill>
            <w14:solidFill>
              <w14:schemeClr w14:val="tx1"/>
            </w14:solidFill>
          </w14:textFill>
        </w:rPr>
      </w:pPr>
    </w:p>
    <w:p w14:paraId="3F07BCB8">
      <w:pPr>
        <w:shd w:val="clear"/>
        <w:spacing w:line="44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p>
    <w:p w14:paraId="674B2FA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2025年公办高中定向分配指标一览表</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1059"/>
        <w:gridCol w:w="1798"/>
        <w:gridCol w:w="1118"/>
        <w:gridCol w:w="1300"/>
        <w:gridCol w:w="1520"/>
      </w:tblGrid>
      <w:tr w14:paraId="31B5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370" w:type="dxa"/>
            <w:vAlign w:val="center"/>
          </w:tcPr>
          <w:p w14:paraId="1D1C01AC">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学校</w:t>
            </w:r>
          </w:p>
        </w:tc>
        <w:tc>
          <w:tcPr>
            <w:tcW w:w="1059" w:type="dxa"/>
            <w:vAlign w:val="center"/>
          </w:tcPr>
          <w:p w14:paraId="3B1EB533">
            <w:pPr>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省太高指标生</w:t>
            </w:r>
          </w:p>
        </w:tc>
        <w:tc>
          <w:tcPr>
            <w:tcW w:w="1798" w:type="dxa"/>
            <w:vAlign w:val="center"/>
          </w:tcPr>
          <w:p w14:paraId="7449921C">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省太高集团实验高中指标生</w:t>
            </w:r>
          </w:p>
        </w:tc>
        <w:tc>
          <w:tcPr>
            <w:tcW w:w="1118" w:type="dxa"/>
            <w:vAlign w:val="center"/>
          </w:tcPr>
          <w:p w14:paraId="420A1758">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省沙高</w:t>
            </w:r>
          </w:p>
          <w:p w14:paraId="29A4301D">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指标生</w:t>
            </w:r>
          </w:p>
        </w:tc>
        <w:tc>
          <w:tcPr>
            <w:tcW w:w="1300" w:type="dxa"/>
            <w:vAlign w:val="center"/>
          </w:tcPr>
          <w:p w14:paraId="4403E58E">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明德高中指标生</w:t>
            </w:r>
          </w:p>
        </w:tc>
        <w:tc>
          <w:tcPr>
            <w:tcW w:w="1520" w:type="dxa"/>
            <w:vAlign w:val="center"/>
          </w:tcPr>
          <w:p w14:paraId="5EBF1AC4">
            <w:pPr>
              <w:widowControl/>
              <w:shd w:val="clear"/>
              <w:spacing w:line="360" w:lineRule="exact"/>
              <w:jc w:val="center"/>
              <w:rPr>
                <w:rFonts w:hint="default" w:ascii="Times New Roman" w:hAnsi="Times New Roman" w:eastAsia="黑体" w:cs="Times New Roman"/>
                <w:color w:val="000000" w:themeColor="text1"/>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省沙高金仓湖</w:t>
            </w:r>
            <w:r>
              <w:rPr>
                <w:rFonts w:hint="default" w:ascii="Times New Roman" w:hAnsi="Times New Roman" w:eastAsia="黑体" w:cs="Times New Roman"/>
                <w:color w:val="000000" w:themeColor="text1"/>
                <w:kern w:val="0"/>
                <w:sz w:val="28"/>
                <w:szCs w:val="28"/>
                <w:highlight w:val="none"/>
                <w:lang w:val="en-US" w:eastAsia="zh-CN"/>
                <w14:textFill>
                  <w14:solidFill>
                    <w14:schemeClr w14:val="tx1"/>
                  </w14:solidFill>
                </w14:textFill>
              </w:rPr>
              <w:t>校区</w:t>
            </w:r>
            <w:r>
              <w:rPr>
                <w:rFonts w:hint="default" w:ascii="Times New Roman" w:hAnsi="Times New Roman" w:eastAsia="黑体" w:cs="Times New Roman"/>
                <w:color w:val="000000" w:themeColor="text1"/>
                <w:kern w:val="0"/>
                <w:sz w:val="28"/>
                <w:szCs w:val="28"/>
                <w:highlight w:val="none"/>
                <w14:textFill>
                  <w14:solidFill>
                    <w14:schemeClr w14:val="tx1"/>
                  </w14:solidFill>
                </w14:textFill>
              </w:rPr>
              <w:t>指标生</w:t>
            </w:r>
          </w:p>
        </w:tc>
      </w:tr>
      <w:tr w14:paraId="4AA7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684FB1D5">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bookmarkStart w:id="0" w:name="OLE_LINK3" w:colFirst="1" w:colLast="5"/>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太仓荣文中学</w:t>
            </w:r>
          </w:p>
        </w:tc>
        <w:tc>
          <w:tcPr>
            <w:tcW w:w="1059" w:type="dxa"/>
            <w:vAlign w:val="center"/>
          </w:tcPr>
          <w:p w14:paraId="3CF4CA71">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16 </w:t>
            </w:r>
          </w:p>
        </w:tc>
        <w:tc>
          <w:tcPr>
            <w:tcW w:w="1798" w:type="dxa"/>
            <w:vAlign w:val="center"/>
          </w:tcPr>
          <w:p w14:paraId="27BFD277">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18 </w:t>
            </w:r>
          </w:p>
        </w:tc>
        <w:tc>
          <w:tcPr>
            <w:tcW w:w="1118" w:type="dxa"/>
            <w:vAlign w:val="center"/>
          </w:tcPr>
          <w:p w14:paraId="4A924BD0">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14 </w:t>
            </w:r>
          </w:p>
        </w:tc>
        <w:tc>
          <w:tcPr>
            <w:tcW w:w="1300" w:type="dxa"/>
            <w:vAlign w:val="center"/>
          </w:tcPr>
          <w:p w14:paraId="1DCBBFF0">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16 </w:t>
            </w:r>
          </w:p>
        </w:tc>
        <w:tc>
          <w:tcPr>
            <w:tcW w:w="1520" w:type="dxa"/>
            <w:vAlign w:val="center"/>
          </w:tcPr>
          <w:p w14:paraId="1CFC9369">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7</w:t>
            </w:r>
          </w:p>
        </w:tc>
      </w:tr>
      <w:tr w14:paraId="2159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05E2313F">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太仓金浪中学</w:t>
            </w:r>
          </w:p>
        </w:tc>
        <w:tc>
          <w:tcPr>
            <w:tcW w:w="1059" w:type="dxa"/>
            <w:vAlign w:val="center"/>
          </w:tcPr>
          <w:p w14:paraId="41B251BF">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11 </w:t>
            </w:r>
          </w:p>
        </w:tc>
        <w:tc>
          <w:tcPr>
            <w:tcW w:w="1798" w:type="dxa"/>
            <w:vAlign w:val="center"/>
          </w:tcPr>
          <w:p w14:paraId="3F4D8EEA">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12 </w:t>
            </w:r>
          </w:p>
        </w:tc>
        <w:tc>
          <w:tcPr>
            <w:tcW w:w="1118" w:type="dxa"/>
            <w:vAlign w:val="center"/>
          </w:tcPr>
          <w:p w14:paraId="6BDA6862">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9 </w:t>
            </w:r>
          </w:p>
        </w:tc>
        <w:tc>
          <w:tcPr>
            <w:tcW w:w="1300" w:type="dxa"/>
            <w:vAlign w:val="center"/>
          </w:tcPr>
          <w:p w14:paraId="5162E7CA">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11 </w:t>
            </w:r>
          </w:p>
        </w:tc>
        <w:tc>
          <w:tcPr>
            <w:tcW w:w="1520" w:type="dxa"/>
            <w:vAlign w:val="center"/>
          </w:tcPr>
          <w:p w14:paraId="656C4C93">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w:t>
            </w:r>
          </w:p>
        </w:tc>
      </w:tr>
      <w:tr w14:paraId="4E5E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1EAE8CAF">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太仓沙溪一中</w:t>
            </w:r>
          </w:p>
        </w:tc>
        <w:tc>
          <w:tcPr>
            <w:tcW w:w="1059" w:type="dxa"/>
            <w:vAlign w:val="center"/>
          </w:tcPr>
          <w:p w14:paraId="680D3565">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35 </w:t>
            </w:r>
          </w:p>
        </w:tc>
        <w:tc>
          <w:tcPr>
            <w:tcW w:w="1798" w:type="dxa"/>
            <w:vAlign w:val="center"/>
          </w:tcPr>
          <w:p w14:paraId="7DAB5F95">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38 </w:t>
            </w:r>
          </w:p>
        </w:tc>
        <w:tc>
          <w:tcPr>
            <w:tcW w:w="1118" w:type="dxa"/>
            <w:vAlign w:val="center"/>
          </w:tcPr>
          <w:p w14:paraId="550E7C4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30 </w:t>
            </w:r>
          </w:p>
        </w:tc>
        <w:tc>
          <w:tcPr>
            <w:tcW w:w="1300" w:type="dxa"/>
            <w:vAlign w:val="center"/>
          </w:tcPr>
          <w:p w14:paraId="600A085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34 </w:t>
            </w:r>
          </w:p>
        </w:tc>
        <w:tc>
          <w:tcPr>
            <w:tcW w:w="1520" w:type="dxa"/>
            <w:vAlign w:val="center"/>
          </w:tcPr>
          <w:p w14:paraId="6398295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15</w:t>
            </w:r>
          </w:p>
        </w:tc>
      </w:tr>
      <w:tr w14:paraId="2ADC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52D6F32A">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太仓岳王学校</w:t>
            </w:r>
          </w:p>
        </w:tc>
        <w:tc>
          <w:tcPr>
            <w:tcW w:w="1059" w:type="dxa"/>
            <w:vAlign w:val="center"/>
          </w:tcPr>
          <w:p w14:paraId="22903D4E">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9 </w:t>
            </w:r>
          </w:p>
        </w:tc>
        <w:tc>
          <w:tcPr>
            <w:tcW w:w="1798" w:type="dxa"/>
            <w:vAlign w:val="center"/>
          </w:tcPr>
          <w:p w14:paraId="7B8201A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9 </w:t>
            </w:r>
          </w:p>
        </w:tc>
        <w:tc>
          <w:tcPr>
            <w:tcW w:w="1118" w:type="dxa"/>
            <w:vAlign w:val="center"/>
          </w:tcPr>
          <w:p w14:paraId="616D279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8 </w:t>
            </w:r>
          </w:p>
        </w:tc>
        <w:tc>
          <w:tcPr>
            <w:tcW w:w="1300" w:type="dxa"/>
            <w:vAlign w:val="center"/>
          </w:tcPr>
          <w:p w14:paraId="69F26D45">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8 </w:t>
            </w:r>
          </w:p>
        </w:tc>
        <w:tc>
          <w:tcPr>
            <w:tcW w:w="1520" w:type="dxa"/>
            <w:vAlign w:val="center"/>
          </w:tcPr>
          <w:p w14:paraId="43B0FD2C">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w:t>
            </w:r>
          </w:p>
        </w:tc>
      </w:tr>
      <w:tr w14:paraId="168F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57A433CA">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太仓浮桥中学</w:t>
            </w:r>
          </w:p>
        </w:tc>
        <w:tc>
          <w:tcPr>
            <w:tcW w:w="1059" w:type="dxa"/>
            <w:vAlign w:val="center"/>
          </w:tcPr>
          <w:p w14:paraId="344444A9">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33 </w:t>
            </w:r>
          </w:p>
        </w:tc>
        <w:tc>
          <w:tcPr>
            <w:tcW w:w="1798" w:type="dxa"/>
            <w:vAlign w:val="center"/>
          </w:tcPr>
          <w:p w14:paraId="278CDCDE">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36 </w:t>
            </w:r>
          </w:p>
        </w:tc>
        <w:tc>
          <w:tcPr>
            <w:tcW w:w="1118" w:type="dxa"/>
            <w:vAlign w:val="center"/>
          </w:tcPr>
          <w:p w14:paraId="5B90647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29 </w:t>
            </w:r>
          </w:p>
        </w:tc>
        <w:tc>
          <w:tcPr>
            <w:tcW w:w="1300" w:type="dxa"/>
            <w:vAlign w:val="center"/>
          </w:tcPr>
          <w:p w14:paraId="00C0B1D5">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33 </w:t>
            </w:r>
          </w:p>
        </w:tc>
        <w:tc>
          <w:tcPr>
            <w:tcW w:w="1520" w:type="dxa"/>
            <w:vAlign w:val="center"/>
          </w:tcPr>
          <w:p w14:paraId="52E9B295">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14</w:t>
            </w:r>
          </w:p>
        </w:tc>
      </w:tr>
      <w:tr w14:paraId="1925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5C85A02D">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太仓浏家港中学</w:t>
            </w:r>
          </w:p>
        </w:tc>
        <w:tc>
          <w:tcPr>
            <w:tcW w:w="1059" w:type="dxa"/>
            <w:vAlign w:val="center"/>
          </w:tcPr>
          <w:p w14:paraId="049F6EBC">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19 </w:t>
            </w:r>
          </w:p>
        </w:tc>
        <w:tc>
          <w:tcPr>
            <w:tcW w:w="1798" w:type="dxa"/>
            <w:vAlign w:val="center"/>
          </w:tcPr>
          <w:p w14:paraId="6B4C5BE0">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20 </w:t>
            </w:r>
          </w:p>
        </w:tc>
        <w:tc>
          <w:tcPr>
            <w:tcW w:w="1118" w:type="dxa"/>
            <w:vAlign w:val="center"/>
          </w:tcPr>
          <w:p w14:paraId="352CA8FC">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16 </w:t>
            </w:r>
          </w:p>
        </w:tc>
        <w:tc>
          <w:tcPr>
            <w:tcW w:w="1300" w:type="dxa"/>
            <w:vAlign w:val="center"/>
          </w:tcPr>
          <w:p w14:paraId="11B80647">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18 </w:t>
            </w:r>
          </w:p>
        </w:tc>
        <w:tc>
          <w:tcPr>
            <w:tcW w:w="1520" w:type="dxa"/>
            <w:vAlign w:val="center"/>
          </w:tcPr>
          <w:p w14:paraId="7870F90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w:t>
            </w:r>
          </w:p>
        </w:tc>
      </w:tr>
      <w:tr w14:paraId="7CF5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05E12C06">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太仓明德初中</w:t>
            </w:r>
          </w:p>
        </w:tc>
        <w:tc>
          <w:tcPr>
            <w:tcW w:w="1059" w:type="dxa"/>
            <w:vAlign w:val="center"/>
          </w:tcPr>
          <w:p w14:paraId="5960F47D">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38 </w:t>
            </w:r>
          </w:p>
        </w:tc>
        <w:tc>
          <w:tcPr>
            <w:tcW w:w="1798" w:type="dxa"/>
            <w:vAlign w:val="center"/>
          </w:tcPr>
          <w:p w14:paraId="5C0F120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42 </w:t>
            </w:r>
          </w:p>
        </w:tc>
        <w:tc>
          <w:tcPr>
            <w:tcW w:w="1118" w:type="dxa"/>
            <w:vAlign w:val="center"/>
          </w:tcPr>
          <w:p w14:paraId="523A1E7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33 </w:t>
            </w:r>
          </w:p>
        </w:tc>
        <w:tc>
          <w:tcPr>
            <w:tcW w:w="1300" w:type="dxa"/>
            <w:vAlign w:val="center"/>
          </w:tcPr>
          <w:p w14:paraId="0C2EABF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37 </w:t>
            </w:r>
          </w:p>
        </w:tc>
        <w:tc>
          <w:tcPr>
            <w:tcW w:w="1520" w:type="dxa"/>
            <w:vAlign w:val="center"/>
          </w:tcPr>
          <w:p w14:paraId="031A591C">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17</w:t>
            </w:r>
          </w:p>
        </w:tc>
      </w:tr>
      <w:tr w14:paraId="3B1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2CD8490B">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太仓陆渡中学</w:t>
            </w:r>
          </w:p>
        </w:tc>
        <w:tc>
          <w:tcPr>
            <w:tcW w:w="1059" w:type="dxa"/>
            <w:vAlign w:val="center"/>
          </w:tcPr>
          <w:p w14:paraId="79BC71EE">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24 </w:t>
            </w:r>
          </w:p>
        </w:tc>
        <w:tc>
          <w:tcPr>
            <w:tcW w:w="1798" w:type="dxa"/>
            <w:vAlign w:val="center"/>
          </w:tcPr>
          <w:p w14:paraId="0F82367E">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25 </w:t>
            </w:r>
          </w:p>
        </w:tc>
        <w:tc>
          <w:tcPr>
            <w:tcW w:w="1118" w:type="dxa"/>
            <w:vAlign w:val="center"/>
          </w:tcPr>
          <w:p w14:paraId="17089FD8">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20 </w:t>
            </w:r>
          </w:p>
        </w:tc>
        <w:tc>
          <w:tcPr>
            <w:tcW w:w="1300" w:type="dxa"/>
            <w:vAlign w:val="center"/>
          </w:tcPr>
          <w:p w14:paraId="186B09AD">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23 </w:t>
            </w:r>
          </w:p>
        </w:tc>
        <w:tc>
          <w:tcPr>
            <w:tcW w:w="1520" w:type="dxa"/>
            <w:vAlign w:val="center"/>
          </w:tcPr>
          <w:p w14:paraId="2347EF38">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10</w:t>
            </w:r>
          </w:p>
        </w:tc>
      </w:tr>
      <w:tr w14:paraId="4125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123FADBA">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太仓市一中</w:t>
            </w:r>
          </w:p>
        </w:tc>
        <w:tc>
          <w:tcPr>
            <w:tcW w:w="1059" w:type="dxa"/>
            <w:vAlign w:val="center"/>
          </w:tcPr>
          <w:p w14:paraId="59C8E90D">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58 </w:t>
            </w:r>
          </w:p>
        </w:tc>
        <w:tc>
          <w:tcPr>
            <w:tcW w:w="1798" w:type="dxa"/>
            <w:vAlign w:val="center"/>
          </w:tcPr>
          <w:p w14:paraId="57E37CE7">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63 </w:t>
            </w:r>
          </w:p>
        </w:tc>
        <w:tc>
          <w:tcPr>
            <w:tcW w:w="1118" w:type="dxa"/>
            <w:vAlign w:val="center"/>
          </w:tcPr>
          <w:p w14:paraId="44E45FDD">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50 </w:t>
            </w:r>
          </w:p>
        </w:tc>
        <w:tc>
          <w:tcPr>
            <w:tcW w:w="1300" w:type="dxa"/>
            <w:vAlign w:val="center"/>
          </w:tcPr>
          <w:p w14:paraId="0E6F871C">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56 </w:t>
            </w:r>
          </w:p>
        </w:tc>
        <w:tc>
          <w:tcPr>
            <w:tcW w:w="1520" w:type="dxa"/>
            <w:vAlign w:val="center"/>
          </w:tcPr>
          <w:p w14:paraId="5F01E0BD">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25</w:t>
            </w:r>
          </w:p>
        </w:tc>
      </w:tr>
      <w:tr w14:paraId="594C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175F0617">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太仓市二中</w:t>
            </w:r>
          </w:p>
        </w:tc>
        <w:tc>
          <w:tcPr>
            <w:tcW w:w="1059" w:type="dxa"/>
            <w:vAlign w:val="center"/>
          </w:tcPr>
          <w:p w14:paraId="648D50F6">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37 </w:t>
            </w:r>
          </w:p>
        </w:tc>
        <w:tc>
          <w:tcPr>
            <w:tcW w:w="1798" w:type="dxa"/>
            <w:vAlign w:val="center"/>
          </w:tcPr>
          <w:p w14:paraId="432A0FD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40 </w:t>
            </w:r>
          </w:p>
        </w:tc>
        <w:tc>
          <w:tcPr>
            <w:tcW w:w="1118" w:type="dxa"/>
            <w:vAlign w:val="center"/>
          </w:tcPr>
          <w:p w14:paraId="130AEF06">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32 </w:t>
            </w:r>
          </w:p>
        </w:tc>
        <w:tc>
          <w:tcPr>
            <w:tcW w:w="1300" w:type="dxa"/>
            <w:vAlign w:val="center"/>
          </w:tcPr>
          <w:p w14:paraId="1EB12C4C">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36 </w:t>
            </w:r>
          </w:p>
        </w:tc>
        <w:tc>
          <w:tcPr>
            <w:tcW w:w="1520" w:type="dxa"/>
            <w:vAlign w:val="center"/>
          </w:tcPr>
          <w:p w14:paraId="669B3E7E">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16</w:t>
            </w:r>
          </w:p>
        </w:tc>
      </w:tr>
      <w:tr w14:paraId="22C9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4B040318">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太仓良辅中学</w:t>
            </w:r>
          </w:p>
        </w:tc>
        <w:tc>
          <w:tcPr>
            <w:tcW w:w="1059" w:type="dxa"/>
            <w:vAlign w:val="center"/>
          </w:tcPr>
          <w:p w14:paraId="25A071B6">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31 </w:t>
            </w:r>
          </w:p>
        </w:tc>
        <w:tc>
          <w:tcPr>
            <w:tcW w:w="1798" w:type="dxa"/>
            <w:vAlign w:val="center"/>
          </w:tcPr>
          <w:p w14:paraId="2C872AE3">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33 </w:t>
            </w:r>
          </w:p>
        </w:tc>
        <w:tc>
          <w:tcPr>
            <w:tcW w:w="1118" w:type="dxa"/>
            <w:vAlign w:val="center"/>
          </w:tcPr>
          <w:p w14:paraId="7C899C06">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27 </w:t>
            </w:r>
          </w:p>
        </w:tc>
        <w:tc>
          <w:tcPr>
            <w:tcW w:w="1300" w:type="dxa"/>
            <w:vAlign w:val="center"/>
          </w:tcPr>
          <w:p w14:paraId="206C7CE5">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30 </w:t>
            </w:r>
          </w:p>
        </w:tc>
        <w:tc>
          <w:tcPr>
            <w:tcW w:w="1520" w:type="dxa"/>
            <w:vAlign w:val="center"/>
          </w:tcPr>
          <w:p w14:paraId="7393F39A">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13</w:t>
            </w:r>
          </w:p>
        </w:tc>
      </w:tr>
      <w:tr w14:paraId="6160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0C65E17A">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太仓双凤中学</w:t>
            </w:r>
          </w:p>
        </w:tc>
        <w:tc>
          <w:tcPr>
            <w:tcW w:w="1059" w:type="dxa"/>
            <w:vAlign w:val="center"/>
          </w:tcPr>
          <w:p w14:paraId="784FBEBB">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22 </w:t>
            </w:r>
          </w:p>
        </w:tc>
        <w:tc>
          <w:tcPr>
            <w:tcW w:w="1798" w:type="dxa"/>
            <w:vAlign w:val="center"/>
          </w:tcPr>
          <w:p w14:paraId="49DE89F8">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24 </w:t>
            </w:r>
          </w:p>
        </w:tc>
        <w:tc>
          <w:tcPr>
            <w:tcW w:w="1118" w:type="dxa"/>
            <w:vAlign w:val="center"/>
          </w:tcPr>
          <w:p w14:paraId="0CD055F9">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19 </w:t>
            </w:r>
          </w:p>
        </w:tc>
        <w:tc>
          <w:tcPr>
            <w:tcW w:w="1300" w:type="dxa"/>
            <w:vAlign w:val="center"/>
          </w:tcPr>
          <w:p w14:paraId="6897FD1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22 </w:t>
            </w:r>
          </w:p>
        </w:tc>
        <w:tc>
          <w:tcPr>
            <w:tcW w:w="1520" w:type="dxa"/>
            <w:vAlign w:val="center"/>
          </w:tcPr>
          <w:p w14:paraId="1F51591D">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10</w:t>
            </w:r>
          </w:p>
        </w:tc>
      </w:tr>
      <w:tr w14:paraId="507A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5995AE09">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太仓实验中学</w:t>
            </w:r>
          </w:p>
        </w:tc>
        <w:tc>
          <w:tcPr>
            <w:tcW w:w="1059" w:type="dxa"/>
            <w:vAlign w:val="center"/>
          </w:tcPr>
          <w:p w14:paraId="67E7D4A0">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56 </w:t>
            </w:r>
          </w:p>
        </w:tc>
        <w:tc>
          <w:tcPr>
            <w:tcW w:w="1798" w:type="dxa"/>
            <w:vAlign w:val="center"/>
          </w:tcPr>
          <w:p w14:paraId="1F6CE9C4">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61 </w:t>
            </w:r>
          </w:p>
        </w:tc>
        <w:tc>
          <w:tcPr>
            <w:tcW w:w="1118" w:type="dxa"/>
            <w:vAlign w:val="center"/>
          </w:tcPr>
          <w:p w14:paraId="052ABEF6">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49 </w:t>
            </w:r>
          </w:p>
        </w:tc>
        <w:tc>
          <w:tcPr>
            <w:tcW w:w="1300" w:type="dxa"/>
            <w:vAlign w:val="center"/>
          </w:tcPr>
          <w:p w14:paraId="15D73EA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55 </w:t>
            </w:r>
          </w:p>
        </w:tc>
        <w:tc>
          <w:tcPr>
            <w:tcW w:w="1520" w:type="dxa"/>
            <w:vAlign w:val="center"/>
          </w:tcPr>
          <w:p w14:paraId="12447370">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24</w:t>
            </w:r>
          </w:p>
        </w:tc>
      </w:tr>
      <w:tr w14:paraId="0EA5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3B5729DF">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沙溪实验中学</w:t>
            </w:r>
          </w:p>
        </w:tc>
        <w:tc>
          <w:tcPr>
            <w:tcW w:w="1059" w:type="dxa"/>
            <w:vAlign w:val="center"/>
          </w:tcPr>
          <w:p w14:paraId="24A3D994">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30 </w:t>
            </w:r>
          </w:p>
        </w:tc>
        <w:tc>
          <w:tcPr>
            <w:tcW w:w="1798" w:type="dxa"/>
            <w:vAlign w:val="center"/>
          </w:tcPr>
          <w:p w14:paraId="7026D511">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32 </w:t>
            </w:r>
          </w:p>
        </w:tc>
        <w:tc>
          <w:tcPr>
            <w:tcW w:w="1118" w:type="dxa"/>
            <w:vAlign w:val="center"/>
          </w:tcPr>
          <w:p w14:paraId="48DC8A42">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26 </w:t>
            </w:r>
          </w:p>
        </w:tc>
        <w:tc>
          <w:tcPr>
            <w:tcW w:w="1300" w:type="dxa"/>
            <w:vAlign w:val="center"/>
          </w:tcPr>
          <w:p w14:paraId="117D986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29 </w:t>
            </w:r>
          </w:p>
        </w:tc>
        <w:tc>
          <w:tcPr>
            <w:tcW w:w="1520" w:type="dxa"/>
            <w:vAlign w:val="center"/>
          </w:tcPr>
          <w:p w14:paraId="6B3DCC6A">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13</w:t>
            </w:r>
          </w:p>
        </w:tc>
      </w:tr>
      <w:tr w14:paraId="7F6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25FF2815">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太仓高新区中学</w:t>
            </w:r>
          </w:p>
        </w:tc>
        <w:tc>
          <w:tcPr>
            <w:tcW w:w="1059" w:type="dxa"/>
            <w:vAlign w:val="center"/>
          </w:tcPr>
          <w:p w14:paraId="32B37672">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37 </w:t>
            </w:r>
          </w:p>
        </w:tc>
        <w:tc>
          <w:tcPr>
            <w:tcW w:w="1798" w:type="dxa"/>
            <w:vAlign w:val="center"/>
          </w:tcPr>
          <w:p w14:paraId="38EEFCF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40 </w:t>
            </w:r>
          </w:p>
        </w:tc>
        <w:tc>
          <w:tcPr>
            <w:tcW w:w="1118" w:type="dxa"/>
            <w:vAlign w:val="center"/>
          </w:tcPr>
          <w:p w14:paraId="155BE89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32 </w:t>
            </w:r>
          </w:p>
        </w:tc>
        <w:tc>
          <w:tcPr>
            <w:tcW w:w="1300" w:type="dxa"/>
            <w:vAlign w:val="center"/>
          </w:tcPr>
          <w:p w14:paraId="546DF78D">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36 </w:t>
            </w:r>
          </w:p>
        </w:tc>
        <w:tc>
          <w:tcPr>
            <w:tcW w:w="1520" w:type="dxa"/>
            <w:vAlign w:val="center"/>
          </w:tcPr>
          <w:p w14:paraId="09FB39E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16</w:t>
            </w:r>
          </w:p>
        </w:tc>
      </w:tr>
      <w:tr w14:paraId="2C5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70" w:type="dxa"/>
          </w:tcPr>
          <w:p w14:paraId="37F10AA4">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华顿外国语学校</w:t>
            </w:r>
          </w:p>
        </w:tc>
        <w:tc>
          <w:tcPr>
            <w:tcW w:w="1059" w:type="dxa"/>
            <w:vAlign w:val="center"/>
          </w:tcPr>
          <w:p w14:paraId="731406A7">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 </w:t>
            </w:r>
          </w:p>
        </w:tc>
        <w:tc>
          <w:tcPr>
            <w:tcW w:w="1798" w:type="dxa"/>
            <w:vAlign w:val="center"/>
          </w:tcPr>
          <w:p w14:paraId="5EC23342">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7 </w:t>
            </w:r>
          </w:p>
        </w:tc>
        <w:tc>
          <w:tcPr>
            <w:tcW w:w="1118" w:type="dxa"/>
            <w:vAlign w:val="center"/>
          </w:tcPr>
          <w:p w14:paraId="5724F9FE">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 </w:t>
            </w:r>
          </w:p>
        </w:tc>
        <w:tc>
          <w:tcPr>
            <w:tcW w:w="1300" w:type="dxa"/>
            <w:vAlign w:val="center"/>
          </w:tcPr>
          <w:p w14:paraId="7C6CDD9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 </w:t>
            </w:r>
          </w:p>
        </w:tc>
        <w:tc>
          <w:tcPr>
            <w:tcW w:w="1520" w:type="dxa"/>
            <w:vAlign w:val="center"/>
          </w:tcPr>
          <w:p w14:paraId="3F33CDF3">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w:t>
            </w:r>
          </w:p>
        </w:tc>
      </w:tr>
      <w:tr w14:paraId="1DB2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70" w:type="dxa"/>
          </w:tcPr>
          <w:p w14:paraId="30BC51C8">
            <w:pPr>
              <w:widowControl/>
              <w:shd w:val="clear"/>
              <w:spacing w:line="40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合计</w:t>
            </w:r>
          </w:p>
        </w:tc>
        <w:tc>
          <w:tcPr>
            <w:tcW w:w="1059" w:type="dxa"/>
            <w:vAlign w:val="center"/>
          </w:tcPr>
          <w:p w14:paraId="1EFF76B4">
            <w:pPr>
              <w:widowControl/>
              <w:shd w:val="clear"/>
              <w:spacing w:line="40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462 </w:t>
            </w:r>
          </w:p>
        </w:tc>
        <w:tc>
          <w:tcPr>
            <w:tcW w:w="1798" w:type="dxa"/>
            <w:vAlign w:val="center"/>
          </w:tcPr>
          <w:p w14:paraId="2F91E960">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500 </w:t>
            </w:r>
          </w:p>
        </w:tc>
        <w:tc>
          <w:tcPr>
            <w:tcW w:w="1118" w:type="dxa"/>
            <w:vAlign w:val="center"/>
          </w:tcPr>
          <w:p w14:paraId="6C428D76">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400 </w:t>
            </w:r>
          </w:p>
        </w:tc>
        <w:tc>
          <w:tcPr>
            <w:tcW w:w="1300" w:type="dxa"/>
            <w:vAlign w:val="center"/>
          </w:tcPr>
          <w:p w14:paraId="1B5789EF">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450 </w:t>
            </w:r>
          </w:p>
        </w:tc>
        <w:tc>
          <w:tcPr>
            <w:tcW w:w="1520" w:type="dxa"/>
            <w:vAlign w:val="center"/>
          </w:tcPr>
          <w:p w14:paraId="3707BDCB">
            <w:pPr>
              <w:widowControl/>
              <w:shd w:val="clear"/>
              <w:spacing w:line="40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200</w:t>
            </w:r>
          </w:p>
        </w:tc>
      </w:tr>
      <w:bookmarkEnd w:id="0"/>
    </w:tbl>
    <w:p w14:paraId="0E2BE660">
      <w:pPr>
        <w:shd w:val="clea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7B4106A1">
      <w:pPr>
        <w:shd w:val="clear"/>
        <w:spacing w:line="240" w:lineRule="exact"/>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p>
    <w:p w14:paraId="0D11C170">
      <w:pPr>
        <w:shd w:val="clear"/>
        <w:spacing w:line="300" w:lineRule="exact"/>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1.中考报名人数不含转入学生等。</w:t>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p>
    <w:p w14:paraId="0E59D5D6">
      <w:pPr>
        <w:shd w:val="clear"/>
        <w:spacing w:line="300" w:lineRule="exact"/>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2.省太高、省太高集团实验高中、省沙高、明德高中、省沙高金仓湖</w:t>
      </w:r>
      <w:r>
        <w:rPr>
          <w:rFonts w:hint="default" w:ascii="Times New Roman" w:hAnsi="Times New Roman" w:cs="Times New Roman"/>
          <w:color w:val="000000" w:themeColor="text1"/>
          <w:szCs w:val="21"/>
          <w:highlight w:val="none"/>
          <w:lang w:val="en-US" w:eastAsia="zh-CN"/>
          <w14:textFill>
            <w14:solidFill>
              <w14:schemeClr w14:val="tx1"/>
            </w14:solidFill>
          </w14:textFill>
        </w:rPr>
        <w:t>校区</w:t>
      </w:r>
      <w:r>
        <w:rPr>
          <w:rFonts w:hint="default" w:ascii="Times New Roman" w:hAnsi="Times New Roman" w:cs="Times New Roman"/>
          <w:color w:val="000000" w:themeColor="text1"/>
          <w:szCs w:val="21"/>
          <w:highlight w:val="none"/>
          <w14:textFill>
            <w14:solidFill>
              <w14:schemeClr w14:val="tx1"/>
            </w14:solidFill>
          </w14:textFill>
        </w:rPr>
        <w:t>指标生指标数计算办法如下：</w:t>
      </w:r>
    </w:p>
    <w:p w14:paraId="3B55ACE8">
      <w:pPr>
        <w:shd w:val="clear"/>
        <w:spacing w:line="300" w:lineRule="exact"/>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各初中校中考报名数÷全市中考报名总数×定向分配总数＝实际计算数，四舍五入后得基础性指标分配人数。若经计算后各初中校指标分配人数总和与各校指标生分配总数不相等，则按下列方法计算：人数多余则按各初中校实际计算数小数点后两位中已进位数的最小数依次递减，人数不足按各初中校实际计算数小数点后两位中不到进位数的最大数依次递补。</w:t>
      </w:r>
    </w:p>
    <w:sectPr>
      <w:footerReference r:id="rId3" w:type="default"/>
      <w:footerReference r:id="rId4" w:type="even"/>
      <w:pgSz w:w="11907" w:h="16840"/>
      <w:pgMar w:top="2041" w:right="1474" w:bottom="1928" w:left="1474" w:header="851" w:footer="1418" w:gutter="227"/>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522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FC3FFC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380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4ECEE8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69B16A5C"/>
    <w:rsid w:val="00275E18"/>
    <w:rsid w:val="003C520E"/>
    <w:rsid w:val="00435622"/>
    <w:rsid w:val="004628F2"/>
    <w:rsid w:val="00660CE2"/>
    <w:rsid w:val="00C173FB"/>
    <w:rsid w:val="00C6531E"/>
    <w:rsid w:val="00D046DA"/>
    <w:rsid w:val="00DD3A5A"/>
    <w:rsid w:val="00F86C1B"/>
    <w:rsid w:val="00FB4518"/>
    <w:rsid w:val="035D2E12"/>
    <w:rsid w:val="121D5FD9"/>
    <w:rsid w:val="1DEB7818"/>
    <w:rsid w:val="2B693CCD"/>
    <w:rsid w:val="35FF0E6A"/>
    <w:rsid w:val="3CEE0398"/>
    <w:rsid w:val="46CF13A0"/>
    <w:rsid w:val="5F5B202F"/>
    <w:rsid w:val="62061EA0"/>
    <w:rsid w:val="67C43A69"/>
    <w:rsid w:val="67E5531F"/>
    <w:rsid w:val="69B16A5C"/>
    <w:rsid w:val="6A152FEB"/>
    <w:rsid w:val="6C832E3C"/>
    <w:rsid w:val="741C5E64"/>
    <w:rsid w:val="7C476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 w:type="character" w:customStyle="1" w:styleId="9">
    <w:name w:val="页眉 Char"/>
    <w:basedOn w:val="6"/>
    <w:link w:val="4"/>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11111</Company>
  <Pages>4</Pages>
  <Words>1558</Words>
  <Characters>1742</Characters>
  <Lines>14</Lines>
  <Paragraphs>4</Paragraphs>
  <TotalTime>0</TotalTime>
  <ScaleCrop>false</ScaleCrop>
  <LinksUpToDate>false</LinksUpToDate>
  <CharactersWithSpaces>1894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2024-06-03T01:05:00Z</dcterms:created>
  <dc:creator>萌妈</dc:creator>
  <cp:lastModifiedBy>Administrator</cp:lastModifiedBy>
  <cp:lastPrinted>2025-06-04T03:24:00Z</cp:lastPrinted>
  <dcterms:modified xsi:type="dcterms:W3CDTF">2025-06-04T07:55:33Z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3AA0844254724A348BFEB682616144B3_11</vt:lpwstr>
  </property>
  <property fmtid="{D5CDD505-2E9C-101B-9397-08002B2CF9AE}" pid="4" name="KSOTemplateDocerSaveRecord">
    <vt:lpwstr>eyJoZGlkIjoiZDQ1ZWVmOThmZTJlZDFhZWUyYzBkOWQyNTRjYTMyZTEiLCJ1c2VySWQiOiIyNjQyMjc0MDQifQ==</vt:lpwstr>
  </property>
</Properties>
</file>