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B3652">
      <w:pPr>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0" w:firstLineChars="0"/>
        <w:jc w:val="center"/>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方正小标宋简体" w:cs="Times New Roman"/>
          <w:sz w:val="44"/>
          <w:szCs w:val="44"/>
          <w:highlight w:val="none"/>
        </w:rPr>
        <w:t>关于印发《</w:t>
      </w:r>
      <w:r>
        <w:rPr>
          <w:rFonts w:hint="default" w:ascii="Times New Roman" w:hAnsi="Times New Roman" w:eastAsia="方正小标宋简体" w:cs="Times New Roman"/>
          <w:sz w:val="44"/>
          <w:szCs w:val="44"/>
          <w:highlight w:val="none"/>
          <w:lang w:val="en-US" w:eastAsia="zh-CN"/>
        </w:rPr>
        <w:t>弘扬吴健雄科学家精神 进一步</w:t>
      </w:r>
      <w:r>
        <w:rPr>
          <w:rFonts w:hint="default" w:ascii="Times New Roman" w:hAnsi="Times New Roman" w:eastAsia="方正小标宋简体" w:cs="Times New Roman"/>
          <w:sz w:val="44"/>
          <w:szCs w:val="44"/>
          <w:highlight w:val="none"/>
        </w:rPr>
        <w:t>加强</w:t>
      </w:r>
      <w:r>
        <w:rPr>
          <w:rFonts w:hint="default" w:ascii="Times New Roman" w:hAnsi="Times New Roman" w:eastAsia="方正小标宋简体" w:cs="Times New Roman"/>
          <w:sz w:val="44"/>
          <w:szCs w:val="44"/>
          <w:highlight w:val="none"/>
          <w:lang w:val="en-US" w:eastAsia="zh-CN"/>
        </w:rPr>
        <w:t>太仓市</w:t>
      </w:r>
      <w:r>
        <w:rPr>
          <w:rFonts w:hint="default" w:ascii="Times New Roman" w:hAnsi="Times New Roman" w:eastAsia="方正小标宋简体" w:cs="Times New Roman"/>
          <w:sz w:val="44"/>
          <w:szCs w:val="44"/>
          <w:highlight w:val="none"/>
        </w:rPr>
        <w:t>中小学科学教育工作</w:t>
      </w:r>
      <w:r>
        <w:rPr>
          <w:rFonts w:hint="default" w:ascii="Times New Roman" w:hAnsi="Times New Roman" w:eastAsia="方正小标宋简体" w:cs="Times New Roman"/>
          <w:sz w:val="44"/>
          <w:szCs w:val="44"/>
          <w:highlight w:val="none"/>
          <w:lang w:val="en-US" w:eastAsia="zh-CN"/>
        </w:rPr>
        <w:t>实施方案</w:t>
      </w:r>
      <w:r>
        <w:rPr>
          <w:rFonts w:hint="default" w:ascii="Times New Roman" w:hAnsi="Times New Roman" w:eastAsia="方正小标宋简体" w:cs="Times New Roman"/>
          <w:sz w:val="44"/>
          <w:szCs w:val="44"/>
          <w:highlight w:val="none"/>
        </w:rPr>
        <w:t>》的通知</w:t>
      </w:r>
    </w:p>
    <w:p w14:paraId="65454C53">
      <w:pPr>
        <w:spacing w:line="560" w:lineRule="exact"/>
        <w:ind w:left="0" w:leftChars="0" w:firstLine="0" w:firstLineChars="0"/>
        <w:jc w:val="center"/>
        <w:rPr>
          <w:rFonts w:hint="default" w:ascii="Times New Roman" w:hAnsi="Times New Roman" w:eastAsia="仿宋_GB2312" w:cs="Times New Roman"/>
          <w:snapToGrid w:val="0"/>
          <w:kern w:val="0"/>
          <w:sz w:val="32"/>
          <w:szCs w:val="32"/>
        </w:rPr>
      </w:pPr>
    </w:p>
    <w:p w14:paraId="11F4FB2A">
      <w:pPr>
        <w:spacing w:line="560" w:lineRule="exact"/>
        <w:ind w:left="0" w:leftChars="0" w:firstLine="0" w:firstLineChars="0"/>
        <w:jc w:val="center"/>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太委教工秘〔202</w:t>
      </w:r>
      <w:r>
        <w:rPr>
          <w:rFonts w:hint="default"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号</w:t>
      </w:r>
    </w:p>
    <w:p w14:paraId="1359B31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 xml:space="preserve"> </w:t>
      </w:r>
    </w:p>
    <w:p w14:paraId="29130C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市各</w:t>
      </w:r>
      <w:r>
        <w:rPr>
          <w:rFonts w:hint="default" w:ascii="Times New Roman" w:hAnsi="Times New Roman" w:eastAsia="仿宋_GB2312" w:cs="Times New Roman"/>
          <w:spacing w:val="-6"/>
          <w:sz w:val="32"/>
          <w:szCs w:val="32"/>
          <w:highlight w:val="none"/>
        </w:rPr>
        <w:t>有关单位</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各中小学、幼教中心：</w:t>
      </w:r>
    </w:p>
    <w:p w14:paraId="7592482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经研究，</w:t>
      </w:r>
      <w:r>
        <w:rPr>
          <w:rFonts w:hint="default" w:ascii="Times New Roman" w:hAnsi="Times New Roman" w:eastAsia="仿宋_GB2312" w:cs="Times New Roman"/>
          <w:spacing w:val="-6"/>
          <w:sz w:val="32"/>
          <w:szCs w:val="32"/>
          <w:highlight w:val="none"/>
        </w:rPr>
        <w:t>现将《</w:t>
      </w:r>
      <w:r>
        <w:rPr>
          <w:rFonts w:hint="default" w:ascii="Times New Roman" w:hAnsi="Times New Roman" w:eastAsia="仿宋_GB2312" w:cs="Times New Roman"/>
          <w:spacing w:val="-6"/>
          <w:sz w:val="32"/>
          <w:szCs w:val="32"/>
          <w:highlight w:val="none"/>
          <w:lang w:val="en-US" w:eastAsia="zh-CN"/>
        </w:rPr>
        <w:t>弘扬吴健雄科学家精神 进一步</w:t>
      </w:r>
      <w:r>
        <w:rPr>
          <w:rFonts w:hint="default" w:ascii="Times New Roman" w:hAnsi="Times New Roman" w:eastAsia="仿宋_GB2312" w:cs="Times New Roman"/>
          <w:spacing w:val="-6"/>
          <w:sz w:val="32"/>
          <w:szCs w:val="32"/>
          <w:highlight w:val="none"/>
        </w:rPr>
        <w:t>加强</w:t>
      </w:r>
      <w:r>
        <w:rPr>
          <w:rFonts w:hint="default" w:ascii="Times New Roman" w:hAnsi="Times New Roman" w:eastAsia="仿宋_GB2312" w:cs="Times New Roman"/>
          <w:spacing w:val="-6"/>
          <w:sz w:val="32"/>
          <w:szCs w:val="32"/>
          <w:highlight w:val="none"/>
          <w:lang w:val="en-US" w:eastAsia="zh-CN"/>
        </w:rPr>
        <w:t>太仓市</w:t>
      </w:r>
      <w:r>
        <w:rPr>
          <w:rFonts w:hint="default" w:ascii="Times New Roman" w:hAnsi="Times New Roman" w:eastAsia="仿宋_GB2312" w:cs="Times New Roman"/>
          <w:spacing w:val="-6"/>
          <w:sz w:val="32"/>
          <w:szCs w:val="32"/>
          <w:highlight w:val="none"/>
        </w:rPr>
        <w:t>中小学科学教育工作</w:t>
      </w:r>
      <w:r>
        <w:rPr>
          <w:rFonts w:hint="default" w:ascii="Times New Roman" w:hAnsi="Times New Roman" w:eastAsia="仿宋_GB2312" w:cs="Times New Roman"/>
          <w:spacing w:val="-6"/>
          <w:sz w:val="32"/>
          <w:szCs w:val="32"/>
          <w:highlight w:val="none"/>
          <w:lang w:val="en-US" w:eastAsia="zh-CN"/>
        </w:rPr>
        <w:t>实施方案</w:t>
      </w:r>
      <w:r>
        <w:rPr>
          <w:rFonts w:hint="default" w:ascii="Times New Roman" w:hAnsi="Times New Roman" w:eastAsia="仿宋_GB2312" w:cs="Times New Roman"/>
          <w:spacing w:val="-6"/>
          <w:sz w:val="32"/>
          <w:szCs w:val="32"/>
          <w:highlight w:val="none"/>
        </w:rPr>
        <w:t>》印发给你们，请各单位认真贯彻</w:t>
      </w:r>
      <w:r>
        <w:rPr>
          <w:rFonts w:hint="default" w:ascii="Times New Roman" w:hAnsi="Times New Roman" w:eastAsia="仿宋_GB2312" w:cs="Times New Roman"/>
          <w:spacing w:val="-6"/>
          <w:sz w:val="32"/>
          <w:szCs w:val="32"/>
          <w:highlight w:val="none"/>
          <w:lang w:val="en-US" w:eastAsia="zh-CN"/>
        </w:rPr>
        <w:t>落实</w:t>
      </w:r>
      <w:r>
        <w:rPr>
          <w:rFonts w:hint="default" w:ascii="Times New Roman" w:hAnsi="Times New Roman" w:eastAsia="仿宋_GB2312" w:cs="Times New Roman"/>
          <w:spacing w:val="-6"/>
          <w:sz w:val="32"/>
          <w:szCs w:val="32"/>
          <w:highlight w:val="none"/>
        </w:rPr>
        <w:t>。</w:t>
      </w:r>
    </w:p>
    <w:p w14:paraId="1E02905D">
      <w:pPr>
        <w:keepNext w:val="0"/>
        <w:keepLines w:val="0"/>
        <w:pageBreakBefore w:val="0"/>
        <w:widowControl w:val="0"/>
        <w:kinsoku/>
        <w:wordWrap/>
        <w:overflowPunct/>
        <w:topLinePunct w:val="0"/>
        <w:autoSpaceDE/>
        <w:autoSpaceDN/>
        <w:bidi w:val="0"/>
        <w:adjustRightInd/>
        <w:snapToGrid/>
        <w:spacing w:line="560" w:lineRule="exact"/>
        <w:ind w:firstLine="462" w:firstLineChars="15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 xml:space="preserve"> </w:t>
      </w:r>
    </w:p>
    <w:p w14:paraId="289CABF9">
      <w:pPr>
        <w:keepNext w:val="0"/>
        <w:keepLines w:val="0"/>
        <w:pageBreakBefore w:val="0"/>
        <w:widowControl w:val="0"/>
        <w:kinsoku/>
        <w:wordWrap/>
        <w:overflowPunct/>
        <w:topLinePunct w:val="0"/>
        <w:autoSpaceDE/>
        <w:autoSpaceDN/>
        <w:bidi w:val="0"/>
        <w:adjustRightInd/>
        <w:snapToGrid/>
        <w:spacing w:line="560" w:lineRule="exact"/>
        <w:ind w:firstLine="462" w:firstLineChars="150"/>
        <w:textAlignment w:val="auto"/>
        <w:rPr>
          <w:rFonts w:hint="default" w:ascii="Times New Roman" w:hAnsi="Times New Roman" w:eastAsia="仿宋_GB2312" w:cs="Times New Roman"/>
          <w:spacing w:val="-6"/>
          <w:sz w:val="32"/>
          <w:szCs w:val="32"/>
          <w:highlight w:val="none"/>
        </w:rPr>
      </w:pPr>
    </w:p>
    <w:p w14:paraId="0BAC904C">
      <w:pPr>
        <w:pStyle w:val="2"/>
        <w:rPr>
          <w:rFonts w:hint="default" w:ascii="Times New Roman" w:hAnsi="Times New Roman" w:eastAsia="仿宋_GB2312" w:cs="Times New Roman"/>
          <w:spacing w:val="-6"/>
          <w:sz w:val="32"/>
          <w:szCs w:val="32"/>
          <w:highlight w:val="none"/>
        </w:rPr>
      </w:pPr>
    </w:p>
    <w:p w14:paraId="4799D700">
      <w:pPr>
        <w:rPr>
          <w:rFonts w:hint="default" w:ascii="Times New Roman" w:hAnsi="Times New Roman" w:eastAsia="仿宋_GB2312" w:cs="Times New Roman"/>
          <w:spacing w:val="-6"/>
          <w:sz w:val="32"/>
          <w:szCs w:val="32"/>
          <w:highlight w:val="none"/>
        </w:rPr>
      </w:pPr>
    </w:p>
    <w:p w14:paraId="4A76E39D">
      <w:pPr>
        <w:pStyle w:val="2"/>
        <w:rPr>
          <w:rFonts w:hint="default"/>
        </w:rPr>
      </w:pPr>
    </w:p>
    <w:p w14:paraId="4468D1F7">
      <w:pPr>
        <w:pStyle w:val="2"/>
        <w:rPr>
          <w:rFonts w:hint="default" w:ascii="Times New Roman" w:hAnsi="Times New Roman" w:cs="Times New Roman"/>
        </w:rPr>
      </w:pPr>
    </w:p>
    <w:p w14:paraId="3D7DCF01">
      <w:pPr>
        <w:keepNext w:val="0"/>
        <w:keepLines w:val="0"/>
        <w:pageBreakBefore w:val="0"/>
        <w:widowControl w:val="0"/>
        <w:kinsoku/>
        <w:wordWrap/>
        <w:overflowPunct/>
        <w:topLinePunct w:val="0"/>
        <w:autoSpaceDE/>
        <w:autoSpaceDN/>
        <w:bidi w:val="0"/>
        <w:adjustRightInd/>
        <w:snapToGrid/>
        <w:spacing w:line="560" w:lineRule="exact"/>
        <w:ind w:left="0" w:firstLine="3058" w:firstLineChars="993"/>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中共太仓市委教育工作领导小组秘书组</w:t>
      </w:r>
    </w:p>
    <w:p w14:paraId="688E67BA">
      <w:pPr>
        <w:keepNext w:val="0"/>
        <w:keepLines w:val="0"/>
        <w:pageBreakBefore w:val="0"/>
        <w:widowControl w:val="0"/>
        <w:kinsoku/>
        <w:wordWrap/>
        <w:overflowPunct/>
        <w:topLinePunct w:val="0"/>
        <w:autoSpaceDE/>
        <w:autoSpaceDN/>
        <w:bidi w:val="0"/>
        <w:adjustRightInd/>
        <w:snapToGrid/>
        <w:spacing w:line="560" w:lineRule="exact"/>
        <w:ind w:firstLine="4620" w:firstLineChars="1500"/>
        <w:textAlignment w:val="auto"/>
        <w:rPr>
          <w:rFonts w:hint="default" w:ascii="Times New Roman" w:hAnsi="Times New Roman" w:eastAsia="仿宋_GB2312" w:cs="Times New Roman"/>
          <w:color w:val="000000"/>
          <w:spacing w:val="-6"/>
          <w:sz w:val="32"/>
          <w:szCs w:val="32"/>
          <w:highlight w:val="none"/>
        </w:rPr>
      </w:pPr>
      <w:r>
        <w:rPr>
          <w:rFonts w:hint="default" w:ascii="Times New Roman" w:hAnsi="Times New Roman" w:eastAsia="仿宋_GB2312" w:cs="Times New Roman"/>
          <w:color w:val="000000"/>
          <w:spacing w:val="-6"/>
          <w:sz w:val="32"/>
          <w:szCs w:val="32"/>
          <w:highlight w:val="none"/>
        </w:rPr>
        <w:t>202</w:t>
      </w:r>
      <w:r>
        <w:rPr>
          <w:rFonts w:hint="default" w:ascii="Times New Roman" w:hAnsi="Times New Roman" w:eastAsia="仿宋_GB2312" w:cs="Times New Roman"/>
          <w:color w:val="000000"/>
          <w:spacing w:val="-6"/>
          <w:sz w:val="32"/>
          <w:szCs w:val="32"/>
          <w:highlight w:val="none"/>
          <w:lang w:val="en-US" w:eastAsia="zh-CN"/>
        </w:rPr>
        <w:t>5</w:t>
      </w:r>
      <w:r>
        <w:rPr>
          <w:rFonts w:hint="default" w:ascii="Times New Roman" w:hAnsi="Times New Roman" w:eastAsia="仿宋_GB2312" w:cs="Times New Roman"/>
          <w:color w:val="000000"/>
          <w:spacing w:val="-6"/>
          <w:sz w:val="32"/>
          <w:szCs w:val="32"/>
          <w:highlight w:val="none"/>
        </w:rPr>
        <w:t>年</w:t>
      </w:r>
      <w:r>
        <w:rPr>
          <w:rFonts w:hint="default" w:ascii="Times New Roman" w:hAnsi="Times New Roman" w:eastAsia="仿宋_GB2312" w:cs="Times New Roman"/>
          <w:color w:val="000000"/>
          <w:spacing w:val="-6"/>
          <w:sz w:val="32"/>
          <w:szCs w:val="32"/>
          <w:highlight w:val="none"/>
          <w:lang w:val="en-US" w:eastAsia="zh-CN"/>
        </w:rPr>
        <w:t>9</w:t>
      </w:r>
      <w:r>
        <w:rPr>
          <w:rFonts w:hint="default" w:ascii="Times New Roman" w:hAnsi="Times New Roman" w:eastAsia="仿宋_GB2312" w:cs="Times New Roman"/>
          <w:color w:val="000000"/>
          <w:spacing w:val="-6"/>
          <w:sz w:val="32"/>
          <w:szCs w:val="32"/>
          <w:highlight w:val="none"/>
        </w:rPr>
        <w:t>月</w:t>
      </w:r>
      <w:r>
        <w:rPr>
          <w:rFonts w:hint="default" w:ascii="Times New Roman" w:hAnsi="Times New Roman" w:eastAsia="仿宋_GB2312" w:cs="Times New Roman"/>
          <w:color w:val="000000"/>
          <w:spacing w:val="-6"/>
          <w:sz w:val="32"/>
          <w:szCs w:val="32"/>
          <w:highlight w:val="none"/>
          <w:lang w:val="en-US" w:eastAsia="zh-CN"/>
        </w:rPr>
        <w:t>22</w:t>
      </w:r>
      <w:r>
        <w:rPr>
          <w:rFonts w:hint="default" w:ascii="Times New Roman" w:hAnsi="Times New Roman" w:eastAsia="仿宋_GB2312" w:cs="Times New Roman"/>
          <w:color w:val="000000"/>
          <w:spacing w:val="-6"/>
          <w:sz w:val="32"/>
          <w:szCs w:val="32"/>
          <w:highlight w:val="none"/>
        </w:rPr>
        <w:t>日</w:t>
      </w:r>
    </w:p>
    <w:p w14:paraId="45F243B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highlight w:val="none"/>
          <w:u w:val="single"/>
        </w:rPr>
      </w:pPr>
      <w:r>
        <w:rPr>
          <w:rFonts w:hint="default" w:ascii="Times New Roman" w:hAnsi="Times New Roman" w:eastAsia="仿宋_GB2312" w:cs="Times New Roman"/>
          <w:spacing w:val="-6"/>
          <w:sz w:val="32"/>
          <w:szCs w:val="32"/>
          <w:highlight w:val="none"/>
        </w:rPr>
        <w:t>（此件公开发布）</w:t>
      </w:r>
    </w:p>
    <w:p w14:paraId="0F85FFC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highlight w:val="none"/>
          <w:u w:val="single"/>
        </w:rPr>
      </w:pPr>
    </w:p>
    <w:p w14:paraId="4AA73ADE">
      <w:pPr>
        <w:jc w:val="center"/>
        <w:rPr>
          <w:rFonts w:hint="default" w:ascii="Times New Roman" w:hAnsi="Times New Roman" w:eastAsia="方正小标宋简体" w:cs="Times New Roman"/>
          <w:sz w:val="36"/>
          <w:szCs w:val="36"/>
          <w:highlight w:val="none"/>
        </w:rPr>
      </w:pPr>
    </w:p>
    <w:p w14:paraId="37CD167B">
      <w:pPr>
        <w:pStyle w:val="2"/>
        <w:rPr>
          <w:rFonts w:hint="default" w:ascii="Times New Roman" w:hAnsi="Times New Roman" w:eastAsia="方正小标宋简体" w:cs="Times New Roman"/>
          <w:sz w:val="36"/>
          <w:szCs w:val="36"/>
          <w:highlight w:val="none"/>
        </w:rPr>
      </w:pPr>
    </w:p>
    <w:p w14:paraId="1AFE6A94">
      <w:pPr>
        <w:rPr>
          <w:rFonts w:hint="default" w:ascii="Times New Roman" w:hAnsi="Times New Roman" w:eastAsia="方正小标宋简体" w:cs="Times New Roman"/>
          <w:sz w:val="36"/>
          <w:szCs w:val="36"/>
          <w:highlight w:val="none"/>
        </w:rPr>
      </w:pPr>
    </w:p>
    <w:tbl>
      <w:tblPr>
        <w:tblStyle w:val="11"/>
        <w:tblpPr w:leftFromText="180" w:rightFromText="180" w:vertAnchor="text" w:horzAnchor="page" w:tblpX="1607" w:tblpY="862"/>
        <w:tblW w:w="0" w:type="auto"/>
        <w:tblInd w:w="0" w:type="dxa"/>
        <w:tblBorders>
          <w:top w:val="single" w:color="000000"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55"/>
      </w:tblGrid>
      <w:tr w14:paraId="09E66756">
        <w:tblPrEx>
          <w:tblBorders>
            <w:top w:val="single" w:color="000000"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955" w:type="dxa"/>
            <w:noWrap w:val="0"/>
            <w:vAlign w:val="top"/>
          </w:tcPr>
          <w:p w14:paraId="48AB6218">
            <w:pPr>
              <w:spacing w:line="400" w:lineRule="exact"/>
              <w:ind w:left="0" w:leftChars="0" w:firstLine="0" w:firstLineChars="0"/>
              <w:rPr>
                <w:rFonts w:hint="default" w:ascii="Times New Roman" w:hAnsi="Times New Roman" w:eastAsia="仿宋" w:cs="Times New Roman"/>
                <w:sz w:val="28"/>
                <w:szCs w:val="28"/>
              </w:rPr>
            </w:pPr>
            <w:r>
              <w:rPr>
                <w:rFonts w:hint="default" w:ascii="Times New Roman" w:hAnsi="Times New Roman" w:eastAsia="仿宋_GB2312" w:cs="Times New Roman"/>
                <w:bCs/>
                <w:color w:val="000000"/>
                <w:w w:val="90"/>
                <w:sz w:val="28"/>
                <w:szCs w:val="28"/>
              </w:rPr>
              <w:t xml:space="preserve">中共太仓市委教育工作领导小组秘书组       </w:t>
            </w:r>
            <w:r>
              <w:rPr>
                <w:rFonts w:hint="default" w:ascii="Times New Roman" w:hAnsi="Times New Roman" w:eastAsia="仿宋_GB2312" w:cs="Times New Roman"/>
                <w:bCs/>
                <w:color w:val="000000"/>
                <w:w w:val="90"/>
                <w:sz w:val="28"/>
                <w:szCs w:val="28"/>
                <w:lang w:val="en-US" w:eastAsia="zh-CN"/>
              </w:rPr>
              <w:t xml:space="preserve"> </w:t>
            </w:r>
            <w:r>
              <w:rPr>
                <w:rFonts w:hint="default" w:ascii="Times New Roman" w:hAnsi="Times New Roman" w:eastAsia="仿宋_GB2312" w:cs="Times New Roman"/>
                <w:bCs/>
                <w:color w:val="000000"/>
                <w:w w:val="90"/>
                <w:sz w:val="28"/>
                <w:szCs w:val="28"/>
              </w:rPr>
              <w:t xml:space="preserve">   </w:t>
            </w:r>
            <w:r>
              <w:rPr>
                <w:rFonts w:hint="default" w:ascii="Times New Roman" w:hAnsi="Times New Roman" w:eastAsia="仿宋_GB2312" w:cs="Times New Roman"/>
                <w:bCs/>
                <w:color w:val="000000"/>
                <w:w w:val="90"/>
                <w:sz w:val="28"/>
                <w:szCs w:val="28"/>
                <w:lang w:val="en-US" w:eastAsia="zh-CN"/>
              </w:rPr>
              <w:t xml:space="preserve">   </w:t>
            </w:r>
            <w:r>
              <w:rPr>
                <w:rFonts w:hint="default" w:ascii="Times New Roman" w:hAnsi="Times New Roman" w:eastAsia="仿宋_GB2312" w:cs="Times New Roman"/>
                <w:bCs/>
                <w:color w:val="000000"/>
                <w:sz w:val="28"/>
                <w:szCs w:val="28"/>
              </w:rPr>
              <w:t>202</w:t>
            </w:r>
            <w:r>
              <w:rPr>
                <w:rFonts w:hint="eastAsia" w:ascii="Times New Roman" w:hAnsi="Times New Roman" w:eastAsia="仿宋_GB2312" w:cs="Times New Roman"/>
                <w:bCs/>
                <w:color w:val="000000"/>
                <w:sz w:val="28"/>
                <w:szCs w:val="28"/>
                <w:lang w:val="en-US" w:eastAsia="zh-CN"/>
              </w:rPr>
              <w:t>5</w:t>
            </w:r>
            <w:bookmarkStart w:id="0" w:name="_GoBack"/>
            <w:bookmarkEnd w:id="0"/>
            <w:r>
              <w:rPr>
                <w:rFonts w:hint="default" w:ascii="Times New Roman" w:hAnsi="Times New Roman" w:eastAsia="仿宋_GB2312" w:cs="Times New Roman"/>
                <w:bCs/>
                <w:color w:val="000000"/>
                <w:sz w:val="28"/>
                <w:szCs w:val="28"/>
              </w:rPr>
              <w:t>年</w:t>
            </w:r>
            <w:r>
              <w:rPr>
                <w:rFonts w:hint="default" w:ascii="Times New Roman" w:hAnsi="Times New Roman" w:eastAsia="仿宋_GB2312" w:cs="Times New Roman"/>
                <w:bCs/>
                <w:color w:val="000000"/>
                <w:sz w:val="28"/>
                <w:szCs w:val="28"/>
                <w:lang w:val="en-US" w:eastAsia="zh-CN"/>
              </w:rPr>
              <w:t>9</w:t>
            </w:r>
            <w:r>
              <w:rPr>
                <w:rFonts w:hint="default" w:ascii="Times New Roman" w:hAnsi="Times New Roman" w:eastAsia="仿宋_GB2312" w:cs="Times New Roman"/>
                <w:bCs/>
                <w:color w:val="000000"/>
                <w:sz w:val="28"/>
                <w:szCs w:val="28"/>
              </w:rPr>
              <w:t>月</w:t>
            </w:r>
            <w:r>
              <w:rPr>
                <w:rFonts w:hint="default" w:ascii="Times New Roman" w:hAnsi="Times New Roman" w:eastAsia="仿宋_GB2312" w:cs="Times New Roman"/>
                <w:bCs/>
                <w:color w:val="000000"/>
                <w:sz w:val="28"/>
                <w:szCs w:val="28"/>
                <w:lang w:val="en-US" w:eastAsia="zh-CN"/>
              </w:rPr>
              <w:t>22</w:t>
            </w:r>
            <w:r>
              <w:rPr>
                <w:rFonts w:hint="default" w:ascii="Times New Roman" w:hAnsi="Times New Roman" w:eastAsia="仿宋_GB2312" w:cs="Times New Roman"/>
                <w:bCs/>
                <w:color w:val="000000"/>
                <w:sz w:val="28"/>
                <w:szCs w:val="28"/>
              </w:rPr>
              <w:t>日印发</w:t>
            </w:r>
            <w:r>
              <w:rPr>
                <w:rFonts w:hint="default" w:ascii="Times New Roman" w:hAnsi="Times New Roman" w:eastAsia="仿宋" w:cs="Times New Roman"/>
                <w:bCs/>
                <w:color w:val="000000"/>
                <w:sz w:val="28"/>
                <w:szCs w:val="28"/>
              </w:rPr>
              <w:t xml:space="preserve">  </w:t>
            </w:r>
          </w:p>
        </w:tc>
      </w:tr>
    </w:tbl>
    <w:p w14:paraId="2E4C5C51">
      <w:pPr>
        <w:pStyle w:val="2"/>
        <w:rPr>
          <w:rFonts w:hint="default"/>
        </w:rPr>
      </w:pPr>
    </w:p>
    <w:p w14:paraId="2197E7B1">
      <w:pPr>
        <w:pStyle w:val="2"/>
        <w:rPr>
          <w:rFonts w:hint="default" w:ascii="Times New Roman" w:hAnsi="Times New Roman" w:cs="Times New Roman"/>
        </w:rPr>
        <w:sectPr>
          <w:pgSz w:w="11906" w:h="16838"/>
          <w:pgMar w:top="1814" w:right="1474" w:bottom="1984" w:left="1474" w:header="851" w:footer="992" w:gutter="0"/>
          <w:pgNumType w:fmt="decimal" w:start="1"/>
          <w:cols w:space="425" w:num="1"/>
          <w:docGrid w:type="lines" w:linePitch="312" w:charSpace="0"/>
        </w:sectPr>
      </w:pPr>
    </w:p>
    <w:p w14:paraId="7212DA59">
      <w:pPr>
        <w:keepNext/>
        <w:keepLines w:val="0"/>
        <w:pageBreakBefore w:val="0"/>
        <w:widowControl w:val="0"/>
        <w:kinsoku/>
        <w:wordWrap/>
        <w:overflowPunct w:val="0"/>
        <w:topLinePunct/>
        <w:autoSpaceDE/>
        <w:autoSpaceDN/>
        <w:bidi w:val="0"/>
        <w:adjustRightInd/>
        <w:snapToGrid/>
        <w:spacing w:line="540" w:lineRule="exact"/>
        <w:jc w:val="center"/>
        <w:textAlignment w:val="auto"/>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lang w:val="en-US" w:eastAsia="zh-CN"/>
        </w:rPr>
        <w:t>弘扬吴健雄科学家精神 进一步</w:t>
      </w:r>
      <w:r>
        <w:rPr>
          <w:rFonts w:hint="default" w:ascii="Times New Roman" w:hAnsi="Times New Roman" w:eastAsia="方正小标宋简体" w:cs="Times New Roman"/>
          <w:sz w:val="36"/>
          <w:szCs w:val="36"/>
          <w:highlight w:val="none"/>
        </w:rPr>
        <w:t>加强</w:t>
      </w:r>
      <w:r>
        <w:rPr>
          <w:rFonts w:hint="default" w:ascii="Times New Roman" w:hAnsi="Times New Roman" w:eastAsia="方正小标宋简体" w:cs="Times New Roman"/>
          <w:sz w:val="36"/>
          <w:szCs w:val="36"/>
          <w:highlight w:val="none"/>
          <w:lang w:val="en-US" w:eastAsia="zh-CN"/>
        </w:rPr>
        <w:t>太仓市</w:t>
      </w:r>
    </w:p>
    <w:p w14:paraId="609B9B5A">
      <w:pPr>
        <w:keepNext/>
        <w:keepLines w:val="0"/>
        <w:pageBreakBefore w:val="0"/>
        <w:widowControl w:val="0"/>
        <w:kinsoku/>
        <w:wordWrap/>
        <w:overflowPunct w:val="0"/>
        <w:topLinePunct/>
        <w:autoSpaceDE/>
        <w:autoSpaceDN/>
        <w:bidi w:val="0"/>
        <w:adjustRightInd/>
        <w:snapToGrid/>
        <w:spacing w:line="540" w:lineRule="exact"/>
        <w:jc w:val="center"/>
        <w:textAlignment w:val="auto"/>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rPr>
        <w:t>中小学科学教育工作</w:t>
      </w:r>
      <w:r>
        <w:rPr>
          <w:rFonts w:hint="default" w:ascii="Times New Roman" w:hAnsi="Times New Roman" w:eastAsia="方正小标宋简体" w:cs="Times New Roman"/>
          <w:sz w:val="36"/>
          <w:szCs w:val="36"/>
          <w:highlight w:val="none"/>
          <w:lang w:val="en-US" w:eastAsia="zh-CN"/>
        </w:rPr>
        <w:t>实施方案</w:t>
      </w:r>
    </w:p>
    <w:p w14:paraId="11EFE406">
      <w:pPr>
        <w:keepNext/>
        <w:keepLines w:val="0"/>
        <w:pageBreakBefore w:val="0"/>
        <w:widowControl w:val="0"/>
        <w:kinsoku/>
        <w:wordWrap/>
        <w:overflowPunct w:val="0"/>
        <w:topLinePunct/>
        <w:autoSpaceDE/>
        <w:autoSpaceDN/>
        <w:bidi w:val="0"/>
        <w:adjustRightInd/>
        <w:snapToGrid/>
        <w:spacing w:line="540" w:lineRule="exact"/>
        <w:jc w:val="center"/>
        <w:textAlignment w:val="auto"/>
        <w:rPr>
          <w:rFonts w:hint="default" w:ascii="Times New Roman" w:hAnsi="Times New Roman" w:eastAsia="方正小标宋简体" w:cs="Times New Roman"/>
          <w:spacing w:val="-6"/>
          <w:sz w:val="32"/>
          <w:szCs w:val="32"/>
          <w:highlight w:val="none"/>
          <w:lang w:val="en-US" w:eastAsia="zh-CN"/>
        </w:rPr>
      </w:pPr>
    </w:p>
    <w:p w14:paraId="5E952E7A">
      <w:pPr>
        <w:pStyle w:val="10"/>
        <w:keepNext/>
        <w:keepLines w:val="0"/>
        <w:pageBreakBefore w:val="0"/>
        <w:widowControl w:val="0"/>
        <w:suppressLineNumbers w:val="0"/>
        <w:kinsoku/>
        <w:wordWrap/>
        <w:overflowPunct w:val="0"/>
        <w:topLinePunct/>
        <w:autoSpaceDE/>
        <w:autoSpaceDN/>
        <w:bidi w:val="0"/>
        <w:adjustRightInd/>
        <w:snapToGrid/>
        <w:spacing w:before="0" w:beforeAutospacing="0" w:after="0" w:afterAutospacing="0" w:line="540" w:lineRule="exact"/>
        <w:ind w:firstLine="482"/>
        <w:jc w:val="both"/>
        <w:textAlignment w:val="auto"/>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t>为贯彻落实《教育部等十八部门关于加强新时代中小学科学教育工作的意见》《中国科协 教育部关于印发〈“科学家（精神）进校园行动”实施方案〉的通知》《教育部办公厅关于印发〈中小学科学教育工作指南〉的通知》《关于印发〈加强苏州市新时代中小学科学教育工作行动方案〉的通知》等文件精神，推动我市中小学科学教育工作更加重视激发学生好奇心、想象力、探求欲，聚焦提升学生科学素养和实践创新能力，关注激发学生科技报国的远大志向，结合我市实际，制定本实施方案。</w:t>
      </w:r>
    </w:p>
    <w:p w14:paraId="33BAB1C5">
      <w:pPr>
        <w:pStyle w:val="10"/>
        <w:keepNext/>
        <w:keepLines w:val="0"/>
        <w:pageBreakBefore w:val="0"/>
        <w:widowControl w:val="0"/>
        <w:numPr>
          <w:ilvl w:val="0"/>
          <w:numId w:val="0"/>
        </w:numPr>
        <w:suppressLineNumbers w:val="0"/>
        <w:kinsoku/>
        <w:wordWrap/>
        <w:overflowPunct w:val="0"/>
        <w:topLinePunct/>
        <w:autoSpaceDE/>
        <w:autoSpaceDN/>
        <w:bidi w:val="0"/>
        <w:adjustRightInd/>
        <w:snapToGrid/>
        <w:spacing w:before="0" w:beforeAutospacing="0" w:after="0" w:afterAutospacing="0" w:line="540" w:lineRule="exact"/>
        <w:ind w:right="0" w:rightChars="0" w:firstLine="616" w:firstLineChars="200"/>
        <w:jc w:val="both"/>
        <w:textAlignment w:val="auto"/>
        <w:rPr>
          <w:rFonts w:hint="default" w:ascii="Times New Roman" w:hAnsi="Times New Roman" w:eastAsia="黑体" w:cs="Times New Roman"/>
          <w:b w:val="0"/>
          <w:bCs w:val="0"/>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黑体" w:cs="Times New Roman"/>
          <w:b w:val="0"/>
          <w:bCs w:val="0"/>
          <w:i w:val="0"/>
          <w:iCs w:val="0"/>
          <w:caps w:val="0"/>
          <w:color w:val="auto"/>
          <w:spacing w:val="-6"/>
          <w:kern w:val="0"/>
          <w:sz w:val="32"/>
          <w:szCs w:val="32"/>
          <w:highlight w:val="none"/>
          <w:shd w:val="clear" w:color="auto" w:fill="auto"/>
          <w:lang w:val="en-US" w:eastAsia="zh-CN" w:bidi="ar"/>
        </w:rPr>
        <w:t>一、工作目标</w:t>
      </w:r>
    </w:p>
    <w:p w14:paraId="5C71D4ED">
      <w:pPr>
        <w:pStyle w:val="10"/>
        <w:keepNext/>
        <w:keepLines w:val="0"/>
        <w:pageBreakBefore w:val="0"/>
        <w:widowControl w:val="0"/>
        <w:numPr>
          <w:ilvl w:val="0"/>
          <w:numId w:val="0"/>
        </w:numPr>
        <w:suppressLineNumbers w:val="0"/>
        <w:kinsoku/>
        <w:wordWrap/>
        <w:overflowPunct w:val="0"/>
        <w:topLinePunct/>
        <w:autoSpaceDE/>
        <w:autoSpaceDN/>
        <w:bidi w:val="0"/>
        <w:adjustRightInd/>
        <w:snapToGrid/>
        <w:spacing w:before="0" w:beforeAutospacing="0" w:after="0" w:afterAutospacing="0" w:line="540" w:lineRule="exact"/>
        <w:ind w:right="0" w:rightChars="0" w:firstLine="616" w:firstLineChars="200"/>
        <w:jc w:val="both"/>
        <w:textAlignment w:val="auto"/>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t>通过系统整合资源，强化科学教育课程建设、教师素养提升与实践活动拓展，构建具有太仓特色的中小学科学教育体系。力争3~5年，全市形成浓厚科学教育氛围，学生科学兴趣、思维及实践能力显著提升；培育热爱科学、专业过硬、教学突出的教师队伍；建成具有示范引领作用的科学教育特色学校，推动吴健雄科学家精神深度融入科学教育，全面提升中小学科学教育水平，打造具有区域影响力的太仓科学教育品牌。</w:t>
      </w:r>
    </w:p>
    <w:p w14:paraId="519D4A20">
      <w:pPr>
        <w:pStyle w:val="10"/>
        <w:keepNext/>
        <w:keepLines w:val="0"/>
        <w:pageBreakBefore w:val="0"/>
        <w:widowControl w:val="0"/>
        <w:numPr>
          <w:ilvl w:val="0"/>
          <w:numId w:val="0"/>
        </w:numPr>
        <w:suppressLineNumbers w:val="0"/>
        <w:kinsoku/>
        <w:wordWrap/>
        <w:overflowPunct w:val="0"/>
        <w:topLinePunct/>
        <w:autoSpaceDE/>
        <w:autoSpaceDN/>
        <w:bidi w:val="0"/>
        <w:adjustRightInd/>
        <w:snapToGrid/>
        <w:spacing w:before="0" w:beforeAutospacing="0" w:after="0" w:afterAutospacing="0" w:line="540" w:lineRule="exact"/>
        <w:ind w:right="0" w:rightChars="0" w:firstLine="616" w:firstLineChars="200"/>
        <w:jc w:val="both"/>
        <w:textAlignment w:val="auto"/>
        <w:rPr>
          <w:rFonts w:hint="default" w:ascii="Times New Roman" w:hAnsi="Times New Roman" w:eastAsia="黑体" w:cs="Times New Roman"/>
          <w:b w:val="0"/>
          <w:bCs w:val="0"/>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黑体" w:cs="Times New Roman"/>
          <w:b w:val="0"/>
          <w:bCs w:val="0"/>
          <w:i w:val="0"/>
          <w:iCs w:val="0"/>
          <w:caps w:val="0"/>
          <w:color w:val="auto"/>
          <w:spacing w:val="-6"/>
          <w:kern w:val="0"/>
          <w:sz w:val="32"/>
          <w:szCs w:val="32"/>
          <w:highlight w:val="none"/>
          <w:shd w:val="clear" w:color="auto" w:fill="auto"/>
          <w:lang w:val="en-US" w:eastAsia="zh-CN" w:bidi="ar"/>
        </w:rPr>
        <w:t>二、工作任务</w:t>
      </w:r>
    </w:p>
    <w:p w14:paraId="2994CB44">
      <w:pPr>
        <w:keepNext/>
        <w:keepLines w:val="0"/>
        <w:pageBreakBefore w:val="0"/>
        <w:widowControl w:val="0"/>
        <w:kinsoku/>
        <w:wordWrap/>
        <w:overflowPunct w:val="0"/>
        <w:topLinePunct/>
        <w:autoSpaceDE/>
        <w:autoSpaceDN/>
        <w:bidi w:val="0"/>
        <w:adjustRightInd/>
        <w:snapToGrid/>
        <w:spacing w:line="540" w:lineRule="exact"/>
        <w:ind w:firstLine="616" w:firstLineChars="200"/>
        <w:textAlignment w:val="auto"/>
        <w:rPr>
          <w:rFonts w:hint="default" w:ascii="Times New Roman" w:hAnsi="Times New Roman" w:eastAsia="楷体_GB2312" w:cs="Times New Roman"/>
          <w:b w:val="0"/>
          <w:bCs w:val="0"/>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楷体_GB2312" w:cs="Times New Roman"/>
          <w:b w:val="0"/>
          <w:bCs w:val="0"/>
          <w:i w:val="0"/>
          <w:iCs w:val="0"/>
          <w:caps w:val="0"/>
          <w:color w:val="auto"/>
          <w:spacing w:val="-6"/>
          <w:kern w:val="0"/>
          <w:sz w:val="32"/>
          <w:szCs w:val="32"/>
          <w:highlight w:val="none"/>
          <w:shd w:val="clear" w:color="auto" w:fill="auto"/>
          <w:lang w:val="en-US" w:eastAsia="zh-CN" w:bidi="ar"/>
        </w:rPr>
        <w:t>（一）强化平台建设，夯实科学教育根基</w:t>
      </w:r>
    </w:p>
    <w:p w14:paraId="5788DE9F">
      <w:pPr>
        <w:keepNext/>
        <w:keepLines w:val="0"/>
        <w:pageBreakBefore w:val="0"/>
        <w:widowControl w:val="0"/>
        <w:kinsoku/>
        <w:wordWrap/>
        <w:overflowPunct w:val="0"/>
        <w:topLinePunct/>
        <w:autoSpaceDE/>
        <w:autoSpaceDN/>
        <w:bidi w:val="0"/>
        <w:adjustRightInd/>
        <w:snapToGrid/>
        <w:spacing w:line="540" w:lineRule="exact"/>
        <w:ind w:firstLine="619" w:firstLineChars="200"/>
        <w:textAlignment w:val="auto"/>
        <w:rPr>
          <w:rFonts w:hint="default" w:ascii="Times New Roman" w:hAnsi="Times New Roman" w:eastAsia="仿宋_GB2312" w:cs="Times New Roman"/>
          <w:b w:val="0"/>
          <w:bCs w:val="0"/>
          <w:i w:val="0"/>
          <w:iCs w:val="0"/>
          <w:caps w:val="0"/>
          <w:color w:val="auto"/>
          <w:spacing w:val="-6"/>
          <w:kern w:val="0"/>
          <w:sz w:val="32"/>
          <w:szCs w:val="32"/>
          <w:highlight w:val="none"/>
          <w:u w:val="none"/>
          <w:shd w:val="clear" w:color="auto" w:fill="auto"/>
          <w:lang w:val="en-US" w:eastAsia="zh-CN" w:bidi="ar"/>
        </w:rPr>
      </w:pPr>
      <w:r>
        <w:rPr>
          <w:rFonts w:hint="default" w:ascii="Times New Roman" w:hAnsi="Times New Roman" w:eastAsia="仿宋_GB2312" w:cs="Times New Roman"/>
          <w:b/>
          <w:bCs/>
          <w:i w:val="0"/>
          <w:iCs w:val="0"/>
          <w:caps w:val="0"/>
          <w:color w:val="auto"/>
          <w:spacing w:val="-6"/>
          <w:kern w:val="0"/>
          <w:sz w:val="32"/>
          <w:szCs w:val="32"/>
          <w:highlight w:val="none"/>
          <w:u w:val="none"/>
          <w:shd w:val="clear" w:color="auto" w:fill="auto"/>
          <w:lang w:val="en-US" w:eastAsia="zh-CN" w:bidi="ar"/>
        </w:rPr>
        <w:t>1.打造校内特色科学阵地。</w:t>
      </w:r>
      <w:r>
        <w:rPr>
          <w:rFonts w:hint="default" w:ascii="Times New Roman" w:hAnsi="Times New Roman" w:eastAsia="仿宋_GB2312" w:cs="Times New Roman"/>
          <w:b w:val="0"/>
          <w:bCs w:val="0"/>
          <w:i w:val="0"/>
          <w:iCs w:val="0"/>
          <w:caps w:val="0"/>
          <w:color w:val="auto"/>
          <w:spacing w:val="-6"/>
          <w:kern w:val="0"/>
          <w:sz w:val="32"/>
          <w:szCs w:val="32"/>
          <w:highlight w:val="none"/>
          <w:u w:val="none"/>
          <w:shd w:val="clear" w:color="auto" w:fill="auto"/>
          <w:lang w:val="en-US" w:eastAsia="zh-CN" w:bidi="ar"/>
        </w:rPr>
        <w:t>各校统筹推进“健雄实验室”全覆盖与“健雄科普活动”空间打造。小学建设不少于1个科学教育功能室；</w:t>
      </w:r>
      <w:r>
        <w:rPr>
          <w:rFonts w:hint="default" w:ascii="Times New Roman" w:hAnsi="Times New Roman" w:eastAsia="仿宋_GB2312" w:cs="Times New Roman"/>
          <w:b w:val="0"/>
          <w:bCs w:val="0"/>
          <w:i w:val="0"/>
          <w:iCs w:val="0"/>
          <w:caps w:val="0"/>
          <w:color w:val="000000" w:themeColor="text1"/>
          <w:spacing w:val="-6"/>
          <w:kern w:val="0"/>
          <w:sz w:val="32"/>
          <w:szCs w:val="32"/>
          <w:highlight w:val="none"/>
          <w:u w:val="none"/>
          <w:shd w:val="clear" w:color="auto" w:fill="auto"/>
          <w:lang w:val="en-US" w:eastAsia="zh-CN" w:bidi="ar"/>
          <w14:textFill>
            <w14:solidFill>
              <w14:schemeClr w14:val="tx1"/>
            </w14:solidFill>
          </w14:textFill>
        </w:rPr>
        <w:t>中学独立或联合建设物理、化学、生物、地理、信息技术等学科类实验室，其中高中</w:t>
      </w:r>
      <w:r>
        <w:rPr>
          <w:rFonts w:hint="default" w:ascii="Times New Roman" w:hAnsi="Times New Roman" w:eastAsia="仿宋_GB2312" w:cs="Times New Roman"/>
          <w:b w:val="0"/>
          <w:bCs w:val="0"/>
          <w:i w:val="0"/>
          <w:iCs w:val="0"/>
          <w:caps w:val="0"/>
          <w:color w:val="auto"/>
          <w:spacing w:val="-6"/>
          <w:kern w:val="0"/>
          <w:sz w:val="32"/>
          <w:szCs w:val="32"/>
          <w:highlight w:val="none"/>
          <w:u w:val="none"/>
          <w:shd w:val="clear" w:color="auto" w:fill="auto"/>
          <w:lang w:val="en-US" w:eastAsia="zh-CN" w:bidi="ar"/>
        </w:rPr>
        <w:t>可联合高校设立共享科学实验室、科研基地，为学生参与课题研究和实验活动提供支撑。系统规划校园科学教育功能区，因地制宜打造科学角、科学长廊等特色科普阵地，营造沉浸式科学文化氛围。推动基础条件较好的学校建设集互动体验、实践探究于一体的校园微型科技体验馆，为学生自主探索、动手实践搭建创新平台，切实激发青少年科学兴趣与创新思维。</w:t>
      </w:r>
    </w:p>
    <w:p w14:paraId="00371363">
      <w:pPr>
        <w:keepNext/>
        <w:keepLines w:val="0"/>
        <w:pageBreakBefore w:val="0"/>
        <w:widowControl w:val="0"/>
        <w:kinsoku/>
        <w:wordWrap/>
        <w:overflowPunct w:val="0"/>
        <w:topLinePunct/>
        <w:autoSpaceDE/>
        <w:autoSpaceDN/>
        <w:bidi w:val="0"/>
        <w:adjustRightInd/>
        <w:snapToGrid/>
        <w:spacing w:line="540" w:lineRule="exact"/>
        <w:ind w:firstLine="619" w:firstLineChars="200"/>
        <w:textAlignment w:val="auto"/>
        <w:rPr>
          <w:rFonts w:hint="default" w:ascii="Times New Roman" w:hAnsi="Times New Roman" w:eastAsia="仿宋_GB2312" w:cs="Times New Roman"/>
          <w:b w:val="0"/>
          <w:bCs w:val="0"/>
          <w:i w:val="0"/>
          <w:iCs w:val="0"/>
          <w:caps w:val="0"/>
          <w:color w:val="auto"/>
          <w:spacing w:val="-6"/>
          <w:kern w:val="0"/>
          <w:sz w:val="32"/>
          <w:szCs w:val="32"/>
          <w:highlight w:val="none"/>
          <w:u w:val="none"/>
          <w:shd w:val="clear" w:color="auto" w:fill="auto"/>
          <w:lang w:val="en-US" w:eastAsia="zh-CN" w:bidi="ar"/>
        </w:rPr>
      </w:pPr>
      <w:r>
        <w:rPr>
          <w:rFonts w:hint="default" w:ascii="Times New Roman" w:hAnsi="Times New Roman" w:eastAsia="仿宋_GB2312" w:cs="Times New Roman"/>
          <w:b/>
          <w:bCs/>
          <w:i w:val="0"/>
          <w:iCs w:val="0"/>
          <w:caps w:val="0"/>
          <w:color w:val="auto"/>
          <w:spacing w:val="-6"/>
          <w:kern w:val="0"/>
          <w:sz w:val="32"/>
          <w:szCs w:val="32"/>
          <w:highlight w:val="none"/>
          <w:u w:val="none"/>
          <w:shd w:val="clear" w:color="auto" w:fill="auto"/>
          <w:lang w:val="en-US" w:eastAsia="zh-CN" w:bidi="ar"/>
        </w:rPr>
        <w:t>2.拓展校外科学教育平台。</w:t>
      </w:r>
      <w:r>
        <w:rPr>
          <w:rFonts w:hint="default" w:ascii="Times New Roman" w:hAnsi="Times New Roman" w:eastAsia="仿宋_GB2312" w:cs="Times New Roman"/>
          <w:b w:val="0"/>
          <w:bCs w:val="0"/>
          <w:i w:val="0"/>
          <w:iCs w:val="0"/>
          <w:caps w:val="0"/>
          <w:color w:val="auto"/>
          <w:spacing w:val="-6"/>
          <w:kern w:val="0"/>
          <w:sz w:val="32"/>
          <w:szCs w:val="32"/>
          <w:highlight w:val="none"/>
          <w:u w:val="none"/>
          <w:shd w:val="clear" w:color="auto" w:fill="auto"/>
          <w:lang w:val="en-US" w:eastAsia="zh-CN" w:bidi="ar"/>
        </w:rPr>
        <w:t>全面赋能中小学科学教育提质增效，规划建设“健雄青少年科学院”，集成科研实践、赛事承办、科普教育功能，打造区域科学教育高地。统筹“健雄杯”等赛事资源，规范组织、统一管理，构建“以赛促学”品牌体系。加强与高校、科研院所及科技企业联动，构建校外科学教育协同平台，编制《健雄科普教育基地目录》、绘制资源地图、发布开放清单，搭建“展示—对接—服务”一体化平台，推动实验室、科研场景向中小学开放，引导学生深入科研一线，感知前沿科技发展，提升科学教育供给能级与育人实效。</w:t>
      </w:r>
    </w:p>
    <w:p w14:paraId="64D82F7E">
      <w:pPr>
        <w:keepNext/>
        <w:keepLines w:val="0"/>
        <w:pageBreakBefore w:val="0"/>
        <w:widowControl w:val="0"/>
        <w:kinsoku/>
        <w:wordWrap/>
        <w:overflowPunct w:val="0"/>
        <w:topLinePunct/>
        <w:autoSpaceDE/>
        <w:autoSpaceDN/>
        <w:bidi w:val="0"/>
        <w:adjustRightInd/>
        <w:snapToGrid/>
        <w:spacing w:line="540" w:lineRule="exact"/>
        <w:ind w:firstLine="616" w:firstLineChars="200"/>
        <w:textAlignment w:val="auto"/>
        <w:rPr>
          <w:rFonts w:hint="default" w:ascii="Times New Roman" w:hAnsi="Times New Roman" w:eastAsia="楷体_GB2312" w:cs="Times New Roman"/>
          <w:b w:val="0"/>
          <w:bCs w:val="0"/>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楷体_GB2312" w:cs="Times New Roman"/>
          <w:b w:val="0"/>
          <w:bCs w:val="0"/>
          <w:i w:val="0"/>
          <w:iCs w:val="0"/>
          <w:caps w:val="0"/>
          <w:color w:val="auto"/>
          <w:spacing w:val="-6"/>
          <w:kern w:val="0"/>
          <w:sz w:val="32"/>
          <w:szCs w:val="32"/>
          <w:highlight w:val="none"/>
          <w:shd w:val="clear" w:color="auto" w:fill="auto"/>
          <w:lang w:val="en-US" w:eastAsia="zh-CN" w:bidi="ar"/>
        </w:rPr>
        <w:t>（二）深化课程建设，构建特色科学教育体系</w:t>
      </w:r>
    </w:p>
    <w:p w14:paraId="69A6A42F">
      <w:pPr>
        <w:keepNext/>
        <w:keepLines w:val="0"/>
        <w:pageBreakBefore w:val="0"/>
        <w:widowControl w:val="0"/>
        <w:kinsoku/>
        <w:wordWrap/>
        <w:overflowPunct w:val="0"/>
        <w:topLinePunct/>
        <w:autoSpaceDE/>
        <w:autoSpaceDN/>
        <w:bidi w:val="0"/>
        <w:adjustRightInd/>
        <w:snapToGrid/>
        <w:spacing w:line="540" w:lineRule="exact"/>
        <w:ind w:firstLine="619" w:firstLineChars="200"/>
        <w:textAlignment w:val="auto"/>
        <w:rPr>
          <w:rFonts w:hint="default" w:ascii="Times New Roman" w:hAnsi="Times New Roman" w:eastAsia="楷体_GB2312" w:cs="Times New Roman"/>
          <w:b w:val="0"/>
          <w:bCs w:val="0"/>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仿宋_GB2312" w:cs="Times New Roman"/>
          <w:b/>
          <w:bCs/>
          <w:i w:val="0"/>
          <w:iCs w:val="0"/>
          <w:caps w:val="0"/>
          <w:color w:val="auto"/>
          <w:spacing w:val="-6"/>
          <w:kern w:val="0"/>
          <w:sz w:val="32"/>
          <w:szCs w:val="32"/>
          <w:highlight w:val="none"/>
          <w:u w:val="none"/>
          <w:shd w:val="clear" w:color="auto" w:fill="auto"/>
          <w:lang w:val="en-US" w:eastAsia="zh-CN" w:bidi="ar"/>
        </w:rPr>
        <w:t>1.深化以吴健雄科学家精神为核心的“大思政课”建设。</w:t>
      </w:r>
      <w:r>
        <w:rPr>
          <w:rFonts w:hint="default" w:ascii="Times New Roman" w:hAnsi="Times New Roman" w:eastAsia="仿宋_GB2312" w:cs="Times New Roman"/>
          <w:b w:val="0"/>
          <w:bCs w:val="0"/>
          <w:i w:val="0"/>
          <w:iCs w:val="0"/>
          <w:caps w:val="0"/>
          <w:color w:val="auto"/>
          <w:spacing w:val="-6"/>
          <w:kern w:val="0"/>
          <w:sz w:val="32"/>
          <w:szCs w:val="32"/>
          <w:highlight w:val="none"/>
          <w:u w:val="none"/>
          <w:shd w:val="clear" w:color="auto" w:fill="auto"/>
          <w:lang w:val="en-US" w:eastAsia="zh-CN" w:bidi="ar"/>
        </w:rPr>
        <w:t>各校立足吴健雄“爱国奉献、勇攀高峰、严谨求实”的精神内核，科学制定分学段思政教育目标体系。小学依托绘本共读、情境课堂等载体，启蒙“爱科学、爱祖国”的情感认知；初中结合物理、化学等学科教学，系统解析吴健雄在β衰变研究中的科学探索历程；高中通过课题研究等形式，深度挖掘吴健雄在中美科学交流中的担当精神内涵。积极联合本地高校、纪念馆等专业机构，系统梳理吴健雄生平事迹、科研成就及精神内涵，组织编写吴健雄精神科学教育系列材料。推进教育数字化建设，运用VR技术还原吴健雄科研场景，开发“吴健雄科学家精神”互动学习平台，实现虚拟实践与现实教学的有机融合。</w:t>
      </w:r>
    </w:p>
    <w:p w14:paraId="3603E852">
      <w:pPr>
        <w:keepNext/>
        <w:keepLines w:val="0"/>
        <w:pageBreakBefore w:val="0"/>
        <w:widowControl w:val="0"/>
        <w:kinsoku/>
        <w:wordWrap/>
        <w:overflowPunct w:val="0"/>
        <w:topLinePunct/>
        <w:autoSpaceDE/>
        <w:autoSpaceDN/>
        <w:bidi w:val="0"/>
        <w:adjustRightInd/>
        <w:snapToGrid/>
        <w:spacing w:line="540" w:lineRule="exact"/>
        <w:ind w:firstLine="619" w:firstLineChars="200"/>
        <w:textAlignment w:val="auto"/>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仿宋_GB2312" w:cs="Times New Roman"/>
          <w:b/>
          <w:bCs/>
          <w:i w:val="0"/>
          <w:iCs w:val="0"/>
          <w:caps w:val="0"/>
          <w:color w:val="auto"/>
          <w:spacing w:val="-6"/>
          <w:kern w:val="0"/>
          <w:sz w:val="32"/>
          <w:szCs w:val="32"/>
          <w:highlight w:val="none"/>
          <w:shd w:val="clear" w:color="auto" w:fill="auto"/>
          <w:lang w:val="en-US" w:eastAsia="zh-CN" w:bidi="ar"/>
        </w:rPr>
        <w:t>2.发挥学科课程载体作用。</w:t>
      </w:r>
      <w:r>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t>贯彻落实上级科学教育政策，全面推进“国家—地方—校本”三级课程融合体系建设，强化各学段科学教育衔接，统筹校内外资源，构建协同育人生态。严格教辅读物监管，纳入规范管理，确保内容科学权威。开齐开足科学类课程</w:t>
      </w:r>
      <w:r>
        <w:rPr>
          <w:rFonts w:hint="default" w:ascii="Times New Roman" w:hAnsi="Times New Roman" w:eastAsia="仿宋_GB2312" w:cs="Times New Roman"/>
          <w:b w:val="0"/>
          <w:bCs w:val="0"/>
          <w:i w:val="0"/>
          <w:iCs w:val="0"/>
          <w:caps w:val="0"/>
          <w:color w:val="000000" w:themeColor="text1"/>
          <w:spacing w:val="-6"/>
          <w:kern w:val="0"/>
          <w:sz w:val="32"/>
          <w:szCs w:val="32"/>
          <w:highlight w:val="none"/>
          <w:shd w:val="clear" w:color="auto" w:fill="auto"/>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t>小学一至二年级每周不少于1课时；三至六年级每周不少于2课时；初高中高质量实施物理、化学、生物、地理、信息科技、通用技术等课程。严格落实课标要求，保障不少于10%课时用于跨学科主题学习，促进知识融合与实践应用，全面提升学生科学素养与综合能力。</w:t>
      </w:r>
    </w:p>
    <w:p w14:paraId="59462888">
      <w:pPr>
        <w:keepNext/>
        <w:keepLines w:val="0"/>
        <w:pageBreakBefore w:val="0"/>
        <w:widowControl w:val="0"/>
        <w:kinsoku/>
        <w:wordWrap/>
        <w:overflowPunct w:val="0"/>
        <w:topLinePunct/>
        <w:autoSpaceDE/>
        <w:autoSpaceDN/>
        <w:bidi w:val="0"/>
        <w:adjustRightInd/>
        <w:snapToGrid/>
        <w:spacing w:line="540" w:lineRule="exact"/>
        <w:ind w:firstLine="619" w:firstLineChars="200"/>
        <w:textAlignment w:val="auto"/>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仿宋_GB2312" w:cs="Times New Roman"/>
          <w:b/>
          <w:bCs/>
          <w:i w:val="0"/>
          <w:iCs w:val="0"/>
          <w:caps w:val="0"/>
          <w:color w:val="auto"/>
          <w:spacing w:val="-6"/>
          <w:kern w:val="0"/>
          <w:sz w:val="32"/>
          <w:szCs w:val="32"/>
          <w:highlight w:val="none"/>
          <w:shd w:val="clear" w:color="auto" w:fill="auto"/>
          <w:lang w:val="en-US" w:eastAsia="zh-CN" w:bidi="ar"/>
        </w:rPr>
        <w:t>3.开发具有本土特色的科学教育课程。</w:t>
      </w:r>
      <w:r>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t>各校（园）立足太仓本土资源，以吴健雄科学家精神为主线，分层构建特色课程。幼儿园</w:t>
      </w:r>
      <w:r>
        <w:rPr>
          <w:rFonts w:hint="eastAsia"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t>、小学</w:t>
      </w:r>
      <w:r>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t>设“启蒙之路”，</w:t>
      </w:r>
      <w:r>
        <w:rPr>
          <w:rFonts w:hint="eastAsia"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t>初中</w:t>
      </w:r>
      <w:r>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t>设“探索之路”，</w:t>
      </w:r>
      <w:r>
        <w:rPr>
          <w:rFonts w:hint="eastAsia"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t>高中</w:t>
      </w:r>
      <w:r>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t>设“实践之路”，定期评选精品课、优秀案例，聚焦机器人、编程、航模等特色领域，打造市级科创校本课程。优化“1+1+X”课后服务，融入自然观测、工程实践、创客项目等，增强科学活动吸引力。强化素养导向的作业与命题研究，增加应用性、综合性、探究类试题，全面考查科学素养。全面推进STEM教育与项目化学习，以真实问题驱动跨学科实践，培养学生创新力、协作力与解决实际问题的能力，推动科学教育更契合时代与学生成长需求。</w:t>
      </w:r>
    </w:p>
    <w:p w14:paraId="5D3F236F">
      <w:pPr>
        <w:keepNext/>
        <w:keepLines w:val="0"/>
        <w:pageBreakBefore w:val="0"/>
        <w:widowControl w:val="0"/>
        <w:kinsoku/>
        <w:wordWrap/>
        <w:overflowPunct w:val="0"/>
        <w:topLinePunct/>
        <w:autoSpaceDE/>
        <w:autoSpaceDN/>
        <w:bidi w:val="0"/>
        <w:adjustRightInd/>
        <w:snapToGrid/>
        <w:spacing w:line="540" w:lineRule="exact"/>
        <w:ind w:firstLine="616" w:firstLineChars="200"/>
        <w:textAlignment w:val="auto"/>
        <w:rPr>
          <w:rFonts w:hint="default" w:ascii="Times New Roman" w:hAnsi="Times New Roman" w:eastAsia="楷体_GB2312" w:cs="Times New Roman"/>
          <w:b w:val="0"/>
          <w:bCs w:val="0"/>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楷体_GB2312" w:cs="Times New Roman"/>
          <w:b w:val="0"/>
          <w:bCs w:val="0"/>
          <w:i w:val="0"/>
          <w:iCs w:val="0"/>
          <w:caps w:val="0"/>
          <w:color w:val="auto"/>
          <w:spacing w:val="-6"/>
          <w:kern w:val="0"/>
          <w:sz w:val="32"/>
          <w:szCs w:val="32"/>
          <w:highlight w:val="none"/>
          <w:shd w:val="clear" w:color="auto" w:fill="auto"/>
          <w:lang w:val="en-US" w:eastAsia="zh-CN" w:bidi="ar"/>
        </w:rPr>
        <w:t>（三）丰富活动开展，激发科学学习热情</w:t>
      </w:r>
    </w:p>
    <w:p w14:paraId="0770C1B3">
      <w:pPr>
        <w:keepNext/>
        <w:keepLines w:val="0"/>
        <w:pageBreakBefore w:val="0"/>
        <w:widowControl w:val="0"/>
        <w:kinsoku/>
        <w:wordWrap/>
        <w:overflowPunct w:val="0"/>
        <w:topLinePunct/>
        <w:autoSpaceDE/>
        <w:autoSpaceDN/>
        <w:bidi w:val="0"/>
        <w:adjustRightInd/>
        <w:snapToGrid/>
        <w:spacing w:line="540" w:lineRule="exact"/>
        <w:ind w:firstLine="619" w:firstLineChars="200"/>
        <w:textAlignment w:val="auto"/>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仿宋_GB2312" w:cs="Times New Roman"/>
          <w:b/>
          <w:bCs/>
          <w:snapToGrid w:val="0"/>
          <w:color w:val="auto"/>
          <w:spacing w:val="-6"/>
          <w:kern w:val="0"/>
          <w:sz w:val="32"/>
          <w:szCs w:val="32"/>
          <w:highlight w:val="none"/>
          <w:lang w:val="en-US" w:eastAsia="zh-CN" w:bidi="ar-SA"/>
        </w:rPr>
        <w:t>1.举办科学主题竞赛。</w:t>
      </w:r>
      <w:r>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t>以吴健雄科学家精神为引领，持续打造“健雄杯”科学竞赛品牌，严格对标教育部竞赛白名单，每年规范举办。设置实验操作、自然科学、人文综合、科技艺体等多元赛道，构建全学科覆盖的竞技平台，促进实践力、创新力与综合素养协同发展。推进大中小幼贯通培养，建立潜质学生发现与跟踪机制，精准对接“英才计划”“强基计划”及省市级“未来科学家”“薪火计划”等项目，实施定向培育。组建由高校教授、科技专家、教学名师构成的导师团，依托科研院所、高新企业设立实践基地，遴选优秀学生参与真实科研项目，实现“选拔—培养—实践”全链条贯通，为科技后备人才成长厚植沃土。</w:t>
      </w:r>
    </w:p>
    <w:p w14:paraId="08B0D1C2">
      <w:pPr>
        <w:keepNext/>
        <w:keepLines w:val="0"/>
        <w:pageBreakBefore w:val="0"/>
        <w:widowControl w:val="0"/>
        <w:kinsoku/>
        <w:wordWrap/>
        <w:overflowPunct w:val="0"/>
        <w:topLinePunct/>
        <w:autoSpaceDE/>
        <w:autoSpaceDN/>
        <w:bidi w:val="0"/>
        <w:adjustRightInd/>
        <w:snapToGrid/>
        <w:spacing w:line="540" w:lineRule="exact"/>
        <w:ind w:firstLine="619" w:firstLineChars="200"/>
        <w:textAlignment w:val="auto"/>
        <w:rPr>
          <w:rFonts w:hint="default" w:ascii="Times New Roman" w:hAnsi="Times New Roman" w:eastAsia="仿宋_GB2312" w:cs="Times New Roman"/>
          <w:bCs/>
          <w:color w:val="auto"/>
          <w:spacing w:val="-6"/>
          <w:sz w:val="32"/>
          <w:szCs w:val="32"/>
          <w:highlight w:val="none"/>
          <w:lang w:val="en-US" w:eastAsia="zh-CN"/>
        </w:rPr>
      </w:pPr>
      <w:r>
        <w:rPr>
          <w:rFonts w:hint="default" w:ascii="Times New Roman" w:hAnsi="Times New Roman" w:eastAsia="仿宋_GB2312" w:cs="Times New Roman"/>
          <w:b/>
          <w:bCs/>
          <w:snapToGrid w:val="0"/>
          <w:color w:val="auto"/>
          <w:spacing w:val="-6"/>
          <w:kern w:val="0"/>
          <w:sz w:val="32"/>
          <w:szCs w:val="32"/>
          <w:highlight w:val="none"/>
          <w:lang w:val="en-US" w:eastAsia="zh-CN" w:bidi="ar-SA"/>
        </w:rPr>
        <w:t>2.开展科普实践活动。</w:t>
      </w:r>
      <w:r>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t>以科技周、科普月、校园科技节为抓手，构建全域科学普及网络。每年每校至少开展3场吴健雄主题科普讲座或实验活动，邀请科学家进校园。组织“科学小达人”实践项目，引导学生参与调查与科普传播。社会实践课程中，四、八年级在社会实践基地</w:t>
      </w:r>
      <w:r>
        <w:rPr>
          <w:rFonts w:hint="default" w:ascii="Times New Roman" w:hAnsi="Times New Roman" w:eastAsia="仿宋_GB2312" w:cs="Times New Roman"/>
          <w:b w:val="0"/>
          <w:bCs w:val="0"/>
          <w:i w:val="0"/>
          <w:iCs w:val="0"/>
          <w:caps w:val="0"/>
          <w:color w:val="000000" w:themeColor="text1"/>
          <w:spacing w:val="-6"/>
          <w:kern w:val="0"/>
          <w:sz w:val="32"/>
          <w:szCs w:val="32"/>
          <w:highlight w:val="none"/>
          <w:shd w:val="clear" w:color="auto" w:fill="auto"/>
          <w:lang w:val="en-US" w:eastAsia="zh-CN" w:bidi="ar"/>
          <w14:textFill>
            <w14:solidFill>
              <w14:schemeClr w14:val="tx1"/>
            </w14:solidFill>
          </w14:textFill>
        </w:rPr>
        <w:t>增设科学课程</w:t>
      </w:r>
      <w:r>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t>，强化价值体认与责任担当。深化“馆校合作”，联动高校、科技馆、实验室、高新企业等，推动科研场所向中小学开放。设立教师实践工作室，开发专项培训，共建资源体系，赋能校本课程。重点支持吴健雄纪念馆建设，打造特色教育基地。联合市科协，依托太仓科技馆，持续升级“探索与惊奇—行走的课堂”品牌，点燃青少年科学热情，激发创新潜能。</w:t>
      </w:r>
    </w:p>
    <w:p w14:paraId="2FFCF395">
      <w:pPr>
        <w:keepNext/>
        <w:keepLines w:val="0"/>
        <w:pageBreakBefore w:val="0"/>
        <w:widowControl w:val="0"/>
        <w:kinsoku/>
        <w:wordWrap/>
        <w:overflowPunct w:val="0"/>
        <w:topLinePunct/>
        <w:autoSpaceDE/>
        <w:autoSpaceDN/>
        <w:bidi w:val="0"/>
        <w:adjustRightInd/>
        <w:snapToGrid/>
        <w:spacing w:line="540" w:lineRule="exact"/>
        <w:ind w:firstLine="616" w:firstLineChars="200"/>
        <w:textAlignment w:val="auto"/>
        <w:rPr>
          <w:rFonts w:hint="default" w:ascii="Times New Roman" w:hAnsi="Times New Roman" w:eastAsia="楷体_GB2312" w:cs="Times New Roman"/>
          <w:b w:val="0"/>
          <w:bCs w:val="0"/>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楷体_GB2312" w:cs="Times New Roman"/>
          <w:b w:val="0"/>
          <w:bCs w:val="0"/>
          <w:i w:val="0"/>
          <w:iCs w:val="0"/>
          <w:caps w:val="0"/>
          <w:color w:val="auto"/>
          <w:spacing w:val="-6"/>
          <w:kern w:val="0"/>
          <w:sz w:val="32"/>
          <w:szCs w:val="32"/>
          <w:highlight w:val="none"/>
          <w:shd w:val="clear" w:color="auto" w:fill="auto"/>
          <w:lang w:val="en-US" w:eastAsia="zh-CN" w:bidi="ar"/>
        </w:rPr>
        <w:t>（四）加强资源整合，优化科学教育生态</w:t>
      </w:r>
    </w:p>
    <w:p w14:paraId="37162DEC">
      <w:pPr>
        <w:keepNext/>
        <w:keepLines w:val="0"/>
        <w:pageBreakBefore w:val="0"/>
        <w:widowControl w:val="0"/>
        <w:kinsoku/>
        <w:wordWrap/>
        <w:overflowPunct w:val="0"/>
        <w:topLinePunct/>
        <w:autoSpaceDE/>
        <w:autoSpaceDN/>
        <w:bidi w:val="0"/>
        <w:adjustRightInd/>
        <w:snapToGrid/>
        <w:spacing w:line="540" w:lineRule="exact"/>
        <w:ind w:firstLine="619" w:firstLineChars="200"/>
        <w:textAlignment w:val="auto"/>
        <w:rPr>
          <w:rFonts w:hint="default" w:ascii="Times New Roman" w:hAnsi="Times New Roman" w:eastAsia="仿宋_GB2312" w:cs="Times New Roman"/>
          <w:b w:val="0"/>
          <w:bCs/>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仿宋_GB2312" w:cs="Times New Roman"/>
          <w:b/>
          <w:bCs/>
          <w:i w:val="0"/>
          <w:iCs w:val="0"/>
          <w:caps w:val="0"/>
          <w:color w:val="auto"/>
          <w:spacing w:val="-6"/>
          <w:kern w:val="0"/>
          <w:sz w:val="32"/>
          <w:szCs w:val="32"/>
          <w:highlight w:val="none"/>
          <w:shd w:val="clear" w:color="auto" w:fill="auto"/>
          <w:lang w:val="en-US" w:eastAsia="zh-CN" w:bidi="ar"/>
        </w:rPr>
        <w:t>1.整合师资资源。</w:t>
      </w:r>
      <w:r>
        <w:rPr>
          <w:rFonts w:hint="default" w:ascii="Times New Roman" w:hAnsi="Times New Roman" w:eastAsia="仿宋_GB2312" w:cs="Times New Roman"/>
          <w:b w:val="0"/>
          <w:bCs/>
          <w:i w:val="0"/>
          <w:iCs w:val="0"/>
          <w:caps w:val="0"/>
          <w:color w:val="auto"/>
          <w:spacing w:val="-6"/>
          <w:kern w:val="0"/>
          <w:sz w:val="32"/>
          <w:szCs w:val="32"/>
          <w:highlight w:val="none"/>
          <w:shd w:val="clear" w:color="auto" w:fill="auto"/>
          <w:lang w:val="en-US" w:eastAsia="zh-CN" w:bidi="ar"/>
        </w:rPr>
        <w:t>全面加强科学教育师资队伍建设，以师德师风为根基，厚植教师家国情怀与育人担当。加大理工类硕博人才引进力度，力争每所小学配备至少1名理工背景硕士科学教师，初高中配齐物理、化学、生物、地理、信息科技、通用技术等学科专任教师。2025年底前，实现中小学“科学副校长”全覆盖，由高校、科研院所、科技场馆及企业专家担任，建立常态化联络机制。</w:t>
      </w:r>
      <w:r>
        <w:rPr>
          <w:rFonts w:hint="default" w:ascii="Times New Roman" w:hAnsi="Times New Roman" w:eastAsia="仿宋_GB2312" w:cs="Times New Roman"/>
          <w:b w:val="0"/>
          <w:bCs/>
          <w:i w:val="0"/>
          <w:iCs w:val="0"/>
          <w:caps w:val="0"/>
          <w:color w:val="000000" w:themeColor="text1"/>
          <w:spacing w:val="-6"/>
          <w:kern w:val="0"/>
          <w:sz w:val="32"/>
          <w:szCs w:val="32"/>
          <w:highlight w:val="none"/>
          <w:shd w:val="clear" w:color="auto" w:fill="auto"/>
          <w:lang w:val="en-US" w:eastAsia="zh-CN" w:bidi="ar"/>
          <w14:textFill>
            <w14:solidFill>
              <w14:schemeClr w14:val="tx1"/>
            </w14:solidFill>
          </w14:textFill>
        </w:rPr>
        <w:t>配强实验室管理员与科技辅导员，原则上每校至少设立1名科技辅导员。推</w:t>
      </w:r>
      <w:r>
        <w:rPr>
          <w:rFonts w:hint="default" w:ascii="Times New Roman" w:hAnsi="Times New Roman" w:eastAsia="仿宋_GB2312" w:cs="Times New Roman"/>
          <w:b w:val="0"/>
          <w:bCs/>
          <w:i w:val="0"/>
          <w:iCs w:val="0"/>
          <w:caps w:val="0"/>
          <w:color w:val="auto"/>
          <w:spacing w:val="-6"/>
          <w:kern w:val="0"/>
          <w:sz w:val="32"/>
          <w:szCs w:val="32"/>
          <w:highlight w:val="none"/>
          <w:shd w:val="clear" w:color="auto" w:fill="auto"/>
          <w:lang w:val="en-US" w:eastAsia="zh-CN" w:bidi="ar"/>
        </w:rPr>
        <w:t>动优质师资跨校走教、支教帮扶，促进城乡、校际资源共享。健全教研体系，搭建跨学段、跨学科、跨校域研修平台，建设科学教育资源库。市级培训专设科学教师项目，支持参与“国培”“优师计划”，全面提升专业素养与实践能力。探索多元评价激励机制，在工作量认定、职称评聘、绩效分配等方面予以倾斜，充分激发教师投身科学教育的内生动力。</w:t>
      </w:r>
    </w:p>
    <w:p w14:paraId="19F99CAA">
      <w:pPr>
        <w:keepNext/>
        <w:keepLines w:val="0"/>
        <w:pageBreakBefore w:val="0"/>
        <w:widowControl w:val="0"/>
        <w:kinsoku/>
        <w:wordWrap/>
        <w:overflowPunct w:val="0"/>
        <w:topLinePunct/>
        <w:autoSpaceDE/>
        <w:autoSpaceDN/>
        <w:bidi w:val="0"/>
        <w:adjustRightInd/>
        <w:snapToGrid/>
        <w:spacing w:line="540" w:lineRule="exact"/>
        <w:ind w:firstLine="619" w:firstLineChars="200"/>
        <w:textAlignment w:val="auto"/>
        <w:rPr>
          <w:rFonts w:hint="default" w:ascii="Times New Roman" w:hAnsi="Times New Roman" w:eastAsia="仿宋_GB2312" w:cs="Times New Roman"/>
          <w:b w:val="0"/>
          <w:bCs/>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仿宋_GB2312" w:cs="Times New Roman"/>
          <w:b/>
          <w:bCs/>
          <w:i w:val="0"/>
          <w:iCs w:val="0"/>
          <w:caps w:val="0"/>
          <w:color w:val="auto"/>
          <w:spacing w:val="-6"/>
          <w:kern w:val="0"/>
          <w:sz w:val="32"/>
          <w:szCs w:val="32"/>
          <w:highlight w:val="none"/>
          <w:shd w:val="clear" w:color="auto" w:fill="auto"/>
          <w:lang w:val="en-US" w:eastAsia="zh-CN" w:bidi="ar"/>
        </w:rPr>
        <w:t>2.整合社会资源。</w:t>
      </w:r>
      <w:r>
        <w:rPr>
          <w:rFonts w:hint="default" w:ascii="Times New Roman" w:hAnsi="Times New Roman" w:eastAsia="仿宋_GB2312" w:cs="Times New Roman"/>
          <w:b w:val="0"/>
          <w:bCs/>
          <w:i w:val="0"/>
          <w:iCs w:val="0"/>
          <w:caps w:val="0"/>
          <w:color w:val="auto"/>
          <w:spacing w:val="-6"/>
          <w:kern w:val="0"/>
          <w:sz w:val="32"/>
          <w:szCs w:val="32"/>
          <w:highlight w:val="none"/>
          <w:shd w:val="clear" w:color="auto" w:fill="auto"/>
          <w:lang w:val="en-US" w:eastAsia="zh-CN" w:bidi="ar"/>
        </w:rPr>
        <w:t>推动科学教育融入家庭教育，强化科普价值引领。开设“家庭教育大讲堂”科学专题，推出家庭科普公开课、亲子指导课，提升家长科学育人能力。推广“家庭实验室”“亲子小实验”等活动，结合吴健雄科学家精神开展家庭科普研学，让科学走进日常生活。联动传统媒体与新媒体平台，及时宣传学校科学教育成果、优秀学生案例，讲好太仓科学教育故事，扩大社会影响力。通过家校社协同、线上线下联动，营造崇尚科学、尊重创新、支持探索的良好社会氛围，为青少年科学素养培育夯实家庭基础，凝聚社会合力。</w:t>
      </w:r>
    </w:p>
    <w:p w14:paraId="77E09FE0">
      <w:pPr>
        <w:pStyle w:val="10"/>
        <w:keepNext/>
        <w:keepLines w:val="0"/>
        <w:pageBreakBefore w:val="0"/>
        <w:widowControl w:val="0"/>
        <w:numPr>
          <w:ilvl w:val="0"/>
          <w:numId w:val="0"/>
        </w:numPr>
        <w:suppressLineNumbers w:val="0"/>
        <w:kinsoku/>
        <w:wordWrap/>
        <w:overflowPunct w:val="0"/>
        <w:topLinePunct/>
        <w:autoSpaceDE/>
        <w:autoSpaceDN/>
        <w:bidi w:val="0"/>
        <w:adjustRightInd/>
        <w:snapToGrid/>
        <w:spacing w:before="0" w:beforeAutospacing="0" w:after="0" w:afterAutospacing="0" w:line="540" w:lineRule="exact"/>
        <w:ind w:right="0" w:rightChars="0" w:firstLine="616" w:firstLineChars="200"/>
        <w:jc w:val="both"/>
        <w:textAlignment w:val="auto"/>
        <w:rPr>
          <w:rFonts w:hint="default" w:ascii="Times New Roman" w:hAnsi="Times New Roman" w:eastAsia="黑体" w:cs="Times New Roman"/>
          <w:b w:val="0"/>
          <w:bCs w:val="0"/>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黑体" w:cs="Times New Roman"/>
          <w:b w:val="0"/>
          <w:bCs w:val="0"/>
          <w:i w:val="0"/>
          <w:iCs w:val="0"/>
          <w:caps w:val="0"/>
          <w:color w:val="auto"/>
          <w:spacing w:val="-6"/>
          <w:kern w:val="0"/>
          <w:sz w:val="32"/>
          <w:szCs w:val="32"/>
          <w:highlight w:val="none"/>
          <w:shd w:val="clear" w:color="auto" w:fill="auto"/>
          <w:lang w:val="en-US" w:eastAsia="zh-CN" w:bidi="ar"/>
        </w:rPr>
        <w:t>三、保障机制</w:t>
      </w:r>
    </w:p>
    <w:p w14:paraId="7FD724B8">
      <w:pPr>
        <w:pStyle w:val="10"/>
        <w:keepNext/>
        <w:keepLines w:val="0"/>
        <w:pageBreakBefore w:val="0"/>
        <w:widowControl w:val="0"/>
        <w:numPr>
          <w:ilvl w:val="0"/>
          <w:numId w:val="0"/>
        </w:numPr>
        <w:suppressLineNumbers w:val="0"/>
        <w:kinsoku/>
        <w:wordWrap/>
        <w:overflowPunct w:val="0"/>
        <w:topLinePunct/>
        <w:autoSpaceDE/>
        <w:autoSpaceDN/>
        <w:bidi w:val="0"/>
        <w:adjustRightInd/>
        <w:snapToGrid/>
        <w:spacing w:before="0" w:beforeAutospacing="0" w:after="0" w:afterAutospacing="0" w:line="540" w:lineRule="exact"/>
        <w:ind w:right="0" w:rightChars="0" w:firstLine="616" w:firstLineChars="200"/>
        <w:jc w:val="both"/>
        <w:textAlignment w:val="auto"/>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楷体_GB2312" w:cs="Times New Roman"/>
          <w:b w:val="0"/>
          <w:bCs w:val="0"/>
          <w:i w:val="0"/>
          <w:iCs w:val="0"/>
          <w:caps w:val="0"/>
          <w:color w:val="auto"/>
          <w:spacing w:val="-6"/>
          <w:kern w:val="0"/>
          <w:sz w:val="32"/>
          <w:szCs w:val="32"/>
          <w:highlight w:val="none"/>
          <w:shd w:val="clear" w:color="auto" w:fill="auto"/>
          <w:lang w:val="en-US" w:eastAsia="zh-CN" w:bidi="ar"/>
        </w:rPr>
        <w:t>（一）加强领导，健全机制。</w:t>
      </w:r>
      <w:r>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t>市教育局、科协牵头，联合相关部门定期召开联席会议，统筹协调中小学科学教育发展规划制定、教师能力提升、科普基地共建等核心任务，构建“政策共商、资源共享、难题共解”的协同机制。加强组织领导，健全工作机制，定期评估反馈，确保工作落到实处。</w:t>
      </w:r>
    </w:p>
    <w:p w14:paraId="72406EBA">
      <w:pPr>
        <w:pStyle w:val="10"/>
        <w:keepNext/>
        <w:keepLines w:val="0"/>
        <w:pageBreakBefore w:val="0"/>
        <w:widowControl w:val="0"/>
        <w:numPr>
          <w:ilvl w:val="0"/>
          <w:numId w:val="0"/>
        </w:numPr>
        <w:suppressLineNumbers w:val="0"/>
        <w:kinsoku/>
        <w:wordWrap/>
        <w:overflowPunct w:val="0"/>
        <w:topLinePunct/>
        <w:autoSpaceDE/>
        <w:autoSpaceDN/>
        <w:bidi w:val="0"/>
        <w:adjustRightInd/>
        <w:snapToGrid/>
        <w:spacing w:before="0" w:beforeAutospacing="0" w:after="0" w:afterAutospacing="0" w:line="540" w:lineRule="exact"/>
        <w:ind w:right="0" w:rightChars="0" w:firstLine="616" w:firstLineChars="200"/>
        <w:jc w:val="both"/>
        <w:textAlignment w:val="auto"/>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楷体_GB2312" w:cs="Times New Roman"/>
          <w:b w:val="0"/>
          <w:bCs w:val="0"/>
          <w:i w:val="0"/>
          <w:iCs w:val="0"/>
          <w:caps w:val="0"/>
          <w:color w:val="auto"/>
          <w:spacing w:val="-6"/>
          <w:kern w:val="0"/>
          <w:sz w:val="32"/>
          <w:szCs w:val="32"/>
          <w:highlight w:val="none"/>
          <w:shd w:val="clear" w:color="auto" w:fill="auto"/>
          <w:lang w:val="en-US" w:eastAsia="zh-CN" w:bidi="ar"/>
        </w:rPr>
        <w:t>（二）多元投入，保障经费。</w:t>
      </w:r>
      <w:r>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t>鼓励企业、社会组织捐赠科学教育设备和资金，设立由政府主导、企业和社会组织捐助的“健雄科学教育专项基金”，用于支持科学教育平台建设、课程开发、活动开展等。各校广泛争取社会资助为学校搭建科学教育实践场所，共同打造学校科技特色精品项目。</w:t>
      </w:r>
    </w:p>
    <w:p w14:paraId="4D09E8FE">
      <w:pPr>
        <w:keepNext/>
        <w:keepLines w:val="0"/>
        <w:pageBreakBefore w:val="0"/>
        <w:widowControl w:val="0"/>
        <w:kinsoku/>
        <w:wordWrap/>
        <w:overflowPunct w:val="0"/>
        <w:topLinePunct/>
        <w:autoSpaceDE/>
        <w:autoSpaceDN/>
        <w:bidi w:val="0"/>
        <w:adjustRightInd/>
        <w:snapToGrid/>
        <w:spacing w:line="540" w:lineRule="exact"/>
        <w:ind w:firstLine="616" w:firstLineChars="200"/>
        <w:textAlignment w:val="auto"/>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楷体_GB2312" w:cs="Times New Roman"/>
          <w:b w:val="0"/>
          <w:bCs w:val="0"/>
          <w:i w:val="0"/>
          <w:iCs w:val="0"/>
          <w:caps w:val="0"/>
          <w:color w:val="auto"/>
          <w:spacing w:val="-6"/>
          <w:kern w:val="0"/>
          <w:sz w:val="32"/>
          <w:szCs w:val="32"/>
          <w:highlight w:val="none"/>
          <w:shd w:val="clear" w:color="auto" w:fill="auto"/>
          <w:lang w:val="en-US" w:eastAsia="zh-CN" w:bidi="ar"/>
        </w:rPr>
        <w:t>（三）强化监管，督促落实。</w:t>
      </w:r>
      <w:r>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t>市教育局定期分析研判青少年科学素质发展情况，将科学教育工作推进情况纳入教育重点工作专项督导和办学质量评价指标内容。严格执行财政经费管理规章和财经纪律，专款专用，严防违规违纪和廉政风险。</w:t>
      </w:r>
    </w:p>
    <w:p w14:paraId="775131C8">
      <w:pPr>
        <w:keepNext/>
        <w:keepLines w:val="0"/>
        <w:pageBreakBefore w:val="0"/>
        <w:widowControl w:val="0"/>
        <w:kinsoku/>
        <w:wordWrap/>
        <w:overflowPunct w:val="0"/>
        <w:topLinePunct/>
        <w:autoSpaceDE/>
        <w:autoSpaceDN/>
        <w:bidi w:val="0"/>
        <w:adjustRightInd/>
        <w:snapToGrid/>
        <w:spacing w:line="540" w:lineRule="exact"/>
        <w:ind w:firstLine="616" w:firstLineChars="200"/>
        <w:textAlignment w:val="auto"/>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楷体_GB2312" w:cs="Times New Roman"/>
          <w:b w:val="0"/>
          <w:bCs w:val="0"/>
          <w:i w:val="0"/>
          <w:iCs w:val="0"/>
          <w:caps w:val="0"/>
          <w:color w:val="auto"/>
          <w:spacing w:val="-6"/>
          <w:kern w:val="0"/>
          <w:sz w:val="32"/>
          <w:szCs w:val="32"/>
          <w:highlight w:val="none"/>
          <w:shd w:val="clear" w:color="auto" w:fill="auto"/>
          <w:lang w:val="en-US" w:eastAsia="zh-CN" w:bidi="ar"/>
        </w:rPr>
        <w:t>（四）协同联动，深化合作。</w:t>
      </w:r>
      <w:r>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t>市教育局牵头，联合市科技局、文体广旅局、科协等部门构建资源联动机制，动态统筹调配区域内实验室设备、科普场馆、产业园区等实体资源，打造“需求对接、资源整合、项目共建”的联动平台。</w:t>
      </w:r>
    </w:p>
    <w:p w14:paraId="69FABBE8">
      <w:pPr>
        <w:keepNext/>
        <w:keepLines w:val="0"/>
        <w:pageBreakBefore w:val="0"/>
        <w:widowControl w:val="0"/>
        <w:kinsoku/>
        <w:wordWrap/>
        <w:overflowPunct w:val="0"/>
        <w:topLinePunct/>
        <w:autoSpaceDE/>
        <w:autoSpaceDN/>
        <w:bidi w:val="0"/>
        <w:adjustRightInd/>
        <w:snapToGrid/>
        <w:spacing w:line="540" w:lineRule="exact"/>
        <w:ind w:firstLine="616" w:firstLineChars="200"/>
        <w:textAlignment w:val="auto"/>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pPr>
    </w:p>
    <w:p w14:paraId="00401317">
      <w:pPr>
        <w:keepNext/>
        <w:keepLines w:val="0"/>
        <w:pageBreakBefore w:val="0"/>
        <w:widowControl w:val="0"/>
        <w:kinsoku/>
        <w:wordWrap/>
        <w:overflowPunct w:val="0"/>
        <w:topLinePunct/>
        <w:autoSpaceDE/>
        <w:autoSpaceDN/>
        <w:bidi w:val="0"/>
        <w:adjustRightInd/>
        <w:snapToGrid/>
        <w:spacing w:line="540" w:lineRule="exact"/>
        <w:ind w:firstLine="616" w:firstLineChars="200"/>
        <w:textAlignment w:val="auto"/>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t>附件：太仓市中小学吴健雄科学教育工作任务清单</w:t>
      </w:r>
    </w:p>
    <w:p w14:paraId="69364B9F">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t xml:space="preserve"> </w:t>
      </w:r>
    </w:p>
    <w:p w14:paraId="4A2C863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pPr>
    </w:p>
    <w:p w14:paraId="748BDA4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b w:val="0"/>
          <w:bCs w:val="0"/>
          <w:i w:val="0"/>
          <w:iCs w:val="0"/>
          <w:caps w:val="0"/>
          <w:color w:val="auto"/>
          <w:spacing w:val="-6"/>
          <w:kern w:val="0"/>
          <w:sz w:val="32"/>
          <w:szCs w:val="32"/>
          <w:highlight w:val="none"/>
          <w:shd w:val="clear" w:color="auto" w:fill="auto"/>
          <w:lang w:val="en-US" w:eastAsia="zh-CN" w:bidi="ar"/>
        </w:rPr>
        <w:sectPr>
          <w:footerReference r:id="rId3" w:type="default"/>
          <w:pgSz w:w="11906" w:h="16838"/>
          <w:pgMar w:top="2041" w:right="1474" w:bottom="1928" w:left="1474" w:header="851" w:footer="992" w:gutter="0"/>
          <w:pgNumType w:fmt="decimal" w:start="2"/>
          <w:cols w:space="425" w:num="1"/>
          <w:docGrid w:type="lines" w:linePitch="312" w:charSpace="0"/>
        </w:sectPr>
      </w:pPr>
    </w:p>
    <w:p w14:paraId="348A534F">
      <w:pPr>
        <w:keepNext w:val="0"/>
        <w:keepLines w:val="0"/>
        <w:pageBreakBefore w:val="0"/>
        <w:widowControl w:val="0"/>
        <w:kinsoku/>
        <w:wordWrap/>
        <w:overflowPunct/>
        <w:topLinePunct w:val="0"/>
        <w:autoSpaceDE/>
        <w:autoSpaceDN/>
        <w:bidi w:val="0"/>
        <w:adjustRightInd/>
        <w:snapToGrid/>
        <w:spacing w:line="560" w:lineRule="exact"/>
        <w:ind w:firstLine="0"/>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w:t>
      </w:r>
    </w:p>
    <w:p w14:paraId="5771D321">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方正小标宋简体" w:cs="Times New Roman"/>
          <w:sz w:val="32"/>
          <w:szCs w:val="32"/>
          <w:highlight w:val="none"/>
          <w:lang w:val="en-US" w:eastAsia="zh-CN"/>
        </w:rPr>
      </w:pPr>
      <w:r>
        <w:rPr>
          <w:rFonts w:hint="default" w:ascii="Times New Roman" w:hAnsi="Times New Roman" w:eastAsia="方正小标宋简体" w:cs="Times New Roman"/>
          <w:sz w:val="32"/>
          <w:szCs w:val="32"/>
          <w:highlight w:val="none"/>
          <w:lang w:val="en-US" w:eastAsia="zh-CN"/>
        </w:rPr>
        <w:t>太仓市</w:t>
      </w:r>
      <w:r>
        <w:rPr>
          <w:rFonts w:hint="default" w:ascii="Times New Roman" w:hAnsi="Times New Roman" w:eastAsia="方正小标宋简体" w:cs="Times New Roman"/>
          <w:sz w:val="32"/>
          <w:szCs w:val="32"/>
          <w:highlight w:val="none"/>
        </w:rPr>
        <w:t>中小学</w:t>
      </w:r>
      <w:r>
        <w:rPr>
          <w:rFonts w:hint="default" w:ascii="Times New Roman" w:hAnsi="Times New Roman" w:eastAsia="方正小标宋简体" w:cs="Times New Roman"/>
          <w:sz w:val="32"/>
          <w:szCs w:val="32"/>
          <w:highlight w:val="none"/>
          <w:lang w:val="en-US" w:eastAsia="zh-CN"/>
        </w:rPr>
        <w:t>吴健雄科学教育工作任务清单</w:t>
      </w:r>
    </w:p>
    <w:p w14:paraId="115BBDD7">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default" w:ascii="Times New Roman" w:hAnsi="Times New Roman" w:eastAsia="方正小标宋简体" w:cs="Times New Roman"/>
          <w:sz w:val="44"/>
          <w:szCs w:val="44"/>
          <w:highlight w:val="none"/>
          <w:lang w:val="en-US" w:eastAsia="zh-CN"/>
        </w:rPr>
      </w:pPr>
    </w:p>
    <w:tbl>
      <w:tblPr>
        <w:tblStyle w:val="12"/>
        <w:tblW w:w="13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98"/>
        <w:gridCol w:w="3839"/>
        <w:gridCol w:w="1569"/>
        <w:gridCol w:w="2478"/>
        <w:gridCol w:w="2478"/>
      </w:tblGrid>
      <w:tr w14:paraId="4708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7" w:type="dxa"/>
            <w:vAlign w:val="center"/>
          </w:tcPr>
          <w:p w14:paraId="3FEEAEF3">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黑体" w:cs="Times New Roman"/>
                <w:b w:val="0"/>
                <w:bCs w:val="0"/>
                <w:spacing w:val="-6"/>
                <w:sz w:val="18"/>
                <w:szCs w:val="18"/>
                <w:highlight w:val="none"/>
              </w:rPr>
            </w:pPr>
            <w:r>
              <w:rPr>
                <w:rFonts w:hint="default" w:ascii="Times New Roman" w:hAnsi="Times New Roman" w:eastAsia="黑体" w:cs="Times New Roman"/>
                <w:b w:val="0"/>
                <w:bCs w:val="0"/>
                <w:spacing w:val="-6"/>
                <w:sz w:val="18"/>
                <w:szCs w:val="18"/>
                <w:highlight w:val="none"/>
              </w:rPr>
              <w:t>序号</w:t>
            </w:r>
          </w:p>
        </w:tc>
        <w:tc>
          <w:tcPr>
            <w:tcW w:w="6137" w:type="dxa"/>
            <w:gridSpan w:val="2"/>
            <w:vAlign w:val="center"/>
          </w:tcPr>
          <w:p w14:paraId="743E86D4">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黑体" w:cs="Times New Roman"/>
                <w:b w:val="0"/>
                <w:bCs w:val="0"/>
                <w:spacing w:val="-6"/>
                <w:sz w:val="18"/>
                <w:szCs w:val="18"/>
                <w:highlight w:val="none"/>
              </w:rPr>
            </w:pPr>
            <w:r>
              <w:rPr>
                <w:rFonts w:hint="default" w:ascii="Times New Roman" w:hAnsi="Times New Roman" w:eastAsia="黑体" w:cs="Times New Roman"/>
                <w:b w:val="0"/>
                <w:bCs w:val="0"/>
                <w:spacing w:val="-6"/>
                <w:sz w:val="18"/>
                <w:szCs w:val="18"/>
                <w:highlight w:val="none"/>
              </w:rPr>
              <w:t>项目名称</w:t>
            </w:r>
          </w:p>
        </w:tc>
        <w:tc>
          <w:tcPr>
            <w:tcW w:w="1569" w:type="dxa"/>
            <w:vAlign w:val="center"/>
          </w:tcPr>
          <w:p w14:paraId="601757BF">
            <w:pPr>
              <w:keepNext w:val="0"/>
              <w:keepLines w:val="0"/>
              <w:widowControl/>
              <w:suppressLineNumbers w:val="0"/>
              <w:jc w:val="center"/>
              <w:textAlignment w:val="center"/>
              <w:rPr>
                <w:rFonts w:hint="default" w:ascii="Times New Roman" w:hAnsi="Times New Roman" w:eastAsia="黑体" w:cs="Times New Roman"/>
                <w:b w:val="0"/>
                <w:bCs w:val="0"/>
                <w:spacing w:val="-6"/>
                <w:sz w:val="18"/>
                <w:szCs w:val="18"/>
                <w:highlight w:val="none"/>
                <w:lang w:val="en-US" w:eastAsia="zh-CN"/>
              </w:rPr>
            </w:pPr>
            <w:r>
              <w:rPr>
                <w:rFonts w:hint="default" w:ascii="Times New Roman" w:hAnsi="Times New Roman" w:eastAsia="黑体" w:cs="Times New Roman"/>
                <w:i w:val="0"/>
                <w:iCs w:val="0"/>
                <w:color w:val="000000"/>
                <w:kern w:val="0"/>
                <w:sz w:val="18"/>
                <w:szCs w:val="18"/>
                <w:u w:val="none"/>
                <w:lang w:val="en-US" w:eastAsia="zh-CN" w:bidi="ar"/>
              </w:rPr>
              <w:t>时间安排</w:t>
            </w:r>
          </w:p>
        </w:tc>
        <w:tc>
          <w:tcPr>
            <w:tcW w:w="2478" w:type="dxa"/>
            <w:vAlign w:val="center"/>
          </w:tcPr>
          <w:p w14:paraId="366DEAF8">
            <w:pPr>
              <w:keepNext w:val="0"/>
              <w:keepLines w:val="0"/>
              <w:widowControl/>
              <w:suppressLineNumbers w:val="0"/>
              <w:jc w:val="center"/>
              <w:textAlignment w:val="center"/>
              <w:rPr>
                <w:rFonts w:hint="default" w:ascii="Times New Roman" w:hAnsi="Times New Roman" w:eastAsia="黑体" w:cs="Times New Roman"/>
                <w:b w:val="0"/>
                <w:bCs w:val="0"/>
                <w:spacing w:val="-6"/>
                <w:sz w:val="18"/>
                <w:szCs w:val="18"/>
                <w:highlight w:val="none"/>
                <w:lang w:val="en-US" w:eastAsia="zh-CN"/>
              </w:rPr>
            </w:pPr>
            <w:r>
              <w:rPr>
                <w:rFonts w:hint="default" w:ascii="Times New Roman" w:hAnsi="Times New Roman" w:eastAsia="黑体" w:cs="Times New Roman"/>
                <w:i w:val="0"/>
                <w:iCs w:val="0"/>
                <w:color w:val="000000"/>
                <w:kern w:val="0"/>
                <w:sz w:val="18"/>
                <w:szCs w:val="18"/>
                <w:u w:val="none"/>
                <w:lang w:val="en-US" w:eastAsia="zh-CN" w:bidi="ar"/>
              </w:rPr>
              <w:t>责任单位</w:t>
            </w:r>
          </w:p>
        </w:tc>
        <w:tc>
          <w:tcPr>
            <w:tcW w:w="2478" w:type="dxa"/>
            <w:vAlign w:val="center"/>
          </w:tcPr>
          <w:p w14:paraId="38FFC05C">
            <w:pPr>
              <w:keepNext w:val="0"/>
              <w:keepLines w:val="0"/>
              <w:widowControl/>
              <w:suppressLineNumbers w:val="0"/>
              <w:jc w:val="center"/>
              <w:textAlignment w:val="center"/>
              <w:rPr>
                <w:rFonts w:hint="default" w:ascii="Times New Roman" w:hAnsi="Times New Roman" w:eastAsia="黑体" w:cs="Times New Roman"/>
                <w:b w:val="0"/>
                <w:bCs w:val="0"/>
                <w:spacing w:val="-6"/>
                <w:sz w:val="18"/>
                <w:szCs w:val="18"/>
                <w:highlight w:val="none"/>
              </w:rPr>
            </w:pPr>
            <w:r>
              <w:rPr>
                <w:rFonts w:hint="default" w:ascii="Times New Roman" w:hAnsi="Times New Roman" w:eastAsia="黑体" w:cs="Times New Roman"/>
                <w:i w:val="0"/>
                <w:iCs w:val="0"/>
                <w:color w:val="000000"/>
                <w:kern w:val="0"/>
                <w:sz w:val="18"/>
                <w:szCs w:val="18"/>
                <w:u w:val="none"/>
                <w:lang w:val="en-US" w:eastAsia="zh-CN" w:bidi="ar"/>
              </w:rPr>
              <w:t>备注</w:t>
            </w:r>
          </w:p>
        </w:tc>
      </w:tr>
      <w:tr w14:paraId="1B2D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17" w:type="dxa"/>
            <w:vMerge w:val="restart"/>
            <w:vAlign w:val="center"/>
          </w:tcPr>
          <w:p w14:paraId="2A5DB529">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b w:val="0"/>
                <w:bCs w:val="0"/>
                <w:spacing w:val="-6"/>
                <w:sz w:val="18"/>
                <w:szCs w:val="18"/>
                <w:highlight w:val="none"/>
                <w:lang w:val="en-US" w:eastAsia="zh-CN"/>
              </w:rPr>
              <w:t>1</w:t>
            </w:r>
          </w:p>
        </w:tc>
        <w:tc>
          <w:tcPr>
            <w:tcW w:w="2298" w:type="dxa"/>
            <w:vMerge w:val="restart"/>
            <w:vAlign w:val="center"/>
          </w:tcPr>
          <w:p w14:paraId="768801F4">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pacing w:val="-6"/>
                <w:sz w:val="18"/>
                <w:szCs w:val="18"/>
                <w:highlight w:val="none"/>
                <w:lang w:val="en-US"/>
              </w:rPr>
            </w:pPr>
            <w:r>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t>“健雄杯”自然科学素养类竞赛</w:t>
            </w:r>
          </w:p>
        </w:tc>
        <w:tc>
          <w:tcPr>
            <w:tcW w:w="3839" w:type="dxa"/>
            <w:vAlign w:val="center"/>
          </w:tcPr>
          <w:p w14:paraId="7C45CA7E">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t>天文知识竞赛</w:t>
            </w:r>
          </w:p>
        </w:tc>
        <w:tc>
          <w:tcPr>
            <w:tcW w:w="1569" w:type="dxa"/>
            <w:vAlign w:val="center"/>
          </w:tcPr>
          <w:p w14:paraId="729E57F5">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每年10月</w:t>
            </w:r>
          </w:p>
        </w:tc>
        <w:tc>
          <w:tcPr>
            <w:tcW w:w="2478" w:type="dxa"/>
            <w:vAlign w:val="center"/>
          </w:tcPr>
          <w:p w14:paraId="6BFF75ED">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市教育局基教科</w:t>
            </w:r>
          </w:p>
        </w:tc>
        <w:tc>
          <w:tcPr>
            <w:tcW w:w="2478" w:type="dxa"/>
            <w:vAlign w:val="center"/>
          </w:tcPr>
          <w:p w14:paraId="009234DC">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面向中小学学生</w:t>
            </w:r>
          </w:p>
        </w:tc>
      </w:tr>
      <w:tr w14:paraId="3A91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7" w:type="dxa"/>
            <w:vMerge w:val="continue"/>
            <w:vAlign w:val="center"/>
          </w:tcPr>
          <w:p w14:paraId="020D0834">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pacing w:val="-6"/>
                <w:sz w:val="18"/>
                <w:szCs w:val="18"/>
                <w:highlight w:val="none"/>
                <w:lang w:val="en-US" w:eastAsia="zh-CN"/>
              </w:rPr>
            </w:pPr>
          </w:p>
        </w:tc>
        <w:tc>
          <w:tcPr>
            <w:tcW w:w="2298" w:type="dxa"/>
            <w:vMerge w:val="continue"/>
            <w:vAlign w:val="center"/>
          </w:tcPr>
          <w:p w14:paraId="5D0BA153">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pPr>
          </w:p>
        </w:tc>
        <w:tc>
          <w:tcPr>
            <w:tcW w:w="3839" w:type="dxa"/>
            <w:vAlign w:val="center"/>
          </w:tcPr>
          <w:p w14:paraId="797FDBB2">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t>中学数学、物理、化学、生物、信息拔尖人才特色课程</w:t>
            </w:r>
          </w:p>
        </w:tc>
        <w:tc>
          <w:tcPr>
            <w:tcW w:w="1569" w:type="dxa"/>
            <w:vAlign w:val="center"/>
          </w:tcPr>
          <w:p w14:paraId="226E3FE7">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常态化开展</w:t>
            </w:r>
          </w:p>
        </w:tc>
        <w:tc>
          <w:tcPr>
            <w:tcW w:w="2478" w:type="dxa"/>
            <w:vAlign w:val="center"/>
          </w:tcPr>
          <w:p w14:paraId="57AD69A6">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市教师发展中心</w:t>
            </w:r>
          </w:p>
        </w:tc>
        <w:tc>
          <w:tcPr>
            <w:tcW w:w="2478" w:type="dxa"/>
            <w:vAlign w:val="center"/>
          </w:tcPr>
          <w:p w14:paraId="5DE9BE07">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分层教学，校本实施</w:t>
            </w:r>
          </w:p>
        </w:tc>
      </w:tr>
      <w:tr w14:paraId="58F2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17" w:type="dxa"/>
            <w:vMerge w:val="continue"/>
            <w:vAlign w:val="center"/>
          </w:tcPr>
          <w:p w14:paraId="6387045A">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pacing w:val="-6"/>
                <w:sz w:val="18"/>
                <w:szCs w:val="18"/>
                <w:highlight w:val="none"/>
                <w:lang w:val="en-US" w:eastAsia="zh-CN"/>
              </w:rPr>
            </w:pPr>
          </w:p>
        </w:tc>
        <w:tc>
          <w:tcPr>
            <w:tcW w:w="2298" w:type="dxa"/>
            <w:vMerge w:val="continue"/>
            <w:vAlign w:val="center"/>
          </w:tcPr>
          <w:p w14:paraId="3FD61A9F">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pPr>
          </w:p>
        </w:tc>
        <w:tc>
          <w:tcPr>
            <w:tcW w:w="3839" w:type="dxa"/>
            <w:vAlign w:val="center"/>
          </w:tcPr>
          <w:p w14:paraId="48DEE167">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t>实验操作比赛</w:t>
            </w:r>
          </w:p>
        </w:tc>
        <w:tc>
          <w:tcPr>
            <w:tcW w:w="1569" w:type="dxa"/>
            <w:vAlign w:val="center"/>
          </w:tcPr>
          <w:p w14:paraId="62911B88">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每年5月</w:t>
            </w:r>
          </w:p>
        </w:tc>
        <w:tc>
          <w:tcPr>
            <w:tcW w:w="2478" w:type="dxa"/>
            <w:vAlign w:val="center"/>
          </w:tcPr>
          <w:p w14:paraId="23F68894">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市装备中心</w:t>
            </w:r>
          </w:p>
        </w:tc>
        <w:tc>
          <w:tcPr>
            <w:tcW w:w="2478" w:type="dxa"/>
            <w:vAlign w:val="center"/>
          </w:tcPr>
          <w:p w14:paraId="188E193E">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覆盖全市中小学</w:t>
            </w:r>
          </w:p>
        </w:tc>
      </w:tr>
      <w:tr w14:paraId="166E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17" w:type="dxa"/>
            <w:vMerge w:val="continue"/>
            <w:vAlign w:val="center"/>
          </w:tcPr>
          <w:p w14:paraId="0D08C60A">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pacing w:val="-6"/>
                <w:sz w:val="18"/>
                <w:szCs w:val="18"/>
                <w:highlight w:val="none"/>
                <w:lang w:val="en-US" w:eastAsia="zh-CN"/>
              </w:rPr>
            </w:pPr>
          </w:p>
        </w:tc>
        <w:tc>
          <w:tcPr>
            <w:tcW w:w="2298" w:type="dxa"/>
            <w:vMerge w:val="continue"/>
            <w:vAlign w:val="center"/>
          </w:tcPr>
          <w:p w14:paraId="3D8DE73C">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pPr>
          </w:p>
        </w:tc>
        <w:tc>
          <w:tcPr>
            <w:tcW w:w="3839" w:type="dxa"/>
            <w:vAlign w:val="center"/>
          </w:tcPr>
          <w:p w14:paraId="138A2645">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t>“健雄杯”科技节</w:t>
            </w:r>
          </w:p>
        </w:tc>
        <w:tc>
          <w:tcPr>
            <w:tcW w:w="1569" w:type="dxa"/>
            <w:vAlign w:val="center"/>
          </w:tcPr>
          <w:p w14:paraId="570C1727">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每年11月</w:t>
            </w:r>
          </w:p>
        </w:tc>
        <w:tc>
          <w:tcPr>
            <w:tcW w:w="2478" w:type="dxa"/>
            <w:vAlign w:val="center"/>
          </w:tcPr>
          <w:p w14:paraId="7C1F28E8">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青少年活动中心</w:t>
            </w:r>
          </w:p>
        </w:tc>
        <w:tc>
          <w:tcPr>
            <w:tcW w:w="2478" w:type="dxa"/>
            <w:vAlign w:val="center"/>
          </w:tcPr>
          <w:p w14:paraId="3907D8F2">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覆盖全市中小学</w:t>
            </w:r>
          </w:p>
        </w:tc>
      </w:tr>
      <w:tr w14:paraId="2345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17" w:type="dxa"/>
            <w:vAlign w:val="center"/>
          </w:tcPr>
          <w:p w14:paraId="53F987A6">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b w:val="0"/>
                <w:bCs w:val="0"/>
                <w:spacing w:val="-6"/>
                <w:sz w:val="18"/>
                <w:szCs w:val="18"/>
                <w:highlight w:val="none"/>
                <w:lang w:val="en-US" w:eastAsia="zh-CN"/>
              </w:rPr>
              <w:t>2</w:t>
            </w:r>
          </w:p>
        </w:tc>
        <w:tc>
          <w:tcPr>
            <w:tcW w:w="2298" w:type="dxa"/>
            <w:vAlign w:val="center"/>
          </w:tcPr>
          <w:p w14:paraId="3A3F35F3">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t>“健雄杯”人文综合素养类竞赛</w:t>
            </w:r>
          </w:p>
        </w:tc>
        <w:tc>
          <w:tcPr>
            <w:tcW w:w="3839" w:type="dxa"/>
            <w:vAlign w:val="center"/>
          </w:tcPr>
          <w:p w14:paraId="64B1F363">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t>全国版图知识竞赛</w:t>
            </w:r>
          </w:p>
        </w:tc>
        <w:tc>
          <w:tcPr>
            <w:tcW w:w="1569" w:type="dxa"/>
            <w:vAlign w:val="center"/>
          </w:tcPr>
          <w:p w14:paraId="064CC0D6">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每年3–4月</w:t>
            </w:r>
          </w:p>
        </w:tc>
        <w:tc>
          <w:tcPr>
            <w:tcW w:w="2478" w:type="dxa"/>
            <w:vAlign w:val="center"/>
          </w:tcPr>
          <w:p w14:paraId="47848833">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市教育局基础教育科</w:t>
            </w:r>
          </w:p>
        </w:tc>
        <w:tc>
          <w:tcPr>
            <w:tcW w:w="2478" w:type="dxa"/>
            <w:vAlign w:val="center"/>
          </w:tcPr>
          <w:p w14:paraId="52B03865">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结合地理课程</w:t>
            </w:r>
          </w:p>
        </w:tc>
      </w:tr>
      <w:tr w14:paraId="604C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17" w:type="dxa"/>
            <w:vAlign w:val="center"/>
          </w:tcPr>
          <w:p w14:paraId="36455650">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b w:val="0"/>
                <w:bCs w:val="0"/>
                <w:spacing w:val="-6"/>
                <w:sz w:val="18"/>
                <w:szCs w:val="18"/>
                <w:highlight w:val="none"/>
                <w:lang w:val="en-US" w:eastAsia="zh-CN"/>
              </w:rPr>
              <w:t>3</w:t>
            </w:r>
          </w:p>
        </w:tc>
        <w:tc>
          <w:tcPr>
            <w:tcW w:w="2298" w:type="dxa"/>
            <w:vAlign w:val="center"/>
          </w:tcPr>
          <w:p w14:paraId="53C0C856">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t>“健雄领航”馆校合作</w:t>
            </w:r>
          </w:p>
        </w:tc>
        <w:tc>
          <w:tcPr>
            <w:tcW w:w="3839" w:type="dxa"/>
            <w:vAlign w:val="center"/>
          </w:tcPr>
          <w:p w14:paraId="4DA23F45">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t>探索与惊奇——行走的课堂</w:t>
            </w:r>
          </w:p>
        </w:tc>
        <w:tc>
          <w:tcPr>
            <w:tcW w:w="1569" w:type="dxa"/>
            <w:vAlign w:val="center"/>
          </w:tcPr>
          <w:p w14:paraId="43DC7F6D">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每学期1次</w:t>
            </w:r>
          </w:p>
        </w:tc>
        <w:tc>
          <w:tcPr>
            <w:tcW w:w="2478" w:type="dxa"/>
            <w:vAlign w:val="center"/>
          </w:tcPr>
          <w:p w14:paraId="484D27C1">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市科技馆</w:t>
            </w:r>
          </w:p>
        </w:tc>
        <w:tc>
          <w:tcPr>
            <w:tcW w:w="2478" w:type="dxa"/>
            <w:vAlign w:val="center"/>
          </w:tcPr>
          <w:p w14:paraId="06582838">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rPr>
            </w:pPr>
            <w:r>
              <w:rPr>
                <w:rFonts w:hint="default" w:ascii="Times New Roman" w:hAnsi="Times New Roman" w:eastAsia="仿宋_GB2312" w:cs="Times New Roman"/>
                <w:i w:val="0"/>
                <w:iCs w:val="0"/>
                <w:color w:val="000000"/>
                <w:kern w:val="0"/>
                <w:sz w:val="18"/>
                <w:szCs w:val="18"/>
                <w:u w:val="none"/>
                <w:lang w:val="en-US" w:eastAsia="zh-CN" w:bidi="ar"/>
              </w:rPr>
              <w:t>覆盖全市中小学</w:t>
            </w:r>
          </w:p>
        </w:tc>
      </w:tr>
      <w:tr w14:paraId="1E69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7" w:type="dxa"/>
            <w:vAlign w:val="center"/>
          </w:tcPr>
          <w:p w14:paraId="2381DE23">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b w:val="0"/>
                <w:bCs w:val="0"/>
                <w:spacing w:val="-6"/>
                <w:sz w:val="18"/>
                <w:szCs w:val="18"/>
                <w:highlight w:val="none"/>
                <w:lang w:val="en-US" w:eastAsia="zh-CN"/>
              </w:rPr>
              <w:t>4</w:t>
            </w:r>
          </w:p>
        </w:tc>
        <w:tc>
          <w:tcPr>
            <w:tcW w:w="2298" w:type="dxa"/>
            <w:vAlign w:val="center"/>
          </w:tcPr>
          <w:p w14:paraId="329CCC28">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t>承健雄志・践科学行实践</w:t>
            </w:r>
          </w:p>
        </w:tc>
        <w:tc>
          <w:tcPr>
            <w:tcW w:w="3839" w:type="dxa"/>
            <w:vAlign w:val="center"/>
          </w:tcPr>
          <w:p w14:paraId="5D52FABA">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t>社会实践</w:t>
            </w:r>
          </w:p>
        </w:tc>
        <w:tc>
          <w:tcPr>
            <w:tcW w:w="1569" w:type="dxa"/>
            <w:vAlign w:val="center"/>
          </w:tcPr>
          <w:p w14:paraId="215D671C">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秋季（八年级）、春季（四年级）</w:t>
            </w:r>
          </w:p>
        </w:tc>
        <w:tc>
          <w:tcPr>
            <w:tcW w:w="2478" w:type="dxa"/>
            <w:vAlign w:val="center"/>
          </w:tcPr>
          <w:p w14:paraId="6724A623">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市教育局基教科</w:t>
            </w:r>
          </w:p>
        </w:tc>
        <w:tc>
          <w:tcPr>
            <w:tcW w:w="2478" w:type="dxa"/>
            <w:vAlign w:val="center"/>
          </w:tcPr>
          <w:p w14:paraId="54446C63">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时思社会实践基地实施</w:t>
            </w:r>
          </w:p>
        </w:tc>
      </w:tr>
      <w:tr w14:paraId="0B4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7" w:type="dxa"/>
            <w:vAlign w:val="center"/>
          </w:tcPr>
          <w:p w14:paraId="5559E8C4">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b w:val="0"/>
                <w:bCs w:val="0"/>
                <w:spacing w:val="-6"/>
                <w:sz w:val="18"/>
                <w:szCs w:val="18"/>
                <w:highlight w:val="none"/>
                <w:lang w:val="en-US" w:eastAsia="zh-CN"/>
              </w:rPr>
              <w:t>5</w:t>
            </w:r>
          </w:p>
        </w:tc>
        <w:tc>
          <w:tcPr>
            <w:tcW w:w="2298" w:type="dxa"/>
            <w:vAlign w:val="center"/>
          </w:tcPr>
          <w:p w14:paraId="3B788335">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t>弘扬健雄精神 培育时代新人</w:t>
            </w:r>
          </w:p>
          <w:p w14:paraId="0DE7A965">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t>科学教育能力提升计划</w:t>
            </w:r>
          </w:p>
        </w:tc>
        <w:tc>
          <w:tcPr>
            <w:tcW w:w="3839" w:type="dxa"/>
            <w:vAlign w:val="center"/>
          </w:tcPr>
          <w:p w14:paraId="088A628F">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t>教师培训</w:t>
            </w:r>
          </w:p>
        </w:tc>
        <w:tc>
          <w:tcPr>
            <w:tcW w:w="1569" w:type="dxa"/>
            <w:vAlign w:val="center"/>
          </w:tcPr>
          <w:p w14:paraId="39996C51">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常态化开展</w:t>
            </w:r>
          </w:p>
        </w:tc>
        <w:tc>
          <w:tcPr>
            <w:tcW w:w="2478" w:type="dxa"/>
            <w:vAlign w:val="center"/>
          </w:tcPr>
          <w:p w14:paraId="6DCFD971">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青少年活动中心</w:t>
            </w:r>
          </w:p>
        </w:tc>
        <w:tc>
          <w:tcPr>
            <w:tcW w:w="2478" w:type="dxa"/>
            <w:vAlign w:val="center"/>
          </w:tcPr>
          <w:p w14:paraId="5489A91A">
            <w:pPr>
              <w:keepNext w:val="0"/>
              <w:keepLines w:val="0"/>
              <w:widowControl/>
              <w:suppressLineNumbers w:val="0"/>
              <w:jc w:val="center"/>
              <w:textAlignment w:val="center"/>
              <w:rPr>
                <w:rFonts w:hint="default" w:ascii="Times New Roman" w:hAnsi="Times New Roman" w:eastAsia="仿宋_GB2312" w:cs="Times New Roman"/>
                <w:b w:val="0"/>
                <w:bCs w:val="0"/>
                <w:color w:val="auto"/>
                <w:kern w:val="2"/>
                <w:sz w:val="18"/>
                <w:szCs w:val="18"/>
                <w:highlight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含市级培训、校本研修</w:t>
            </w:r>
          </w:p>
        </w:tc>
      </w:tr>
      <w:tr w14:paraId="5A4D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7" w:type="dxa"/>
            <w:vAlign w:val="center"/>
          </w:tcPr>
          <w:p w14:paraId="115A78F3">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b w:val="0"/>
                <w:bCs w:val="0"/>
                <w:spacing w:val="-6"/>
                <w:sz w:val="18"/>
                <w:szCs w:val="18"/>
                <w:highlight w:val="none"/>
                <w:lang w:val="en-US" w:eastAsia="zh-CN"/>
              </w:rPr>
              <w:t>6</w:t>
            </w:r>
          </w:p>
        </w:tc>
        <w:tc>
          <w:tcPr>
            <w:tcW w:w="2298" w:type="dxa"/>
            <w:vAlign w:val="center"/>
          </w:tcPr>
          <w:p w14:paraId="738300A7">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t>健雄科学教育专家引领计划</w:t>
            </w:r>
          </w:p>
        </w:tc>
        <w:tc>
          <w:tcPr>
            <w:tcW w:w="3839" w:type="dxa"/>
            <w:vAlign w:val="center"/>
          </w:tcPr>
          <w:p w14:paraId="551987A5">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t>专家指导</w:t>
            </w:r>
          </w:p>
        </w:tc>
        <w:tc>
          <w:tcPr>
            <w:tcW w:w="1569" w:type="dxa"/>
            <w:vAlign w:val="center"/>
          </w:tcPr>
          <w:p w14:paraId="46D3C2B0">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常态化开展</w:t>
            </w:r>
          </w:p>
        </w:tc>
        <w:tc>
          <w:tcPr>
            <w:tcW w:w="2478" w:type="dxa"/>
            <w:vAlign w:val="center"/>
          </w:tcPr>
          <w:p w14:paraId="02050BE3">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青少年活动中心</w:t>
            </w:r>
          </w:p>
        </w:tc>
        <w:tc>
          <w:tcPr>
            <w:tcW w:w="2478" w:type="dxa"/>
            <w:vAlign w:val="center"/>
          </w:tcPr>
          <w:p w14:paraId="4BA69742">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rPr>
            </w:pPr>
            <w:r>
              <w:rPr>
                <w:rFonts w:hint="default" w:ascii="Times New Roman" w:hAnsi="Times New Roman" w:eastAsia="仿宋_GB2312" w:cs="Times New Roman"/>
                <w:i w:val="0"/>
                <w:iCs w:val="0"/>
                <w:color w:val="000000"/>
                <w:kern w:val="0"/>
                <w:sz w:val="18"/>
                <w:szCs w:val="18"/>
                <w:u w:val="none"/>
                <w:lang w:val="en-US" w:eastAsia="zh-CN" w:bidi="ar"/>
              </w:rPr>
              <w:t>高校、科研院所专家参与</w:t>
            </w:r>
          </w:p>
        </w:tc>
      </w:tr>
      <w:tr w14:paraId="735E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7" w:type="dxa"/>
            <w:vAlign w:val="center"/>
          </w:tcPr>
          <w:p w14:paraId="5C8EDE23">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b w:val="0"/>
                <w:bCs w:val="0"/>
                <w:spacing w:val="-6"/>
                <w:sz w:val="18"/>
                <w:szCs w:val="18"/>
                <w:highlight w:val="none"/>
                <w:lang w:val="en-US" w:eastAsia="zh-CN"/>
              </w:rPr>
              <w:t>7</w:t>
            </w:r>
          </w:p>
        </w:tc>
        <w:tc>
          <w:tcPr>
            <w:tcW w:w="6137" w:type="dxa"/>
            <w:gridSpan w:val="2"/>
            <w:vAlign w:val="center"/>
          </w:tcPr>
          <w:p w14:paraId="122AC279">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t>中小学科学副校长全覆盖</w:t>
            </w:r>
          </w:p>
        </w:tc>
        <w:tc>
          <w:tcPr>
            <w:tcW w:w="1569" w:type="dxa"/>
            <w:vAlign w:val="center"/>
          </w:tcPr>
          <w:p w14:paraId="53DDBF57">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2025年12月底前</w:t>
            </w:r>
          </w:p>
        </w:tc>
        <w:tc>
          <w:tcPr>
            <w:tcW w:w="2478" w:type="dxa"/>
            <w:vAlign w:val="center"/>
          </w:tcPr>
          <w:p w14:paraId="0DD93AB5">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各中小学</w:t>
            </w:r>
          </w:p>
        </w:tc>
        <w:tc>
          <w:tcPr>
            <w:tcW w:w="2478" w:type="dxa"/>
            <w:vAlign w:val="center"/>
          </w:tcPr>
          <w:p w14:paraId="03619A23">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rPr>
            </w:pPr>
            <w:r>
              <w:rPr>
                <w:rFonts w:hint="default" w:ascii="Times New Roman" w:hAnsi="Times New Roman" w:eastAsia="仿宋_GB2312" w:cs="Times New Roman"/>
                <w:i w:val="0"/>
                <w:iCs w:val="0"/>
                <w:color w:val="000000"/>
                <w:kern w:val="0"/>
                <w:sz w:val="18"/>
                <w:szCs w:val="18"/>
                <w:u w:val="none"/>
                <w:lang w:val="en-US" w:eastAsia="zh-CN" w:bidi="ar"/>
              </w:rPr>
              <w:t>需报送聘任名单</w:t>
            </w:r>
          </w:p>
        </w:tc>
      </w:tr>
      <w:tr w14:paraId="2BF4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7" w:type="dxa"/>
            <w:vAlign w:val="center"/>
          </w:tcPr>
          <w:p w14:paraId="488A1275">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b w:val="0"/>
                <w:bCs w:val="0"/>
                <w:spacing w:val="-6"/>
                <w:sz w:val="18"/>
                <w:szCs w:val="18"/>
                <w:highlight w:val="none"/>
                <w:lang w:val="en-US" w:eastAsia="zh-CN"/>
              </w:rPr>
              <w:t>8</w:t>
            </w:r>
          </w:p>
        </w:tc>
        <w:tc>
          <w:tcPr>
            <w:tcW w:w="6137" w:type="dxa"/>
            <w:gridSpan w:val="2"/>
            <w:vAlign w:val="center"/>
          </w:tcPr>
          <w:p w14:paraId="25304FE7">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pPr>
            <w:r>
              <w:rPr>
                <w:rFonts w:hint="default" w:ascii="Times New Roman" w:hAnsi="Times New Roman" w:eastAsia="仿宋_GB2312" w:cs="Times New Roman"/>
                <w:b w:val="0"/>
                <w:bCs w:val="0"/>
                <w:i w:val="0"/>
                <w:iCs w:val="0"/>
                <w:caps w:val="0"/>
                <w:color w:val="auto"/>
                <w:spacing w:val="0"/>
                <w:kern w:val="0"/>
                <w:sz w:val="18"/>
                <w:szCs w:val="18"/>
                <w:highlight w:val="none"/>
                <w:shd w:val="clear" w:color="auto" w:fill="auto"/>
                <w:lang w:val="en-US" w:eastAsia="zh-CN" w:bidi="ar"/>
              </w:rPr>
              <w:t>编制“健雄科普教育基地目录”</w:t>
            </w:r>
          </w:p>
        </w:tc>
        <w:tc>
          <w:tcPr>
            <w:tcW w:w="1569" w:type="dxa"/>
            <w:vAlign w:val="center"/>
          </w:tcPr>
          <w:p w14:paraId="7480C212">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2025年12月底前</w:t>
            </w:r>
          </w:p>
        </w:tc>
        <w:tc>
          <w:tcPr>
            <w:tcW w:w="2478" w:type="dxa"/>
            <w:vAlign w:val="center"/>
          </w:tcPr>
          <w:p w14:paraId="38AE0172">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市教育局、市科协</w:t>
            </w:r>
          </w:p>
        </w:tc>
        <w:tc>
          <w:tcPr>
            <w:tcW w:w="2478" w:type="dxa"/>
            <w:vAlign w:val="center"/>
          </w:tcPr>
          <w:p w14:paraId="1B7720DD">
            <w:pPr>
              <w:keepNext w:val="0"/>
              <w:keepLines w:val="0"/>
              <w:widowControl/>
              <w:suppressLineNumbers w:val="0"/>
              <w:jc w:val="center"/>
              <w:textAlignment w:val="center"/>
              <w:rPr>
                <w:rFonts w:hint="default" w:ascii="Times New Roman" w:hAnsi="Times New Roman" w:eastAsia="仿宋_GB2312" w:cs="Times New Roman"/>
                <w:b w:val="0"/>
                <w:bCs w:val="0"/>
                <w:spacing w:val="-6"/>
                <w:sz w:val="18"/>
                <w:szCs w:val="18"/>
                <w:highlight w:val="none"/>
              </w:rPr>
            </w:pPr>
            <w:r>
              <w:rPr>
                <w:rFonts w:hint="default" w:ascii="Times New Roman" w:hAnsi="Times New Roman" w:eastAsia="仿宋_GB2312" w:cs="Times New Roman"/>
                <w:i w:val="0"/>
                <w:iCs w:val="0"/>
                <w:color w:val="000000"/>
                <w:kern w:val="0"/>
                <w:sz w:val="18"/>
                <w:szCs w:val="18"/>
                <w:u w:val="none"/>
                <w:lang w:val="en-US" w:eastAsia="zh-CN" w:bidi="ar"/>
              </w:rPr>
              <w:t>含开放时间、预约方式</w:t>
            </w:r>
          </w:p>
        </w:tc>
      </w:tr>
    </w:tbl>
    <w:p w14:paraId="53CCDC25">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eastAsiaTheme="minorEastAsia"/>
          <w:b w:val="0"/>
          <w:bCs w:val="0"/>
          <w:i w:val="0"/>
          <w:iCs w:val="0"/>
          <w:caps w:val="0"/>
          <w:color w:val="000000" w:themeColor="text1"/>
          <w:spacing w:val="0"/>
          <w:kern w:val="0"/>
          <w:sz w:val="21"/>
          <w:szCs w:val="21"/>
          <w:highlight w:val="none"/>
          <w:shd w:val="clear" w:color="auto" w:fill="auto"/>
          <w:lang w:val="en-US" w:eastAsia="zh-CN" w:bidi="ar"/>
          <w14:textFill>
            <w14:solidFill>
              <w14:schemeClr w14:val="tx1"/>
            </w14:solidFill>
          </w14:textFill>
        </w:rPr>
      </w:pPr>
    </w:p>
    <w:sectPr>
      <w:pgSz w:w="16838" w:h="11906" w:orient="landscape"/>
      <w:pgMar w:top="1474" w:right="2041" w:bottom="1474" w:left="192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23894CA-F0BB-4906-A074-7C21A3290E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angSong_GB2312">
    <w:altName w:val="仿宋_GB2312"/>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2F975FE7-DFEA-45D1-A369-B980476A4EFF}"/>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0AB609DC-60DF-4EB4-8FFD-66C5ED957FF3}"/>
  </w:font>
  <w:font w:name="楷体_GB2312">
    <w:panose1 w:val="02010609030101010101"/>
    <w:charset w:val="86"/>
    <w:family w:val="auto"/>
    <w:pitch w:val="default"/>
    <w:sig w:usb0="00000001" w:usb1="080E0000" w:usb2="00000000" w:usb3="00000000" w:csb0="00040000" w:csb1="00000000"/>
    <w:embedRegular r:id="rId4" w:fontKey="{F82DB755-836F-421B-AC39-08B9F731C425}"/>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C77F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A487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8A487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022A6"/>
    <w:rsid w:val="00174A6C"/>
    <w:rsid w:val="00724552"/>
    <w:rsid w:val="01322380"/>
    <w:rsid w:val="01A81E98"/>
    <w:rsid w:val="03632E30"/>
    <w:rsid w:val="0519408A"/>
    <w:rsid w:val="05652AA0"/>
    <w:rsid w:val="071010C3"/>
    <w:rsid w:val="079610C8"/>
    <w:rsid w:val="07DE3F54"/>
    <w:rsid w:val="0ABE41AE"/>
    <w:rsid w:val="0C915D60"/>
    <w:rsid w:val="0E45624A"/>
    <w:rsid w:val="0EFC1538"/>
    <w:rsid w:val="11553800"/>
    <w:rsid w:val="11661ECE"/>
    <w:rsid w:val="11962D85"/>
    <w:rsid w:val="145558C5"/>
    <w:rsid w:val="14EC25CE"/>
    <w:rsid w:val="176F3141"/>
    <w:rsid w:val="17C5382C"/>
    <w:rsid w:val="19A54BF8"/>
    <w:rsid w:val="1E832848"/>
    <w:rsid w:val="1EE00481"/>
    <w:rsid w:val="20803CC9"/>
    <w:rsid w:val="244B0A92"/>
    <w:rsid w:val="27174E98"/>
    <w:rsid w:val="289F39AF"/>
    <w:rsid w:val="2CA70830"/>
    <w:rsid w:val="2DEA131C"/>
    <w:rsid w:val="2F740E9D"/>
    <w:rsid w:val="2FFC6134"/>
    <w:rsid w:val="30C310B4"/>
    <w:rsid w:val="318022A6"/>
    <w:rsid w:val="33D72BCA"/>
    <w:rsid w:val="341D0BF1"/>
    <w:rsid w:val="35487054"/>
    <w:rsid w:val="35610116"/>
    <w:rsid w:val="370816E5"/>
    <w:rsid w:val="37A61E10"/>
    <w:rsid w:val="396315A3"/>
    <w:rsid w:val="39933C03"/>
    <w:rsid w:val="3D8C7CFA"/>
    <w:rsid w:val="3DE90CA8"/>
    <w:rsid w:val="3DEB2C72"/>
    <w:rsid w:val="408C032E"/>
    <w:rsid w:val="40D00D9F"/>
    <w:rsid w:val="4145265A"/>
    <w:rsid w:val="43E803CE"/>
    <w:rsid w:val="44371CA4"/>
    <w:rsid w:val="44595043"/>
    <w:rsid w:val="456551B1"/>
    <w:rsid w:val="475A5F5D"/>
    <w:rsid w:val="47C332F7"/>
    <w:rsid w:val="48831CF9"/>
    <w:rsid w:val="49367819"/>
    <w:rsid w:val="494D5F27"/>
    <w:rsid w:val="4A6C0C97"/>
    <w:rsid w:val="4DC82688"/>
    <w:rsid w:val="4DFD31BA"/>
    <w:rsid w:val="4F6F00FB"/>
    <w:rsid w:val="512F2A1E"/>
    <w:rsid w:val="514F6BC2"/>
    <w:rsid w:val="52DC5F83"/>
    <w:rsid w:val="534A7CEC"/>
    <w:rsid w:val="54020DAE"/>
    <w:rsid w:val="559346FC"/>
    <w:rsid w:val="55BB7395"/>
    <w:rsid w:val="574F5132"/>
    <w:rsid w:val="58015FB0"/>
    <w:rsid w:val="58DF4D2A"/>
    <w:rsid w:val="598F49A2"/>
    <w:rsid w:val="5ADD72A9"/>
    <w:rsid w:val="5B2D6220"/>
    <w:rsid w:val="5CC63829"/>
    <w:rsid w:val="5CE92275"/>
    <w:rsid w:val="5D52328E"/>
    <w:rsid w:val="5D762392"/>
    <w:rsid w:val="5D857F0E"/>
    <w:rsid w:val="5DA16A52"/>
    <w:rsid w:val="6001155E"/>
    <w:rsid w:val="61AF1761"/>
    <w:rsid w:val="624A3B7A"/>
    <w:rsid w:val="62711F84"/>
    <w:rsid w:val="6317611A"/>
    <w:rsid w:val="632F68AE"/>
    <w:rsid w:val="65606904"/>
    <w:rsid w:val="65706CBF"/>
    <w:rsid w:val="65FE7137"/>
    <w:rsid w:val="665746F9"/>
    <w:rsid w:val="66F709FC"/>
    <w:rsid w:val="69835F30"/>
    <w:rsid w:val="699D7DF5"/>
    <w:rsid w:val="6B862CD8"/>
    <w:rsid w:val="6C976F8A"/>
    <w:rsid w:val="6CC42DCA"/>
    <w:rsid w:val="6F117FC7"/>
    <w:rsid w:val="6FF9096F"/>
    <w:rsid w:val="6FFB0243"/>
    <w:rsid w:val="700E0E13"/>
    <w:rsid w:val="71491244"/>
    <w:rsid w:val="751F2D2D"/>
    <w:rsid w:val="779F47E5"/>
    <w:rsid w:val="781C0C94"/>
    <w:rsid w:val="78210A63"/>
    <w:rsid w:val="791A6A1E"/>
    <w:rsid w:val="7A671698"/>
    <w:rsid w:val="7AF93230"/>
    <w:rsid w:val="7C9A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basedOn w:val="1"/>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te Heading"/>
    <w:basedOn w:val="1"/>
    <w:next w:val="1"/>
    <w:unhideWhenUsed/>
    <w:qFormat/>
    <w:uiPriority w:val="0"/>
    <w:pPr>
      <w:spacing w:beforeLines="0" w:afterLines="0"/>
      <w:jc w:val="center"/>
    </w:pPr>
    <w:rPr>
      <w:rFonts w:hint="default"/>
      <w:sz w:val="21"/>
      <w:szCs w:val="24"/>
    </w:rPr>
  </w:style>
  <w:style w:type="paragraph" w:styleId="6">
    <w:name w:val="annotation text"/>
    <w:basedOn w:val="1"/>
    <w:qFormat/>
    <w:uiPriority w:val="0"/>
    <w:pPr>
      <w:jc w:val="left"/>
    </w:pPr>
  </w:style>
  <w:style w:type="paragraph" w:styleId="7">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主题词"/>
    <w:basedOn w:val="1"/>
    <w:qFormat/>
    <w:uiPriority w:val="0"/>
    <w:pPr>
      <w:autoSpaceDE w:val="0"/>
      <w:autoSpaceDN w:val="0"/>
      <w:adjustRightInd w:val="0"/>
      <w:spacing w:line="240" w:lineRule="atLeast"/>
      <w:jc w:val="left"/>
    </w:pPr>
    <w:rPr>
      <w:rFonts w:ascii="宋体"/>
      <w:b/>
      <w:snapToGrid w:val="0"/>
      <w:kern w:val="0"/>
      <w:sz w:val="32"/>
      <w:szCs w:val="20"/>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 w:type="character" w:customStyle="1" w:styleId="18">
    <w:name w:val="font41"/>
    <w:basedOn w:val="13"/>
    <w:qFormat/>
    <w:uiPriority w:val="0"/>
    <w:rPr>
      <w:rFonts w:hint="default" w:ascii="Times New Roman" w:hAnsi="Times New Roman" w:cs="Times New Roman"/>
      <w:color w:val="000000"/>
      <w:sz w:val="20"/>
      <w:szCs w:val="20"/>
      <w:u w:val="none"/>
    </w:rPr>
  </w:style>
  <w:style w:type="character" w:customStyle="1" w:styleId="19">
    <w:name w:val="font2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4059</Words>
  <Characters>4106</Characters>
  <Lines>0</Lines>
  <Paragraphs>0</Paragraphs>
  <TotalTime>1</TotalTime>
  <ScaleCrop>false</ScaleCrop>
  <LinksUpToDate>false</LinksUpToDate>
  <CharactersWithSpaces>4115</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2025-04-22T07:11:00Z</dcterms:created>
  <dc:creator>harveyX</dc:creator>
  <cp:lastModifiedBy>Administrator</cp:lastModifiedBy>
  <cp:lastPrinted>2025-09-22T07:54:00Z</cp:lastPrinted>
  <dcterms:modified xsi:type="dcterms:W3CDTF">2026-05-11T03:30:17Z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EDE52A3248904E678375D28D57CDFF00_13</vt:lpwstr>
  </property>
  <property fmtid="{D5CDD505-2E9C-101B-9397-08002B2CF9AE}" pid="4" name="KSOTemplateDocerSaveRecord">
    <vt:lpwstr>eyJoZGlkIjoiZDQ1ZWVmOThmZTJlZDFhZWUyYzBkOWQyNTRjYTMyZTEiLCJ1c2VySWQiOiIyNjQyMjc0MDQifQ==</vt:lpwstr>
  </property>
</Properties>
</file>