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D7B0">
      <w:pPr>
        <w:keepNext w:val="0"/>
        <w:keepLines w:val="0"/>
        <w:pageBreakBefore w:val="0"/>
        <w:widowControl w:val="0"/>
        <w:kinsoku/>
        <w:wordWrap/>
        <w:topLinePunct w:val="0"/>
        <w:bidi w:val="0"/>
        <w:spacing w:line="240" w:lineRule="exact"/>
        <w:jc w:val="distribute"/>
        <w:textAlignment w:val="auto"/>
        <w:rPr>
          <w:rFonts w:hint="default" w:ascii="Times New Roman" w:hAnsi="Times New Roman" w:eastAsia="方正小标宋简体" w:cs="Times New Roman"/>
          <w:bCs/>
          <w:color w:val="auto"/>
          <w:w w:val="90"/>
          <w:sz w:val="100"/>
          <w:szCs w:val="100"/>
        </w:rPr>
      </w:pPr>
    </w:p>
    <w:p w14:paraId="358EEC0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关于印发《202</w:t>
      </w:r>
      <w:r>
        <w:rPr>
          <w:rFonts w:hint="default"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年度教育工作要点》的通知</w:t>
      </w:r>
    </w:p>
    <w:p w14:paraId="70891AC5">
      <w:pPr>
        <w:keepNext w:val="0"/>
        <w:keepLines w:val="0"/>
        <w:pageBreakBefore w:val="0"/>
        <w:widowControl w:val="0"/>
        <w:kinsoku/>
        <w:wordWrap/>
        <w:topLinePunct w:val="0"/>
        <w:bidi w:val="0"/>
        <w:spacing w:line="360" w:lineRule="exact"/>
        <w:textAlignment w:val="auto"/>
        <w:rPr>
          <w:rFonts w:hint="default" w:ascii="Times New Roman" w:hAnsi="Times New Roman" w:cs="Times New Roman"/>
          <w:color w:val="auto"/>
        </w:rPr>
      </w:pPr>
    </w:p>
    <w:p w14:paraId="1AE19096">
      <w:pPr>
        <w:keepNext w:val="0"/>
        <w:keepLines w:val="0"/>
        <w:pageBreakBefore w:val="0"/>
        <w:widowControl w:val="0"/>
        <w:kinsoku/>
        <w:wordWrap/>
        <w:topLinePunct w:val="0"/>
        <w:bidi w:val="0"/>
        <w:jc w:val="center"/>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太教〔202</w:t>
      </w:r>
      <w:r>
        <w:rPr>
          <w:rFonts w:hint="default"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号</w:t>
      </w:r>
    </w:p>
    <w:p w14:paraId="6A80ED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6"/>
          <w:sz w:val="44"/>
          <w:szCs w:val="44"/>
        </w:rPr>
      </w:pPr>
    </w:p>
    <w:p w14:paraId="185938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各镇</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区、街道</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政府</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管委会、办事处</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相关部门，全市各中小学、幼教中心及相关单位:</w:t>
      </w:r>
    </w:p>
    <w:p w14:paraId="1B94E261">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现将《202</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rPr>
        <w:t>年度教育工作要点》发给你们，请按市教育局提出的工作思路和目标任务，结合本地、本校实际情况及早研究部署202</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rPr>
        <w:t>年镇</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区</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和学校的教育工作。</w:t>
      </w:r>
    </w:p>
    <w:p w14:paraId="2A0ACAC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spacing w:val="-6"/>
          <w:sz w:val="32"/>
          <w:szCs w:val="32"/>
        </w:rPr>
      </w:pPr>
    </w:p>
    <w:p w14:paraId="72F109B1">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spacing w:val="-6"/>
          <w:sz w:val="32"/>
          <w:szCs w:val="32"/>
        </w:rPr>
      </w:pPr>
    </w:p>
    <w:p w14:paraId="667C40BD">
      <w:pPr>
        <w:pStyle w:val="2"/>
        <w:rPr>
          <w:rFonts w:hint="default" w:ascii="Times New Roman" w:hAnsi="Times New Roman" w:eastAsia="仿宋_GB2312" w:cs="Times New Roman"/>
          <w:spacing w:val="-6"/>
          <w:sz w:val="32"/>
          <w:szCs w:val="32"/>
        </w:rPr>
      </w:pPr>
    </w:p>
    <w:p w14:paraId="7FD124B8">
      <w:pPr>
        <w:rPr>
          <w:rFonts w:hint="default"/>
        </w:rPr>
      </w:pPr>
    </w:p>
    <w:p w14:paraId="4425FC42">
      <w:pPr>
        <w:keepNext w:val="0"/>
        <w:keepLines w:val="0"/>
        <w:pageBreakBefore w:val="0"/>
        <w:widowControl w:val="0"/>
        <w:kinsoku/>
        <w:wordWrap/>
        <w:overflowPunct/>
        <w:topLinePunct w:val="0"/>
        <w:autoSpaceDE/>
        <w:autoSpaceDN/>
        <w:bidi w:val="0"/>
        <w:adjustRightInd/>
        <w:snapToGrid/>
        <w:spacing w:line="560" w:lineRule="exact"/>
        <w:ind w:firstLine="6160" w:firstLineChars="2000"/>
        <w:jc w:val="left"/>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太仓市教育局</w:t>
      </w:r>
    </w:p>
    <w:p w14:paraId="279A9238">
      <w:pPr>
        <w:keepNext w:val="0"/>
        <w:keepLines w:val="0"/>
        <w:pageBreakBefore w:val="0"/>
        <w:widowControl w:val="0"/>
        <w:kinsoku/>
        <w:wordWrap/>
        <w:overflowPunct/>
        <w:topLinePunct w:val="0"/>
        <w:autoSpaceDE/>
        <w:autoSpaceDN/>
        <w:bidi w:val="0"/>
        <w:adjustRightInd/>
        <w:snapToGrid/>
        <w:spacing w:line="560" w:lineRule="exact"/>
        <w:ind w:firstLine="5852" w:firstLineChars="1900"/>
        <w:jc w:val="lef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2026年2月</w:t>
      </w:r>
      <w:r>
        <w:rPr>
          <w:rFonts w:hint="eastAsia" w:ascii="Times New Roman" w:hAnsi="Times New Roman" w:eastAsia="仿宋_GB2312" w:cs="Times New Roman"/>
          <w:spacing w:val="-6"/>
          <w:sz w:val="32"/>
          <w:szCs w:val="32"/>
          <w:lang w:val="en-US" w:eastAsia="zh-CN"/>
        </w:rPr>
        <w:t>24</w:t>
      </w:r>
      <w:r>
        <w:rPr>
          <w:rFonts w:hint="default" w:ascii="Times New Roman" w:hAnsi="Times New Roman" w:eastAsia="仿宋_GB2312" w:cs="Times New Roman"/>
          <w:spacing w:val="-6"/>
          <w:sz w:val="32"/>
          <w:szCs w:val="32"/>
          <w:lang w:val="en-US" w:eastAsia="zh-CN"/>
        </w:rPr>
        <w:t>日</w:t>
      </w:r>
    </w:p>
    <w:p w14:paraId="1572BA51">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（此件公开发布）</w:t>
      </w:r>
    </w:p>
    <w:p w14:paraId="1D5947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6"/>
          <w:sz w:val="32"/>
          <w:szCs w:val="32"/>
          <w:lang w:val="en-US" w:eastAsia="zh-CN"/>
        </w:rPr>
      </w:pPr>
    </w:p>
    <w:p w14:paraId="1AA2CB6B">
      <w:pPr>
        <w:spacing w:line="240" w:lineRule="exact"/>
        <w:rPr>
          <w:rFonts w:hint="default" w:ascii="Times New Roman" w:hAnsi="Times New Roman" w:eastAsia="黑体" w:cs="Times New Roman"/>
          <w:color w:val="auto"/>
          <w:sz w:val="32"/>
          <w:szCs w:val="32"/>
          <w:highlight w:val="none"/>
          <w:u w:val="single"/>
        </w:rPr>
      </w:pPr>
    </w:p>
    <w:p w14:paraId="238335F9">
      <w:pPr>
        <w:pStyle w:val="2"/>
        <w:rPr>
          <w:rFonts w:hint="default" w:ascii="Times New Roman" w:hAnsi="Times New Roman" w:eastAsia="黑体" w:cs="Times New Roman"/>
          <w:color w:val="auto"/>
          <w:sz w:val="32"/>
          <w:szCs w:val="32"/>
          <w:highlight w:val="none"/>
          <w:u w:val="single"/>
        </w:rPr>
      </w:pPr>
    </w:p>
    <w:p w14:paraId="69CEA593">
      <w:pPr>
        <w:rPr>
          <w:rFonts w:hint="default" w:ascii="Times New Roman" w:hAnsi="Times New Roman" w:eastAsia="黑体" w:cs="Times New Roman"/>
          <w:color w:val="auto"/>
          <w:sz w:val="32"/>
          <w:szCs w:val="32"/>
          <w:highlight w:val="none"/>
          <w:u w:val="single"/>
        </w:rPr>
      </w:pPr>
    </w:p>
    <w:p w14:paraId="4524DB65">
      <w:pPr>
        <w:pStyle w:val="2"/>
        <w:rPr>
          <w:rFonts w:hint="default"/>
        </w:rPr>
      </w:pPr>
      <w:bookmarkStart w:id="1" w:name="_GoBack"/>
      <w:bookmarkEnd w:id="1"/>
    </w:p>
    <w:p w14:paraId="1BE8E438">
      <w:pPr>
        <w:spacing w:line="240" w:lineRule="exact"/>
        <w:rPr>
          <w:rFonts w:hint="default" w:ascii="Times New Roman" w:hAnsi="Times New Roman" w:eastAsia="黑体" w:cs="Times New Roman"/>
          <w:color w:val="auto"/>
          <w:sz w:val="32"/>
          <w:szCs w:val="32"/>
          <w:highlight w:val="none"/>
          <w:u w:val="single"/>
        </w:rPr>
      </w:pPr>
    </w:p>
    <w:tbl>
      <w:tblPr>
        <w:tblStyle w:val="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EEA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000" w:type="dxa"/>
            <w:tcBorders>
              <w:top w:val="single" w:color="auto" w:sz="12" w:space="0"/>
              <w:left w:val="nil"/>
              <w:right w:val="nil"/>
            </w:tcBorders>
            <w:noWrap w:val="0"/>
            <w:vAlign w:val="top"/>
          </w:tcPr>
          <w:p w14:paraId="64B5891C">
            <w:pPr>
              <w:spacing w:line="360" w:lineRule="exact"/>
              <w:ind w:left="551" w:hanging="551" w:hangingChars="196"/>
              <w:rPr>
                <w:rFonts w:hint="default" w:ascii="Times New Roman" w:hAnsi="Times New Roman" w:eastAsia="仿宋_GB2312" w:cs="Times New Roman"/>
                <w:snapToGrid w:val="0"/>
                <w:color w:val="auto"/>
                <w:kern w:val="0"/>
                <w:sz w:val="28"/>
                <w:szCs w:val="28"/>
              </w:rPr>
            </w:pPr>
            <w:r>
              <w:rPr>
                <w:rFonts w:hint="default" w:ascii="Times New Roman" w:hAnsi="Times New Roman" w:eastAsia="仿宋_GB2312" w:cs="Times New Roman"/>
                <w:b/>
                <w:color w:val="auto"/>
                <w:sz w:val="28"/>
                <w:szCs w:val="28"/>
              </w:rPr>
              <w:t>抄：</w:t>
            </w:r>
            <w:r>
              <w:rPr>
                <w:rFonts w:hint="default" w:ascii="Times New Roman" w:hAnsi="Times New Roman" w:eastAsia="仿宋_GB2312" w:cs="Times New Roman"/>
                <w:color w:val="auto"/>
                <w:sz w:val="28"/>
                <w:szCs w:val="28"/>
              </w:rPr>
              <w:t>苏州市教育局办公室，市委办公室、市人大办公室、市政府办公室、市政协秘书处</w:t>
            </w:r>
          </w:p>
        </w:tc>
      </w:tr>
      <w:tr w14:paraId="53EF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tcBorders>
              <w:left w:val="nil"/>
              <w:bottom w:val="single" w:color="auto" w:sz="12" w:space="0"/>
              <w:right w:val="nil"/>
            </w:tcBorders>
            <w:noWrap w:val="0"/>
            <w:vAlign w:val="top"/>
          </w:tcPr>
          <w:p w14:paraId="4940B217">
            <w:pPr>
              <w:pStyle w:val="9"/>
              <w:overflowPunct w:val="0"/>
              <w:snapToGrid w:val="0"/>
              <w:spacing w:line="360" w:lineRule="exact"/>
              <w:rPr>
                <w:rFonts w:hint="default" w:ascii="Times New Roman" w:hAnsi="Times New Roman" w:eastAsia="仿宋_GB2312" w:cs="Times New Roman"/>
                <w:b w:val="0"/>
                <w:color w:val="auto"/>
                <w:sz w:val="28"/>
                <w:szCs w:val="28"/>
              </w:rPr>
            </w:pPr>
            <w:r>
              <w:rPr>
                <w:rFonts w:hint="default" w:ascii="Times New Roman" w:hAnsi="Times New Roman" w:eastAsia="仿宋_GB2312" w:cs="Times New Roman"/>
                <w:b w:val="0"/>
                <w:color w:val="auto"/>
                <w:sz w:val="28"/>
                <w:szCs w:val="28"/>
              </w:rPr>
              <w:t>太仓市教育局</w:t>
            </w:r>
            <w:r>
              <w:rPr>
                <w:rFonts w:hint="default" w:ascii="Times New Roman" w:hAnsi="Times New Roman" w:eastAsia="仿宋_GB2312" w:cs="Times New Roman"/>
                <w:b w:val="0"/>
                <w:color w:val="auto"/>
                <w:sz w:val="28"/>
                <w:szCs w:val="28"/>
                <w:lang w:eastAsia="zh-CN"/>
              </w:rPr>
              <w:t>党政</w:t>
            </w:r>
            <w:r>
              <w:rPr>
                <w:rFonts w:hint="default" w:ascii="Times New Roman" w:hAnsi="Times New Roman" w:eastAsia="仿宋_GB2312" w:cs="Times New Roman"/>
                <w:b w:val="0"/>
                <w:color w:val="auto"/>
                <w:sz w:val="28"/>
                <w:szCs w:val="28"/>
              </w:rPr>
              <w:t xml:space="preserve">办公室                     </w:t>
            </w:r>
            <w:r>
              <w:rPr>
                <w:rFonts w:hint="default" w:ascii="Times New Roman" w:hAnsi="Times New Roman" w:eastAsia="仿宋_GB2312" w:cs="Times New Roman"/>
                <w:b w:val="0"/>
                <w:color w:val="auto"/>
                <w:sz w:val="28"/>
                <w:szCs w:val="28"/>
                <w:lang w:val="en-US" w:eastAsia="zh-CN"/>
              </w:rPr>
              <w:t xml:space="preserve"> </w:t>
            </w:r>
            <w:r>
              <w:rPr>
                <w:rFonts w:hint="default" w:ascii="Times New Roman" w:hAnsi="Times New Roman" w:eastAsia="仿宋_GB2312" w:cs="Times New Roman"/>
                <w:b w:val="0"/>
                <w:color w:val="auto"/>
                <w:sz w:val="28"/>
                <w:szCs w:val="28"/>
              </w:rPr>
              <w:t xml:space="preserve"> 20</w:t>
            </w:r>
            <w:r>
              <w:rPr>
                <w:rFonts w:hint="default" w:ascii="Times New Roman" w:hAnsi="Times New Roman" w:eastAsia="仿宋_GB2312" w:cs="Times New Roman"/>
                <w:b w:val="0"/>
                <w:color w:val="auto"/>
                <w:sz w:val="28"/>
                <w:szCs w:val="28"/>
                <w:lang w:val="en-US" w:eastAsia="zh-CN"/>
              </w:rPr>
              <w:t>26</w:t>
            </w:r>
            <w:r>
              <w:rPr>
                <w:rFonts w:hint="default" w:ascii="Times New Roman" w:hAnsi="Times New Roman" w:eastAsia="仿宋_GB2312" w:cs="Times New Roman"/>
                <w:b w:val="0"/>
                <w:color w:val="auto"/>
                <w:sz w:val="28"/>
                <w:szCs w:val="28"/>
              </w:rPr>
              <w:t>年</w:t>
            </w:r>
            <w:r>
              <w:rPr>
                <w:rFonts w:hint="default" w:ascii="Times New Roman" w:hAnsi="Times New Roman" w:eastAsia="仿宋_GB2312" w:cs="Times New Roman"/>
                <w:b w:val="0"/>
                <w:color w:val="auto"/>
                <w:sz w:val="28"/>
                <w:szCs w:val="28"/>
                <w:lang w:val="en-US" w:eastAsia="zh-CN"/>
              </w:rPr>
              <w:t>2</w:t>
            </w:r>
            <w:r>
              <w:rPr>
                <w:rFonts w:hint="default" w:ascii="Times New Roman" w:hAnsi="Times New Roman" w:eastAsia="仿宋_GB2312" w:cs="Times New Roman"/>
                <w:b w:val="0"/>
                <w:color w:val="auto"/>
                <w:sz w:val="28"/>
                <w:szCs w:val="28"/>
              </w:rPr>
              <w:t>月</w:t>
            </w:r>
            <w:r>
              <w:rPr>
                <w:rFonts w:hint="eastAsia" w:ascii="Times New Roman" w:hAnsi="Times New Roman" w:eastAsia="仿宋_GB2312" w:cs="Times New Roman"/>
                <w:b w:val="0"/>
                <w:color w:val="auto"/>
                <w:sz w:val="28"/>
                <w:szCs w:val="28"/>
                <w:lang w:val="en-US" w:eastAsia="zh-CN"/>
              </w:rPr>
              <w:t>24</w:t>
            </w:r>
            <w:r>
              <w:rPr>
                <w:rFonts w:hint="default" w:ascii="Times New Roman" w:hAnsi="Times New Roman" w:eastAsia="仿宋_GB2312" w:cs="Times New Roman"/>
                <w:b w:val="0"/>
                <w:color w:val="auto"/>
                <w:sz w:val="28"/>
                <w:szCs w:val="28"/>
              </w:rPr>
              <w:t>日印发</w:t>
            </w:r>
          </w:p>
        </w:tc>
      </w:tr>
    </w:tbl>
    <w:p w14:paraId="510705F4">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pacing w:val="0"/>
          <w:sz w:val="44"/>
          <w:szCs w:val="44"/>
        </w:rPr>
        <w:sectPr>
          <w:pgSz w:w="11906" w:h="16838"/>
          <w:pgMar w:top="2041" w:right="1474" w:bottom="1928" w:left="1474" w:header="851" w:footer="992" w:gutter="0"/>
          <w:pgNumType w:start="2"/>
          <w:cols w:space="425" w:num="1"/>
          <w:docGrid w:type="lines" w:linePitch="312" w:charSpace="0"/>
        </w:sectPr>
      </w:pPr>
    </w:p>
    <w:p w14:paraId="52C4FB73">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pacing w:val="0"/>
          <w:sz w:val="36"/>
          <w:szCs w:val="36"/>
        </w:rPr>
      </w:pPr>
      <w:r>
        <w:rPr>
          <w:rFonts w:hint="default" w:ascii="Times New Roman" w:hAnsi="Times New Roman" w:eastAsia="方正小标宋简体" w:cs="Times New Roman"/>
          <w:spacing w:val="0"/>
          <w:sz w:val="36"/>
          <w:szCs w:val="36"/>
        </w:rPr>
        <w:t>20</w:t>
      </w:r>
      <w:r>
        <w:rPr>
          <w:rFonts w:hint="default" w:ascii="Times New Roman" w:hAnsi="Times New Roman" w:eastAsia="方正小标宋简体" w:cs="Times New Roman"/>
          <w:spacing w:val="0"/>
          <w:sz w:val="36"/>
          <w:szCs w:val="36"/>
          <w:lang w:val="en-US" w:eastAsia="zh-CN"/>
        </w:rPr>
        <w:t>26</w:t>
      </w:r>
      <w:r>
        <w:rPr>
          <w:rFonts w:hint="default" w:ascii="Times New Roman" w:hAnsi="Times New Roman" w:eastAsia="方正小标宋简体" w:cs="Times New Roman"/>
          <w:spacing w:val="0"/>
          <w:sz w:val="36"/>
          <w:szCs w:val="36"/>
        </w:rPr>
        <w:t>年度教育工作要点</w:t>
      </w:r>
    </w:p>
    <w:p w14:paraId="67030CF7">
      <w:pPr>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方正小标宋简体" w:cs="Times New Roman"/>
          <w:spacing w:val="-6"/>
          <w:sz w:val="32"/>
          <w:szCs w:val="32"/>
        </w:rPr>
      </w:pPr>
    </w:p>
    <w:p w14:paraId="3A1C827D">
      <w:pPr>
        <w:keepNext w:val="0"/>
        <w:keepLines w:val="0"/>
        <w:pageBreakBefore w:val="0"/>
        <w:widowControl w:val="0"/>
        <w:suppressLineNumbers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spacing w:val="-6"/>
          <w:kern w:val="2"/>
          <w:sz w:val="32"/>
          <w:szCs w:val="32"/>
          <w:highlight w:val="none"/>
          <w:lang w:val="en-US" w:eastAsia="zh-CN" w:bidi="ar-SA"/>
        </w:rPr>
        <w:t>2026年是“十五五”规划的开局之年，也是教育强国建设三年行动计划承上启下关键之年。全市教育工作的总体思路是：坚持以习近平新时代中国特色社会主义思想为指导，全面贯彻党的二十届四中全会精神，</w:t>
      </w:r>
      <w:r>
        <w:rPr>
          <w:rFonts w:hint="default" w:ascii="Times New Roman" w:hAnsi="Times New Roman" w:eastAsia="仿宋_GB2312" w:cs="Times New Roman"/>
          <w:spacing w:val="-6"/>
          <w:sz w:val="32"/>
          <w:szCs w:val="32"/>
          <w:lang w:val="en-US" w:eastAsia="zh-CN"/>
        </w:rPr>
        <w:t>锚定“办好人民满意的教育”目标，统筹优化配置教育资源，全面提升教育教学质量，以教育数字化为战略引擎深化教育综合改革，助力学生全面发展，</w:t>
      </w:r>
      <w:r>
        <w:rPr>
          <w:rFonts w:hint="default" w:ascii="Times New Roman" w:hAnsi="Times New Roman" w:eastAsia="仿宋_GB2312" w:cs="Times New Roman"/>
          <w:spacing w:val="-6"/>
          <w:kern w:val="2"/>
          <w:sz w:val="32"/>
          <w:szCs w:val="32"/>
          <w:highlight w:val="none"/>
          <w:lang w:val="en-US" w:eastAsia="zh-CN" w:bidi="ar-SA"/>
        </w:rPr>
        <w:t>为太仓经济社会发展提供有力的人才支撑和智力支持。</w:t>
      </w:r>
    </w:p>
    <w:p w14:paraId="1220B1BA">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jc w:val="both"/>
        <w:textAlignment w:val="auto"/>
        <w:rPr>
          <w:rFonts w:hint="default" w:ascii="Times New Roman" w:hAnsi="Times New Roman" w:eastAsia="国标黑体" w:cs="Times New Roman"/>
          <w:spacing w:val="-6"/>
          <w:sz w:val="32"/>
          <w:szCs w:val="32"/>
        </w:rPr>
      </w:pPr>
      <w:r>
        <w:rPr>
          <w:rFonts w:hint="default" w:ascii="Times New Roman" w:hAnsi="Times New Roman" w:eastAsia="国标黑体" w:cs="Times New Roman"/>
          <w:spacing w:val="-6"/>
          <w:sz w:val="32"/>
          <w:szCs w:val="32"/>
        </w:rPr>
        <w:t>一、党建铸魂强根基，引领发展明方向</w:t>
      </w:r>
    </w:p>
    <w:p w14:paraId="382D888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default" w:ascii="Times New Roman" w:hAnsi="Times New Roman" w:eastAsia="仿宋_GB2312" w:cs="Times New Roman"/>
          <w:color w:val="auto"/>
          <w:spacing w:val="-6"/>
          <w:sz w:val="32"/>
          <w:szCs w:val="32"/>
          <w:highlight w:val="yellow"/>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（一）深化理论武装筑牢思想阵地。</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将党的政治建设置于首位，深刻领悟“两个确立”、坚决做到“两个维护”，确保全市教育系统始终成为坚持党的领导的坚强阵地。</w:t>
      </w:r>
      <w:r>
        <w:rPr>
          <w:rFonts w:hint="default" w:ascii="Times New Roman" w:hAnsi="Times New Roman" w:eastAsia="仿宋_GB2312" w:cs="Times New Roman"/>
          <w:color w:val="000000" w:themeColor="text1"/>
          <w:spacing w:val="-6"/>
          <w:sz w:val="32"/>
          <w:szCs w:val="32"/>
          <w14:textFill>
            <w14:solidFill>
              <w14:schemeClr w14:val="tx1"/>
            </w14:solidFill>
          </w14:textFill>
        </w:rPr>
        <w:t>将学习贯彻党的二十届四中全会精神作为全年首要</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学习</w:t>
      </w:r>
      <w:r>
        <w:rPr>
          <w:rFonts w:hint="default" w:ascii="Times New Roman" w:hAnsi="Times New Roman" w:eastAsia="仿宋_GB2312" w:cs="Times New Roman"/>
          <w:color w:val="000000" w:themeColor="text1"/>
          <w:spacing w:val="-6"/>
          <w:sz w:val="32"/>
          <w:szCs w:val="32"/>
          <w14:textFill>
            <w14:solidFill>
              <w14:schemeClr w14:val="tx1"/>
            </w14:solidFill>
          </w14:textFill>
        </w:rPr>
        <w:t>任务，</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严格落实</w:t>
      </w:r>
      <w:r>
        <w:rPr>
          <w:rFonts w:hint="default" w:ascii="Times New Roman" w:hAnsi="Times New Roman" w:eastAsia="仿宋_GB2312" w:cs="Times New Roman"/>
          <w:color w:val="000000" w:themeColor="text1"/>
          <w:spacing w:val="-6"/>
          <w:sz w:val="32"/>
          <w:szCs w:val="32"/>
          <w14:textFill>
            <w14:solidFill>
              <w14:schemeClr w14:val="tx1"/>
            </w14:solidFill>
          </w14:textFill>
        </w:rPr>
        <w:t>“第一议题”</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制度，</w:t>
      </w:r>
      <w:r>
        <w:rPr>
          <w:rFonts w:hint="default" w:ascii="Times New Roman" w:hAnsi="Times New Roman" w:eastAsia="仿宋_GB2312" w:cs="Times New Roman"/>
          <w:b w:val="0"/>
          <w:bCs w:val="0"/>
          <w:color w:val="000000" w:themeColor="text1"/>
          <w:spacing w:val="-6"/>
          <w:sz w:val="32"/>
          <w:szCs w:val="32"/>
          <w:highlight w:val="none"/>
          <w:lang w:val="en-US" w:eastAsia="zh-CN"/>
          <w14:textFill>
            <w14:solidFill>
              <w14:schemeClr w14:val="tx1"/>
            </w14:solidFill>
          </w14:textFill>
        </w:rPr>
        <w:t>提升理论学习中心组学习质量。持续</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举办</w:t>
      </w:r>
      <w:r>
        <w:rPr>
          <w:rFonts w:hint="default" w:ascii="Times New Roman" w:hAnsi="Times New Roman" w:eastAsia="仿宋_GB2312" w:cs="Times New Roman"/>
          <w:color w:val="000000" w:themeColor="text1"/>
          <w:spacing w:val="-6"/>
          <w:sz w:val="32"/>
          <w:szCs w:val="32"/>
          <w14:textFill>
            <w14:solidFill>
              <w14:schemeClr w14:val="tx1"/>
            </w14:solidFill>
          </w14:textFill>
        </w:rPr>
        <w:t>“万名党员进党校”培训</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引导广大党员在学深悟透中强化理论武装，提升政治能力。</w:t>
      </w:r>
      <w:r>
        <w:rPr>
          <w:rFonts w:hint="default" w:ascii="Times New Roman" w:hAnsi="Times New Roman" w:eastAsia="仿宋_GB2312" w:cs="Times New Roman"/>
          <w:color w:val="auto"/>
          <w:spacing w:val="-6"/>
          <w:sz w:val="32"/>
          <w:szCs w:val="32"/>
          <w:highlight w:val="none"/>
          <w:lang w:val="en-US" w:eastAsia="zh-CN"/>
        </w:rPr>
        <w:t>推进思政教育体系化建设，挖掘整合太仓“娄东文化”“德企之乡”“吴健雄精神”优质育人资源，遴选不少于5个“大中小学思政课一体化实践教学基地”。</w:t>
      </w:r>
    </w:p>
    <w:p w14:paraId="1CC4FD2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auto"/>
          <w:spacing w:val="-6"/>
          <w:kern w:val="2"/>
          <w:sz w:val="32"/>
          <w:szCs w:val="32"/>
          <w:lang w:val="en-US" w:eastAsia="zh-CN" w:bidi="ar-SA"/>
        </w:rPr>
        <w:t>（二）夯实组织基础建强战斗堡垒。</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做好基层党组织到期换届和届中调整工作，进一步优化组织架构。常态化推进基层党建“书记项目”建设，推动党组织书记切实扛起主责、抓好主业、当好主角。</w:t>
      </w:r>
      <w:r>
        <w:rPr>
          <w:rFonts w:hint="default" w:ascii="Times New Roman" w:hAnsi="Times New Roman" w:eastAsia="仿宋_GB2312" w:cs="Times New Roman"/>
          <w:color w:val="000000" w:themeColor="text1"/>
          <w:spacing w:val="-6"/>
          <w:sz w:val="32"/>
          <w:szCs w:val="32"/>
          <w14:textFill>
            <w14:solidFill>
              <w14:schemeClr w14:val="tx1"/>
            </w14:solidFill>
          </w14:textFill>
        </w:rPr>
        <w:t>组织党员在教育教学、志愿服务、应急处突等工作中亮身份、作表率</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持续开展铸牢中华民族共同体意识教育，引导师生树立正确的民族观</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。加强干部队伍建设，强化年轻干部培养，有序推进干部调整工作。</w:t>
      </w:r>
      <w:r>
        <w:rPr>
          <w:rFonts w:hint="default" w:ascii="Times New Roman" w:hAnsi="Times New Roman" w:eastAsia="仿宋_GB2312" w:cs="Times New Roman"/>
          <w:color w:val="000000" w:themeColor="text1"/>
          <w:spacing w:val="-6"/>
          <w:sz w:val="32"/>
          <w:szCs w:val="32"/>
          <w14:textFill>
            <w14:solidFill>
              <w14:schemeClr w14:val="tx1"/>
            </w14:solidFill>
          </w14:textFill>
        </w:rPr>
        <w:t>统筹推进教育系统党外代表人士发现、培养、使用和管理工作，</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鼓励</w:t>
      </w:r>
      <w:r>
        <w:rPr>
          <w:rFonts w:hint="default" w:ascii="Times New Roman" w:hAnsi="Times New Roman" w:eastAsia="仿宋_GB2312" w:cs="Times New Roman"/>
          <w:b w:val="0"/>
          <w:color w:val="000000" w:themeColor="text1"/>
          <w:spacing w:val="-6"/>
          <w:kern w:val="2"/>
          <w:sz w:val="32"/>
          <w:szCs w:val="32"/>
          <w:u w:val="none"/>
          <w:lang w:val="en-US" w:eastAsia="zh-CN" w:bidi="ar-SA"/>
          <w14:textFill>
            <w14:solidFill>
              <w14:schemeClr w14:val="tx1"/>
            </w14:solidFill>
          </w14:textFill>
        </w:rPr>
        <w:t>党外教师积极为教育献计献策，强化政治引领和政治吸纳。</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统筹做好群团工作，凝聚教育改革发展强大合力。</w:t>
      </w:r>
    </w:p>
    <w:p w14:paraId="10D0938E">
      <w:pPr>
        <w:keepNext w:val="0"/>
        <w:keepLines w:val="0"/>
        <w:pageBreakBefore w:val="0"/>
        <w:widowControl w:val="0"/>
        <w:kinsoku/>
        <w:wordWrap/>
        <w:overflowPunct/>
        <w:topLinePunct w:val="0"/>
        <w:autoSpaceDE w:val="0"/>
        <w:autoSpaceDN w:val="0"/>
        <w:bidi w:val="0"/>
        <w:adjustRightInd w:val="0"/>
        <w:snapToGrid w:val="0"/>
        <w:spacing w:line="560" w:lineRule="exact"/>
        <w:ind w:firstLine="616" w:firstLineChars="200"/>
        <w:jc w:val="both"/>
        <w:textAlignment w:val="baseline"/>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楷体_GB2312" w:cs="Times New Roman"/>
          <w:b w:val="0"/>
          <w:bCs w:val="0"/>
          <w:color w:val="auto"/>
          <w:spacing w:val="-6"/>
          <w:kern w:val="2"/>
          <w:sz w:val="32"/>
          <w:szCs w:val="32"/>
          <w:lang w:val="en-US" w:eastAsia="zh-CN" w:bidi="ar-SA"/>
        </w:rPr>
        <w:t>（三）严守纪律底线涵养清风正气</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持续推进教育系统群众身边不正之风和腐败问题集中整治，加强教育系统全领域反腐，扎实做好专项巡察整改落实工作，全力写好巡察“后半篇文章”，健全制度体系，优化协同效能。坚持严字当头，紧盯党员干部及关键岗位人员，突出抓好新提任干部、年轻干部、关键岗位干部的教育管理监督，筑牢拒腐防变防线。不断丰富廉洁教育载体，依托“娄东清风润桃李”廉洁文化周、警示教育片展播、典型案例通报、廉政基地参观等形式，分层分类开展勤廉教育，全面营造崇廉尚洁的校园文化氛围。</w:t>
      </w:r>
    </w:p>
    <w:p w14:paraId="7BB9D6E4">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jc w:val="both"/>
        <w:textAlignment w:val="auto"/>
        <w:rPr>
          <w:rFonts w:hint="default" w:ascii="Times New Roman" w:hAnsi="Times New Roman" w:eastAsia="国标黑体" w:cs="Times New Roman"/>
          <w:spacing w:val="-6"/>
          <w:sz w:val="32"/>
          <w:szCs w:val="32"/>
          <w:lang w:eastAsia="zh-CN"/>
        </w:rPr>
      </w:pPr>
      <w:r>
        <w:rPr>
          <w:rFonts w:hint="default" w:ascii="Times New Roman" w:hAnsi="Times New Roman" w:eastAsia="国标黑体" w:cs="Times New Roman"/>
          <w:spacing w:val="-6"/>
          <w:sz w:val="32"/>
          <w:szCs w:val="32"/>
        </w:rPr>
        <w:t>二、</w:t>
      </w:r>
      <w:r>
        <w:rPr>
          <w:rFonts w:hint="default" w:ascii="Times New Roman" w:hAnsi="Times New Roman" w:eastAsia="国标黑体" w:cs="Times New Roman"/>
          <w:spacing w:val="-6"/>
          <w:sz w:val="32"/>
          <w:szCs w:val="32"/>
          <w:lang w:eastAsia="zh-CN"/>
        </w:rPr>
        <w:t>立德树人</w:t>
      </w:r>
      <w:r>
        <w:rPr>
          <w:rFonts w:hint="default" w:ascii="Times New Roman" w:hAnsi="Times New Roman" w:eastAsia="国标黑体" w:cs="Times New Roman"/>
          <w:spacing w:val="-6"/>
          <w:sz w:val="32"/>
          <w:szCs w:val="32"/>
        </w:rPr>
        <w:t>强内核，五育并举育新人</w:t>
      </w:r>
    </w:p>
    <w:p w14:paraId="44C2D2E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default" w:ascii="Times New Roman" w:hAnsi="Times New Roman" w:cs="Times New Roman"/>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（一）构建心理关爱全链条。</w:t>
      </w:r>
      <w:r>
        <w:rPr>
          <w:rFonts w:hint="default" w:ascii="Times New Roman" w:hAnsi="Times New Roman" w:eastAsia="仿宋_GB2312" w:cs="Times New Roman"/>
          <w:color w:val="auto"/>
          <w:spacing w:val="-6"/>
          <w:sz w:val="32"/>
          <w:szCs w:val="32"/>
          <w:highlight w:val="none"/>
          <w:lang w:val="en-US" w:eastAsia="zh-CN"/>
        </w:rPr>
        <w:t>全面落实“三全育人”工作要求，深化全员导师制，提升教师育人专业素养，强化学生成长动态跟踪与个性化指导。</w:t>
      </w:r>
      <w:r>
        <w:rPr>
          <w:rFonts w:hint="default" w:ascii="Times New Roman" w:hAnsi="Times New Roman" w:eastAsia="仿宋_GB2312" w:cs="Times New Roman"/>
          <w:spacing w:val="-6"/>
          <w:kern w:val="0"/>
          <w:sz w:val="32"/>
          <w:szCs w:val="32"/>
          <w:lang w:val="en-US" w:eastAsia="zh-CN" w:bidi="ar"/>
        </w:rPr>
        <w:t>面向全体学生开设心理健康课程或心理专题活动，确保每两周不少于1课时，重点强化生命教育、青春期教育、挫折教育和网络素养教育。健全校园心理健康工作体系，</w:t>
      </w:r>
      <w:r>
        <w:rPr>
          <w:rFonts w:hint="default" w:ascii="Times New Roman" w:hAnsi="Times New Roman" w:eastAsia="仿宋_GB2312" w:cs="Times New Roman"/>
          <w:color w:val="auto"/>
          <w:spacing w:val="-6"/>
          <w:sz w:val="32"/>
          <w:szCs w:val="32"/>
          <w:highlight w:val="none"/>
          <w:lang w:val="en-US" w:eastAsia="zh-CN"/>
        </w:rPr>
        <w:t>落实“一校一专职”心理健康教师配备，</w:t>
      </w:r>
      <w:r>
        <w:rPr>
          <w:rFonts w:hint="default" w:ascii="Times New Roman" w:hAnsi="Times New Roman" w:eastAsia="仿宋_GB2312" w:cs="Times New Roman"/>
          <w:spacing w:val="-6"/>
          <w:kern w:val="0"/>
          <w:sz w:val="32"/>
          <w:szCs w:val="32"/>
          <w:lang w:val="en-US" w:eastAsia="zh-CN" w:bidi="ar"/>
        </w:rPr>
        <w:t>明晰班主任、专兼职心理教师、驻校社工职责，组建心理健康教研团队，常态化开展集中研训。</w:t>
      </w:r>
      <w:r>
        <w:rPr>
          <w:rFonts w:hint="default" w:ascii="Times New Roman" w:hAnsi="Times New Roman" w:eastAsia="仿宋_GB2312" w:cs="Times New Roman"/>
          <w:color w:val="auto"/>
          <w:spacing w:val="-6"/>
          <w:sz w:val="32"/>
          <w:szCs w:val="32"/>
          <w:highlight w:val="none"/>
          <w:lang w:val="en-US" w:eastAsia="zh-CN"/>
        </w:rPr>
        <w:t>优化校园心理支持环境，强化集体教育，深化朋辈帮扶，营造团结友爱集体氛围。</w:t>
      </w:r>
    </w:p>
    <w:p w14:paraId="5E17B6E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（二）探索五育融合新路径。</w:t>
      </w:r>
      <w:r>
        <w:rPr>
          <w:rFonts w:hint="default" w:ascii="Times New Roman" w:hAnsi="Times New Roman" w:eastAsia="仿宋_GB2312" w:cs="Times New Roman"/>
          <w:color w:val="auto"/>
          <w:spacing w:val="-6"/>
          <w:sz w:val="32"/>
          <w:szCs w:val="32"/>
          <w:highlight w:val="none"/>
          <w:lang w:val="en-US" w:eastAsia="zh-CN"/>
        </w:rPr>
        <w:t>扎实推进“2・15专项行动”，优化体育课程设置与大课间活动内容，全面推进义务教育学校每天一节体育课，</w:t>
      </w:r>
      <w:r>
        <w:rPr>
          <w:rFonts w:hint="default" w:ascii="Times New Roman" w:hAnsi="Times New Roman" w:eastAsia="仿宋_GB2312" w:cs="Times New Roman"/>
          <w:color w:val="auto"/>
          <w:spacing w:val="-6"/>
          <w:kern w:val="2"/>
          <w:sz w:val="32"/>
          <w:szCs w:val="32"/>
          <w:highlight w:val="none"/>
          <w:lang w:val="en-US" w:eastAsia="zh-CN"/>
        </w:rPr>
        <w:t>确保学生每日综合体育活动时间不低于2小时</w:t>
      </w:r>
      <w:r>
        <w:rPr>
          <w:rFonts w:hint="default" w:ascii="Times New Roman" w:hAnsi="Times New Roman" w:eastAsia="仿宋_GB2312" w:cs="Times New Roman"/>
          <w:color w:val="auto"/>
          <w:spacing w:val="-6"/>
          <w:sz w:val="32"/>
          <w:szCs w:val="32"/>
          <w:highlight w:val="none"/>
          <w:lang w:val="en-US" w:eastAsia="zh-CN"/>
        </w:rPr>
        <w:t>。扩大“市长杯”“U系列”等品牌赛事影响力，鼓励学校开发校本体育竞赛项目，开展“班级赛”“年级赛”，提升学生参与度，系统防控学生营养不良、视力不良、超重肥胖及心理风险。推进美育浸润行动与劳动习惯养成计划，依托“生生有社团”建设，拓展学生兴趣发展与特长展示平台。</w:t>
      </w:r>
    </w:p>
    <w:p w14:paraId="24F0B24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default" w:ascii="Times New Roman" w:hAnsi="Times New Roman" w:cs="Times New Roman"/>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（三）打造协同育人新生态。</w:t>
      </w:r>
      <w:r>
        <w:rPr>
          <w:rFonts w:hint="default" w:ascii="Times New Roman" w:hAnsi="Times New Roman" w:eastAsia="仿宋_GB2312" w:cs="Times New Roman"/>
          <w:b w:val="0"/>
          <w:bCs w:val="0"/>
          <w:color w:val="auto"/>
          <w:spacing w:val="-6"/>
          <w:kern w:val="2"/>
          <w:sz w:val="32"/>
          <w:szCs w:val="32"/>
          <w:lang w:val="en-US" w:eastAsia="zh-CN" w:bidi="ar-SA"/>
        </w:rPr>
        <w:t>有序实施义务教育学校春秋假，</w:t>
      </w:r>
      <w:r>
        <w:rPr>
          <w:rFonts w:hint="default" w:ascii="Times New Roman" w:hAnsi="Times New Roman" w:eastAsia="仿宋_GB2312" w:cs="Times New Roman"/>
          <w:color w:val="auto"/>
          <w:spacing w:val="-6"/>
          <w:sz w:val="32"/>
          <w:szCs w:val="32"/>
          <w:highlight w:val="none"/>
          <w:lang w:val="en-US" w:eastAsia="zh-CN"/>
        </w:rPr>
        <w:t>做好学校托管服务，确保政策平稳有序落地。开展“教联体”六大行动，围绕“医教互促、馆校协同、体教互融、家校互动、社教同频、警校同步”，壮大协同育人专业队伍，形成具有区域特色协同育人机制。优化“市—镇—校”三级家长学校建设，加强市级优秀家庭教育资源供给，全年推出50篇优秀家庭教育案例，开展不少于40次周末家长课堂及家长夜课堂。系统化开展家校双轨培训，科学构建家庭教育课程体系，分学段、分年级层层落实。</w:t>
      </w:r>
      <w:r>
        <w:rPr>
          <w:rFonts w:hint="default" w:ascii="Times New Roman" w:hAnsi="Times New Roman" w:eastAsia="仿宋_GB2312" w:cs="Times New Roman"/>
          <w:color w:val="auto"/>
          <w:spacing w:val="-6"/>
          <w:kern w:val="2"/>
          <w:sz w:val="32"/>
          <w:szCs w:val="32"/>
          <w:highlight w:val="none"/>
          <w:lang w:val="en-US" w:eastAsia="zh" w:bidi="ar-SA"/>
        </w:rPr>
        <w:t>深化校外教育综合改革</w:t>
      </w:r>
      <w:r>
        <w:rPr>
          <w:rFonts w:hint="default" w:ascii="Times New Roman" w:hAnsi="Times New Roman" w:eastAsia="仿宋_GB2312" w:cs="Times New Roman"/>
          <w:color w:val="auto"/>
          <w:spacing w:val="-6"/>
          <w:kern w:val="2"/>
          <w:sz w:val="32"/>
          <w:szCs w:val="32"/>
          <w:highlight w:val="none"/>
          <w:lang w:val="en-US" w:eastAsia="zh-CN" w:bidi="ar-SA"/>
        </w:rPr>
        <w:t>，全力推进“幸福创享教育”品牌建设，</w:t>
      </w:r>
      <w:r>
        <w:rPr>
          <w:rFonts w:hint="default" w:ascii="Times New Roman" w:hAnsi="Times New Roman" w:eastAsia="仿宋_GB2312" w:cs="Times New Roman"/>
          <w:spacing w:val="-6"/>
          <w:kern w:val="2"/>
          <w:sz w:val="32"/>
          <w:szCs w:val="32"/>
          <w:highlight w:val="none"/>
          <w:lang w:val="en-US" w:eastAsia="zh-CN" w:bidi="ar-SA"/>
        </w:rPr>
        <w:t>促进青少年个性化、多元化发展。</w:t>
      </w:r>
    </w:p>
    <w:p w14:paraId="6A6287A9">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jc w:val="both"/>
        <w:textAlignment w:val="auto"/>
        <w:rPr>
          <w:rFonts w:hint="default" w:ascii="Times New Roman" w:hAnsi="Times New Roman" w:eastAsia="国标黑体" w:cs="Times New Roman"/>
          <w:spacing w:val="-6"/>
          <w:sz w:val="32"/>
          <w:szCs w:val="32"/>
          <w:lang w:eastAsia="zh-CN"/>
        </w:rPr>
      </w:pPr>
      <w:r>
        <w:rPr>
          <w:rFonts w:hint="default" w:ascii="Times New Roman" w:hAnsi="Times New Roman" w:eastAsia="国标黑体" w:cs="Times New Roman"/>
          <w:spacing w:val="-6"/>
          <w:sz w:val="32"/>
          <w:szCs w:val="32"/>
        </w:rPr>
        <w:t>三、资源</w:t>
      </w:r>
      <w:r>
        <w:rPr>
          <w:rFonts w:hint="default" w:ascii="Times New Roman" w:hAnsi="Times New Roman" w:eastAsia="国标黑体" w:cs="Times New Roman"/>
          <w:spacing w:val="-6"/>
          <w:sz w:val="32"/>
          <w:szCs w:val="32"/>
          <w:lang w:eastAsia="zh-CN"/>
        </w:rPr>
        <w:t>优化</w:t>
      </w:r>
      <w:r>
        <w:rPr>
          <w:rFonts w:hint="default" w:ascii="Times New Roman" w:hAnsi="Times New Roman" w:eastAsia="国标黑体" w:cs="Times New Roman"/>
          <w:spacing w:val="-6"/>
          <w:sz w:val="32"/>
          <w:szCs w:val="32"/>
        </w:rPr>
        <w:t>强供给，</w:t>
      </w:r>
      <w:r>
        <w:rPr>
          <w:rFonts w:hint="default" w:ascii="Times New Roman" w:hAnsi="Times New Roman" w:eastAsia="国标黑体" w:cs="Times New Roman"/>
          <w:spacing w:val="-6"/>
          <w:sz w:val="32"/>
          <w:szCs w:val="32"/>
          <w:lang w:eastAsia="zh-CN"/>
        </w:rPr>
        <w:t>精准配置提效能</w:t>
      </w:r>
    </w:p>
    <w:p w14:paraId="2195E2F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（一）加强基础教育资源前瞻布局。</w:t>
      </w:r>
      <w:r>
        <w:rPr>
          <w:rFonts w:hint="default" w:ascii="Times New Roman" w:hAnsi="Times New Roman" w:eastAsia="仿宋_GB2312" w:cs="Times New Roman"/>
          <w:spacing w:val="-6"/>
          <w:kern w:val="2"/>
          <w:sz w:val="32"/>
          <w:szCs w:val="32"/>
          <w:highlight w:val="none"/>
          <w:lang w:val="en-US" w:eastAsia="zh-CN" w:bidi="ar-SA"/>
        </w:rPr>
        <w:t>根据人口变化趋势，动态规划学校资源建设。“一校一策”推进教育资源优化布局。通过新建学校、盘活现有资源或调整地块办学功能等方式，补足学位缺口，增加普通高中资源供给。</w:t>
      </w:r>
      <w:r>
        <w:rPr>
          <w:rFonts w:hint="default" w:ascii="Times New Roman" w:hAnsi="Times New Roman" w:eastAsia="仿宋_GB2312" w:cs="Times New Roman"/>
          <w:b w:val="0"/>
          <w:bCs w:val="0"/>
          <w:color w:val="auto"/>
          <w:spacing w:val="-6"/>
          <w:sz w:val="32"/>
          <w:szCs w:val="32"/>
          <w:highlight w:val="none"/>
          <w:lang w:eastAsia="zh-CN"/>
        </w:rPr>
        <w:t>有序推进可调节型校园规划建设，建立动态学位储备机制，增强教育资源供给弹性。</w:t>
      </w:r>
    </w:p>
    <w:p w14:paraId="2296C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（二）加大优质教育资源供给。</w:t>
      </w:r>
      <w:r>
        <w:rPr>
          <w:rFonts w:hint="default" w:ascii="Times New Roman" w:hAnsi="Times New Roman" w:eastAsia="仿宋_GB2312" w:cs="Times New Roman"/>
          <w:b w:val="0"/>
          <w:bCs w:val="0"/>
          <w:color w:val="auto"/>
          <w:spacing w:val="-6"/>
          <w:sz w:val="32"/>
          <w:szCs w:val="32"/>
          <w:highlight w:val="none"/>
          <w:lang w:eastAsia="zh-CN"/>
        </w:rPr>
        <w:t>实施《太仓市“十五五”期间区镇新建改扩建中小学、幼儿园项目库》</w:t>
      </w:r>
      <w:r>
        <w:rPr>
          <w:rFonts w:hint="default" w:ascii="Times New Roman" w:hAnsi="Times New Roman" w:eastAsia="仿宋_GB2312" w:cs="Times New Roman"/>
          <w:spacing w:val="-6"/>
          <w:kern w:val="2"/>
          <w:sz w:val="32"/>
          <w:szCs w:val="32"/>
          <w:highlight w:val="none"/>
          <w:lang w:val="en-US" w:eastAsia="zh-CN" w:bidi="ar-SA"/>
        </w:rPr>
        <w:t>。</w:t>
      </w:r>
      <w:r>
        <w:rPr>
          <w:rFonts w:hint="default" w:ascii="Times New Roman" w:hAnsi="Times New Roman" w:eastAsia="仿宋_GB2312" w:cs="Times New Roman"/>
          <w:b w:val="0"/>
          <w:bCs w:val="0"/>
          <w:color w:val="auto"/>
          <w:spacing w:val="-6"/>
          <w:sz w:val="32"/>
          <w:szCs w:val="32"/>
          <w:highlight w:val="none"/>
          <w:lang w:eastAsia="zh-CN"/>
        </w:rPr>
        <w:t>加快学校项目建设，2026年计划建成市二中迁建、城厢镇实验学校、横沥佳苑九年制学校等</w:t>
      </w:r>
      <w:r>
        <w:rPr>
          <w:rFonts w:hint="default" w:ascii="Times New Roman" w:hAnsi="Times New Roman" w:eastAsia="仿宋_GB2312" w:cs="Times New Roman"/>
          <w:b w:val="0"/>
          <w:bCs w:val="0"/>
          <w:color w:val="auto"/>
          <w:spacing w:val="-6"/>
          <w:sz w:val="32"/>
          <w:szCs w:val="32"/>
          <w:highlight w:val="none"/>
          <w:lang w:val="en-US" w:eastAsia="zh-CN"/>
        </w:rPr>
        <w:t>6</w:t>
      </w:r>
      <w:r>
        <w:rPr>
          <w:rFonts w:hint="default" w:ascii="Times New Roman" w:hAnsi="Times New Roman" w:eastAsia="仿宋_GB2312" w:cs="Times New Roman"/>
          <w:b w:val="0"/>
          <w:bCs w:val="0"/>
          <w:color w:val="auto"/>
          <w:spacing w:val="-6"/>
          <w:sz w:val="32"/>
          <w:szCs w:val="32"/>
          <w:highlight w:val="none"/>
          <w:lang w:eastAsia="zh-CN"/>
        </w:rPr>
        <w:t>个项目，预计新增学位6600个。计划开工建设项目1项，新增直属学校政府投资项目3项。</w:t>
      </w:r>
      <w:r>
        <w:rPr>
          <w:rFonts w:hint="default" w:ascii="Times New Roman" w:hAnsi="Times New Roman" w:eastAsia="仿宋_GB2312" w:cs="Times New Roman"/>
          <w:color w:val="auto"/>
          <w:spacing w:val="-6"/>
          <w:sz w:val="32"/>
          <w:szCs w:val="32"/>
          <w:highlight w:val="none"/>
          <w:lang w:val="en-US" w:eastAsia="zh-CN"/>
        </w:rPr>
        <w:t>强化学校实验仪器设备监管，加强自制教具与实验课堂深度融合，</w:t>
      </w:r>
      <w:r>
        <w:rPr>
          <w:rFonts w:hint="default" w:ascii="Times New Roman" w:hAnsi="Times New Roman" w:eastAsia="仿宋_GB2312" w:cs="Times New Roman"/>
          <w:spacing w:val="-6"/>
          <w:kern w:val="2"/>
          <w:sz w:val="32"/>
          <w:szCs w:val="32"/>
          <w:highlight w:val="none"/>
          <w:lang w:val="en-US" w:eastAsia="zh-CN" w:bidi="ar-SA"/>
        </w:rPr>
        <w:t>促进教育装备管理提质增效。</w:t>
      </w:r>
      <w:r>
        <w:rPr>
          <w:rFonts w:hint="default" w:ascii="Times New Roman" w:hAnsi="Times New Roman" w:eastAsia="仿宋_GB2312" w:cs="Times New Roman"/>
          <w:color w:val="auto"/>
          <w:spacing w:val="-6"/>
          <w:kern w:val="2"/>
          <w:sz w:val="32"/>
          <w:szCs w:val="32"/>
          <w:highlight w:val="none"/>
          <w:lang w:val="en-US" w:eastAsia="zh-CN"/>
        </w:rPr>
        <w:t>完善特需学生全链条培育机制，推动特殊教育与普通教育优质融合、协同共进。</w:t>
      </w:r>
      <w:r>
        <w:rPr>
          <w:rFonts w:hint="default" w:ascii="Times New Roman" w:hAnsi="Times New Roman" w:eastAsia="仿宋_GB2312" w:cs="Times New Roman"/>
          <w:spacing w:val="-6"/>
          <w:sz w:val="32"/>
          <w:szCs w:val="32"/>
          <w:highlight w:val="none"/>
        </w:rPr>
        <w:t>持续搭建“师资研训”国际交流平台</w:t>
      </w:r>
      <w:r>
        <w:rPr>
          <w:rFonts w:hint="default" w:ascii="Times New Roman" w:hAnsi="Times New Roman" w:eastAsia="仿宋_GB2312" w:cs="Times New Roman"/>
          <w:spacing w:val="-6"/>
          <w:sz w:val="32"/>
          <w:szCs w:val="32"/>
          <w:highlight w:val="none"/>
          <w:lang w:eastAsia="zh-CN"/>
        </w:rPr>
        <w:t>，做好</w:t>
      </w:r>
      <w:r>
        <w:rPr>
          <w:rFonts w:hint="default" w:ascii="Times New Roman" w:hAnsi="Times New Roman" w:eastAsia="仿宋_GB2312" w:cs="Times New Roman"/>
          <w:spacing w:val="-6"/>
          <w:sz w:val="32"/>
          <w:szCs w:val="32"/>
          <w:highlight w:val="none"/>
        </w:rPr>
        <w:t>境外修学旅行</w:t>
      </w:r>
      <w:r>
        <w:rPr>
          <w:rFonts w:hint="default" w:ascii="Times New Roman" w:hAnsi="Times New Roman" w:eastAsia="仿宋_GB2312" w:cs="Times New Roman"/>
          <w:spacing w:val="-6"/>
          <w:sz w:val="32"/>
          <w:szCs w:val="32"/>
          <w:highlight w:val="none"/>
          <w:lang w:eastAsia="zh-CN"/>
        </w:rPr>
        <w:t>项目、</w:t>
      </w:r>
      <w:r>
        <w:rPr>
          <w:rFonts w:hint="default" w:ascii="Times New Roman" w:hAnsi="Times New Roman" w:eastAsia="仿宋_GB2312" w:cs="Times New Roman"/>
          <w:spacing w:val="-6"/>
          <w:sz w:val="32"/>
          <w:szCs w:val="32"/>
          <w:highlight w:val="none"/>
        </w:rPr>
        <w:t>高中国际合作项目</w:t>
      </w:r>
      <w:r>
        <w:rPr>
          <w:rFonts w:hint="default" w:ascii="Times New Roman" w:hAnsi="Times New Roman" w:eastAsia="仿宋_GB2312" w:cs="Times New Roman"/>
          <w:spacing w:val="-6"/>
          <w:sz w:val="32"/>
          <w:szCs w:val="32"/>
          <w:highlight w:val="none"/>
          <w:lang w:eastAsia="zh-CN"/>
        </w:rPr>
        <w:t>、境外友校来访交流工作</w:t>
      </w:r>
      <w:r>
        <w:rPr>
          <w:rFonts w:hint="default" w:ascii="Times New Roman" w:hAnsi="Times New Roman" w:eastAsia="仿宋_GB2312" w:cs="Times New Roman"/>
          <w:spacing w:val="-6"/>
          <w:kern w:val="2"/>
          <w:sz w:val="32"/>
          <w:szCs w:val="32"/>
          <w:highlight w:val="none"/>
          <w:lang w:val="en-US" w:eastAsia="zh-CN" w:bidi="ar-SA"/>
        </w:rPr>
        <w:t>。</w:t>
      </w:r>
    </w:p>
    <w:p w14:paraId="79EE2792">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（三）持续探索集团化办学。</w:t>
      </w:r>
      <w:r>
        <w:rPr>
          <w:rFonts w:hint="default" w:ascii="Times New Roman" w:hAnsi="Times New Roman" w:eastAsia="仿宋_GB2312" w:cs="Times New Roman"/>
          <w:color w:val="auto"/>
          <w:spacing w:val="-6"/>
          <w:kern w:val="2"/>
          <w:sz w:val="32"/>
          <w:szCs w:val="32"/>
          <w:highlight w:val="none"/>
          <w:lang w:val="en-US" w:eastAsia="zh-CN"/>
        </w:rPr>
        <w:t>落实《关于进一步深化太仓市中小学和幼儿园教育集团化办学的实施方案（2026—2029）》，优化布局结构、管理机制和评价体系，重点推进“一体管理型”“区域单元管理型”教育集团建设。进一步深化高新区中学、培远实验学校、浮桥中学、省沙高金仓湖校区与优质教育资源合作，纵深推进“嘉昆太”等区域教育联盟合作，</w:t>
      </w:r>
      <w:r>
        <w:rPr>
          <w:rFonts w:hint="default" w:ascii="Times New Roman" w:hAnsi="Times New Roman" w:eastAsia="仿宋_GB2312" w:cs="Times New Roman"/>
          <w:spacing w:val="-6"/>
          <w:sz w:val="32"/>
          <w:szCs w:val="32"/>
          <w:lang w:val="en-US" w:eastAsia="zh-CN"/>
        </w:rPr>
        <w:t>推动区域教育协同发展取得实质性突破。</w:t>
      </w:r>
    </w:p>
    <w:p w14:paraId="0516A21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（四）全面加强教师队伍建设。</w:t>
      </w:r>
      <w:r>
        <w:rPr>
          <w:rFonts w:hint="default" w:ascii="Times New Roman" w:hAnsi="Times New Roman" w:eastAsia="仿宋_GB2312" w:cs="Times New Roman"/>
          <w:color w:val="auto"/>
          <w:spacing w:val="-6"/>
          <w:kern w:val="2"/>
          <w:sz w:val="32"/>
          <w:szCs w:val="32"/>
          <w:highlight w:val="none"/>
          <w:lang w:val="en-US" w:eastAsia="zh-CN"/>
        </w:rPr>
        <w:t>加强教育人才队伍建设，</w:t>
      </w:r>
      <w:r>
        <w:rPr>
          <w:rFonts w:hint="default" w:ascii="Times New Roman" w:hAnsi="Times New Roman" w:eastAsia="仿宋_GB2312" w:cs="Times New Roman"/>
          <w:b w:val="0"/>
          <w:bCs w:val="0"/>
          <w:color w:val="auto"/>
          <w:spacing w:val="-6"/>
          <w:kern w:val="0"/>
          <w:sz w:val="32"/>
          <w:szCs w:val="32"/>
          <w:highlight w:val="none"/>
          <w:lang w:val="en-US" w:eastAsia="zh-CN" w:bidi="ar-SA"/>
        </w:rPr>
        <w:t>制定《太仓市教师队伍建设五年规划（2026</w:t>
      </w:r>
      <w:r>
        <w:rPr>
          <w:rFonts w:hint="default" w:ascii="Times New Roman" w:hAnsi="Times New Roman" w:eastAsia="仿宋_GB2312" w:cs="Times New Roman"/>
          <w:color w:val="auto"/>
          <w:spacing w:val="-6"/>
          <w:kern w:val="2"/>
          <w:sz w:val="32"/>
          <w:szCs w:val="32"/>
          <w:highlight w:val="none"/>
          <w:lang w:val="en-US" w:eastAsia="zh-CN"/>
        </w:rPr>
        <w:t>—</w:t>
      </w:r>
      <w:r>
        <w:rPr>
          <w:rFonts w:hint="default" w:ascii="Times New Roman" w:hAnsi="Times New Roman" w:eastAsia="仿宋_GB2312" w:cs="Times New Roman"/>
          <w:b w:val="0"/>
          <w:bCs w:val="0"/>
          <w:color w:val="auto"/>
          <w:spacing w:val="-6"/>
          <w:kern w:val="0"/>
          <w:sz w:val="32"/>
          <w:szCs w:val="32"/>
          <w:highlight w:val="none"/>
          <w:lang w:val="en-US" w:eastAsia="zh-CN" w:bidi="ar-SA"/>
        </w:rPr>
        <w:t>2030年）》，</w:t>
      </w:r>
      <w:r>
        <w:rPr>
          <w:rFonts w:hint="default" w:ascii="Times New Roman" w:hAnsi="Times New Roman" w:eastAsia="仿宋_GB2312" w:cs="Times New Roman"/>
          <w:b w:val="0"/>
          <w:bCs w:val="0"/>
          <w:color w:val="auto"/>
          <w:spacing w:val="-6"/>
          <w:sz w:val="32"/>
          <w:szCs w:val="32"/>
          <w:highlight w:val="none"/>
          <w:lang w:val="en-US" w:eastAsia="zh-CN"/>
        </w:rPr>
        <w:t>从师德师风、人才培养、评价改革、保障机制等维度</w:t>
      </w:r>
      <w:r>
        <w:rPr>
          <w:rFonts w:hint="default" w:ascii="Times New Roman" w:hAnsi="Times New Roman" w:eastAsia="仿宋_GB2312" w:cs="Times New Roman"/>
          <w:b w:val="0"/>
          <w:bCs w:val="0"/>
          <w:color w:val="auto"/>
          <w:spacing w:val="-6"/>
          <w:kern w:val="0"/>
          <w:sz w:val="32"/>
          <w:szCs w:val="32"/>
          <w:highlight w:val="none"/>
          <w:lang w:val="en-US" w:eastAsia="zh-CN" w:bidi="ar-SA"/>
        </w:rPr>
        <w:t>建强教师队伍建设顶层设计</w:t>
      </w:r>
      <w:r>
        <w:rPr>
          <w:rFonts w:hint="default" w:ascii="Times New Roman" w:hAnsi="Times New Roman" w:eastAsia="仿宋_GB2312" w:cs="Times New Roman"/>
          <w:b w:val="0"/>
          <w:bCs w:val="0"/>
          <w:color w:val="auto"/>
          <w:spacing w:val="-6"/>
          <w:sz w:val="32"/>
          <w:szCs w:val="32"/>
          <w:highlight w:val="none"/>
          <w:lang w:val="en-US" w:eastAsia="zh-CN"/>
        </w:rPr>
        <w:t>。</w:t>
      </w:r>
      <w:r>
        <w:rPr>
          <w:rFonts w:hint="default" w:ascii="Times New Roman" w:hAnsi="Times New Roman" w:eastAsia="仿宋_GB2312" w:cs="Times New Roman"/>
          <w:b w:val="0"/>
          <w:bCs w:val="0"/>
          <w:color w:val="auto"/>
          <w:spacing w:val="-6"/>
          <w:kern w:val="0"/>
          <w:sz w:val="32"/>
          <w:szCs w:val="32"/>
          <w:highlight w:val="none"/>
          <w:lang w:val="en-US" w:eastAsia="zh-CN" w:bidi="ar-SA"/>
        </w:rPr>
        <w:t>坚持教育家精神铸魂强师，制定《太仓市中小学教师师德师风年度考核实施细则》，创新师德师风评价机制。出台《太仓市中小学教师素质提升工程实施方案》，构建多层级教师专业发展目标体系与教师发展培养平台。推动教师评价改革向纵深发展，优化教师交流轮岗、职称评审、岗位调整及绩效考核与分配等评价机制，树立鲜明用人导向。加大科学统筹师资调配力度，打通各学段教师资源，加强跨学校、跨学段、跨学科动态调整和余缺调配，系统做好跨学段教师转岗培训工作。推进“三名”工程建设，优化名师工作室、名师共同体扶持平台，建强“名校长”“名师”“名班主任”三支队伍。升级教师关爱工程，从身心健康、普惠服务、权益保障、精准减负和特定群体帮扶等方面保障教师队伍稳定健康发展。</w:t>
      </w:r>
    </w:p>
    <w:p w14:paraId="793B725A">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四、内涵建设强质量，优质均衡促公平</w:t>
      </w:r>
    </w:p>
    <w:p w14:paraId="5516B44E">
      <w:pPr>
        <w:pStyle w:val="2"/>
        <w:keepNext w:val="0"/>
        <w:keepLines w:val="0"/>
        <w:pageBreakBefore w:val="0"/>
        <w:widowControl w:val="0"/>
        <w:numPr>
          <w:ilvl w:val="0"/>
          <w:numId w:val="0"/>
        </w:numPr>
        <w:kinsoku/>
        <w:wordWrap/>
        <w:overflowPunct/>
        <w:topLinePunct w:val="0"/>
        <w:bidi w:val="0"/>
        <w:adjustRightInd/>
        <w:snapToGrid/>
        <w:spacing w:line="560" w:lineRule="exact"/>
        <w:ind w:firstLine="616" w:firstLineChars="200"/>
        <w:jc w:val="both"/>
        <w:textAlignment w:val="auto"/>
        <w:rPr>
          <w:rFonts w:hint="default" w:ascii="Times New Roman" w:hAnsi="Times New Roman" w:cs="Times New Roman"/>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（一）深入</w:t>
      </w:r>
      <w:r>
        <w:rPr>
          <w:rFonts w:hint="default" w:ascii="Times New Roman" w:hAnsi="Times New Roman" w:eastAsia="楷体_GB2312" w:cs="Times New Roman"/>
          <w:b w:val="0"/>
          <w:bCs w:val="0"/>
          <w:color w:val="auto"/>
          <w:spacing w:val="-6"/>
          <w:sz w:val="32"/>
          <w:szCs w:val="32"/>
          <w:highlight w:val="none"/>
          <w:lang w:val="en-US" w:eastAsia="zh-CN"/>
        </w:rPr>
        <w:t>推进学前教育普及普惠发展。</w:t>
      </w:r>
      <w:r>
        <w:rPr>
          <w:rFonts w:hint="default" w:ascii="Times New Roman" w:hAnsi="Times New Roman" w:eastAsia="仿宋_GB2312" w:cs="Times New Roman"/>
          <w:b w:val="0"/>
          <w:bCs w:val="0"/>
          <w:color w:val="auto"/>
          <w:spacing w:val="-6"/>
          <w:sz w:val="32"/>
          <w:szCs w:val="32"/>
          <w:highlight w:val="none"/>
          <w:lang w:val="en-US" w:eastAsia="zh-CN"/>
        </w:rPr>
        <w:t>持续巩固学前教育普及普惠县创建成果，常态化做好监测工作，规范幼儿园办园行为。依托6个幼教发展共同体</w:t>
      </w:r>
      <w:r>
        <w:rPr>
          <w:rFonts w:hint="default" w:ascii="Times New Roman" w:hAnsi="Times New Roman" w:eastAsia="仿宋_GB2312" w:cs="Times New Roman"/>
          <w:color w:val="auto"/>
          <w:spacing w:val="-6"/>
          <w:kern w:val="2"/>
          <w:sz w:val="32"/>
          <w:szCs w:val="32"/>
          <w:highlight w:val="none"/>
          <w:lang w:val="en-US" w:eastAsia="zh-CN"/>
        </w:rPr>
        <w:t>深入推进课程游戏化项目，</w:t>
      </w:r>
      <w:r>
        <w:rPr>
          <w:rFonts w:hint="default" w:ascii="Times New Roman" w:hAnsi="Times New Roman" w:eastAsia="仿宋_GB2312" w:cs="Times New Roman"/>
          <w:b w:val="0"/>
          <w:bCs w:val="0"/>
          <w:color w:val="auto"/>
          <w:spacing w:val="-6"/>
          <w:sz w:val="32"/>
          <w:szCs w:val="32"/>
          <w:highlight w:val="none"/>
          <w:lang w:val="en-US" w:eastAsia="zh-CN"/>
        </w:rPr>
        <w:t>动态进行园所布局调整，提高学前教育资源配置水平。聚焦幼儿发展核心需求，</w:t>
      </w:r>
      <w:r>
        <w:rPr>
          <w:rFonts w:hint="default" w:ascii="Times New Roman" w:hAnsi="Times New Roman" w:eastAsia="仿宋_GB2312" w:cs="Times New Roman"/>
          <w:color w:val="auto"/>
          <w:spacing w:val="-6"/>
          <w:kern w:val="2"/>
          <w:sz w:val="32"/>
          <w:szCs w:val="32"/>
          <w:highlight w:val="none"/>
          <w:lang w:eastAsia="zh"/>
        </w:rPr>
        <w:t>推动区域保教质量全域提质</w:t>
      </w:r>
      <w:r>
        <w:rPr>
          <w:rFonts w:hint="default" w:ascii="Times New Roman" w:hAnsi="Times New Roman" w:eastAsia="仿宋_GB2312" w:cs="Times New Roman"/>
          <w:color w:val="auto"/>
          <w:spacing w:val="-6"/>
          <w:kern w:val="2"/>
          <w:sz w:val="32"/>
          <w:szCs w:val="32"/>
          <w:highlight w:val="none"/>
          <w:lang w:eastAsia="zh-CN"/>
        </w:rPr>
        <w:t>，</w:t>
      </w:r>
      <w:r>
        <w:rPr>
          <w:rFonts w:hint="default" w:ascii="Times New Roman" w:hAnsi="Times New Roman" w:eastAsia="仿宋_GB2312" w:cs="Times New Roman"/>
          <w:color w:val="auto"/>
          <w:spacing w:val="-6"/>
          <w:kern w:val="2"/>
          <w:sz w:val="32"/>
          <w:szCs w:val="32"/>
          <w:highlight w:val="none"/>
          <w:lang w:val="en-US" w:eastAsia="zh-CN"/>
        </w:rPr>
        <w:t>进一步提高省、市优质园占比，加快实现“幼有所育”向“幼有善育”的转变。配合卫健委持续加大托育服务供给能力。</w:t>
      </w:r>
    </w:p>
    <w:p w14:paraId="157F8BD9">
      <w:pPr>
        <w:keepNext w:val="0"/>
        <w:keepLines w:val="0"/>
        <w:pageBreakBefore w:val="0"/>
        <w:widowControl w:val="0"/>
        <w:numPr>
          <w:ilvl w:val="0"/>
          <w:numId w:val="0"/>
        </w:numPr>
        <w:kinsoku/>
        <w:wordWrap/>
        <w:overflowPunct/>
        <w:topLinePunct w:val="0"/>
        <w:bidi w:val="0"/>
        <w:spacing w:line="560" w:lineRule="exact"/>
        <w:ind w:firstLine="616" w:firstLineChars="200"/>
        <w:jc w:val="both"/>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sz w:val="32"/>
          <w:szCs w:val="32"/>
          <w:highlight w:val="none"/>
          <w:lang w:val="en-US" w:eastAsia="zh-CN"/>
        </w:rPr>
        <w:t>（二）持续推进义务教育优质均衡发展。</w:t>
      </w:r>
      <w:r>
        <w:rPr>
          <w:rFonts w:hint="default" w:ascii="Times New Roman" w:hAnsi="Times New Roman" w:eastAsia="仿宋_GB2312" w:cs="Times New Roman"/>
          <w:color w:val="auto"/>
          <w:spacing w:val="-6"/>
          <w:kern w:val="2"/>
          <w:sz w:val="32"/>
          <w:szCs w:val="32"/>
          <w:highlight w:val="none"/>
          <w:lang w:val="en-US" w:eastAsia="zh-CN"/>
        </w:rPr>
        <w:t>以新一轮初中“强校计划”“小学生良好学习品质提升行动方案”为指引，扎实推进义务教育优质均衡纵深发展。依托《太仓市教学质量提升三年行动方案》，优化课堂教学，打造特色活力课堂新样态。持续开展提高课堂教学有效性探索，树立科学的教育评价导向，</w:t>
      </w:r>
      <w:r>
        <w:rPr>
          <w:rFonts w:hint="default" w:ascii="Times New Roman" w:hAnsi="Times New Roman" w:eastAsia="仿宋_GB2312" w:cs="Times New Roman"/>
          <w:b w:val="0"/>
          <w:bCs w:val="0"/>
          <w:color w:val="auto"/>
          <w:spacing w:val="-6"/>
          <w:kern w:val="2"/>
          <w:sz w:val="32"/>
          <w:szCs w:val="32"/>
          <w:lang w:val="en-US" w:eastAsia="zh-CN" w:bidi="ar-SA"/>
        </w:rPr>
        <w:t>推进拔尖培养与普惠性教育协同发展，构建区域良好教育生态。聚焦学科核心素养设计分层、弹性作业，探索设置“无作业日”。</w:t>
      </w:r>
      <w:r>
        <w:rPr>
          <w:rFonts w:hint="default" w:ascii="Times New Roman" w:hAnsi="Times New Roman" w:eastAsia="仿宋_GB2312" w:cs="Times New Roman"/>
          <w:color w:val="auto"/>
          <w:spacing w:val="-6"/>
          <w:kern w:val="2"/>
          <w:sz w:val="32"/>
          <w:szCs w:val="32"/>
          <w:highlight w:val="none"/>
          <w:lang w:val="en-US" w:eastAsia="zh-CN"/>
        </w:rPr>
        <w:t>丰富课后服务供给，</w:t>
      </w:r>
      <w:r>
        <w:rPr>
          <w:rFonts w:hint="default" w:ascii="Times New Roman" w:hAnsi="Times New Roman" w:eastAsia="仿宋_GB2312" w:cs="Times New Roman"/>
          <w:b w:val="0"/>
          <w:bCs w:val="0"/>
          <w:color w:val="auto"/>
          <w:spacing w:val="-6"/>
          <w:kern w:val="2"/>
          <w:sz w:val="32"/>
          <w:szCs w:val="32"/>
          <w:lang w:val="en-US" w:eastAsia="zh-CN" w:bidi="ar-SA"/>
        </w:rPr>
        <w:t>着力开发多样特色课程与社团活动，整合学科知识、实践活动与社会资源，实施跨学科综合实践课程。</w:t>
      </w:r>
    </w:p>
    <w:p w14:paraId="3E297CE2">
      <w:pPr>
        <w:pStyle w:val="2"/>
        <w:keepNext w:val="0"/>
        <w:keepLines w:val="0"/>
        <w:pageBreakBefore w:val="0"/>
        <w:widowControl w:val="0"/>
        <w:numPr>
          <w:ilvl w:val="0"/>
          <w:numId w:val="0"/>
        </w:numPr>
        <w:kinsoku/>
        <w:wordWrap/>
        <w:overflowPunct/>
        <w:topLinePunct w:val="0"/>
        <w:bidi w:val="0"/>
        <w:spacing w:line="560" w:lineRule="exact"/>
        <w:ind w:firstLine="616" w:firstLineChars="200"/>
        <w:jc w:val="both"/>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sz w:val="32"/>
          <w:szCs w:val="32"/>
          <w:highlight w:val="none"/>
          <w:lang w:val="en-US" w:eastAsia="zh-CN"/>
        </w:rPr>
        <w:t>（三）持续推进高中教育多元特色发展。</w:t>
      </w:r>
      <w:r>
        <w:rPr>
          <w:rFonts w:hint="default" w:ascii="Times New Roman" w:hAnsi="Times New Roman" w:eastAsia="仿宋_GB2312" w:cs="Times New Roman"/>
          <w:color w:val="auto"/>
          <w:spacing w:val="-6"/>
          <w:kern w:val="2"/>
          <w:sz w:val="32"/>
          <w:szCs w:val="32"/>
          <w:highlight w:val="none"/>
          <w:lang w:val="en-US" w:eastAsia="zh-CN"/>
        </w:rPr>
        <w:t>重点推进3所高品质特色高中发展，推进2所科学高中试点校建设，加大特色课程开发、专项场所建设投入，推进各高中优质特色化发展。将特色课程实施、学生个性化发展、社会认可度等纳入特色高中多元评价体系。深化高中与高校院所协同育人，新增与2~3所名校院所的合作项目。</w:t>
      </w:r>
    </w:p>
    <w:p w14:paraId="0859604D">
      <w:pPr>
        <w:pStyle w:val="2"/>
        <w:keepNext w:val="0"/>
        <w:keepLines w:val="0"/>
        <w:pageBreakBefore w:val="0"/>
        <w:widowControl w:val="0"/>
        <w:numPr>
          <w:ilvl w:val="0"/>
          <w:numId w:val="0"/>
        </w:numPr>
        <w:kinsoku/>
        <w:wordWrap/>
        <w:overflowPunct/>
        <w:topLinePunct w:val="0"/>
        <w:bidi w:val="0"/>
        <w:spacing w:line="560" w:lineRule="exact"/>
        <w:ind w:firstLine="616" w:firstLineChars="200"/>
        <w:jc w:val="both"/>
        <w:rPr>
          <w:rFonts w:hint="default" w:ascii="Times New Roman" w:hAnsi="Times New Roman" w:eastAsia="仿宋_GB2312" w:cs="Times New Roman"/>
          <w:color w:val="auto"/>
          <w:spacing w:val="-6"/>
          <w:kern w:val="0"/>
          <w:sz w:val="32"/>
          <w:szCs w:val="32"/>
          <w:highlight w:val="none"/>
          <w:lang w:val="en-US" w:eastAsia="zh-CN" w:bidi="ar"/>
        </w:rPr>
      </w:pPr>
      <w:r>
        <w:rPr>
          <w:rFonts w:hint="default" w:ascii="Times New Roman" w:hAnsi="Times New Roman" w:eastAsia="楷体_GB2312" w:cs="Times New Roman"/>
          <w:b w:val="0"/>
          <w:bCs w:val="0"/>
          <w:color w:val="auto"/>
          <w:spacing w:val="-6"/>
          <w:kern w:val="0"/>
          <w:sz w:val="32"/>
          <w:szCs w:val="32"/>
          <w:highlight w:val="none"/>
          <w:lang w:val="en-US" w:eastAsia="zh-CN" w:bidi="ar-SA"/>
        </w:rPr>
        <w:t>（四）持续推进职业教育产教融合发展。</w:t>
      </w:r>
      <w:r>
        <w:rPr>
          <w:rFonts w:hint="default" w:ascii="Times New Roman" w:hAnsi="Times New Roman" w:eastAsia="仿宋_GB2312" w:cs="Times New Roman"/>
          <w:spacing w:val="-6"/>
          <w:sz w:val="32"/>
          <w:szCs w:val="32"/>
          <w:lang w:val="en-US" w:eastAsia="zh-CN"/>
        </w:rPr>
        <w:t>聚力构建职普融通、产教融合、科教融汇的现代职教体系，积极探索中高职教育集团化发展。聚焦“3+3+X”产业需求，优化调整专业布局。积极推动教育资源向社会延伸，面向企业在职职工等重点群体开展职业技能提升培训。强化“双师型”队伍建设，深化教师企业实践制度，优化骨干“双师型”教师发展平台。</w:t>
      </w:r>
    </w:p>
    <w:p w14:paraId="4CF66A22">
      <w:pPr>
        <w:keepNext w:val="0"/>
        <w:keepLines w:val="0"/>
        <w:pageBreakBefore w:val="0"/>
        <w:widowControl w:val="0"/>
        <w:numPr>
          <w:ilvl w:val="0"/>
          <w:numId w:val="0"/>
        </w:numPr>
        <w:kinsoku/>
        <w:wordWrap/>
        <w:overflowPunct/>
        <w:topLinePunct w:val="0"/>
        <w:bidi w:val="0"/>
        <w:spacing w:line="560" w:lineRule="exact"/>
        <w:ind w:firstLine="616" w:firstLineChars="200"/>
        <w:jc w:val="both"/>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b w:val="0"/>
          <w:bCs w:val="0"/>
          <w:color w:val="auto"/>
          <w:spacing w:val="-6"/>
          <w:kern w:val="0"/>
          <w:sz w:val="32"/>
          <w:szCs w:val="32"/>
          <w:highlight w:val="none"/>
          <w:lang w:val="en-US" w:eastAsia="zh-CN" w:bidi="ar-SA"/>
        </w:rPr>
        <w:t>（五）持续推进高等教育创新发展。</w:t>
      </w:r>
      <w:bookmarkStart w:id="0" w:name="OLE_LINK1"/>
      <w:r>
        <w:rPr>
          <w:rFonts w:hint="default" w:ascii="Times New Roman" w:hAnsi="Times New Roman" w:eastAsia="仿宋_GB2312" w:cs="Times New Roman"/>
          <w:color w:val="auto"/>
          <w:spacing w:val="-6"/>
          <w:sz w:val="32"/>
          <w:szCs w:val="32"/>
          <w:highlight w:val="none"/>
          <w:lang w:val="en-US" w:eastAsia="zh-CN"/>
        </w:rPr>
        <w:t>持续推进与西工大优化调整校地合作工作</w:t>
      </w:r>
      <w:r>
        <w:rPr>
          <w:rFonts w:hint="default"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color w:val="auto"/>
          <w:spacing w:val="-6"/>
          <w:sz w:val="32"/>
          <w:szCs w:val="32"/>
          <w:highlight w:val="none"/>
          <w:lang w:val="en-US" w:eastAsia="zh-CN"/>
        </w:rPr>
        <w:t>将重点从学生培养转向产学研合作。加强与国外优质大学合作，探索中外合作办学模式创新。推进西浦创业家学院（太仓）融合式教育发展，扩大西浦在太办学规模，聚焦工业智能体、低空经济、智慧医疗、创意科技等领域，打造产学研用深度融合教育生态。支持健雄学院依托中德双元制职业教育产业园，进一步提升国家级市域产教联合体建设水平。</w:t>
      </w:r>
      <w:bookmarkEnd w:id="0"/>
    </w:p>
    <w:p w14:paraId="0FB5A11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16" w:firstLineChars="200"/>
        <w:jc w:val="both"/>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（六）持续推进社区教育品牌建设。</w:t>
      </w:r>
      <w:r>
        <w:rPr>
          <w:rFonts w:hint="default" w:ascii="Times New Roman" w:hAnsi="Times New Roman" w:eastAsia="仿宋_GB2312" w:cs="Times New Roman"/>
          <w:spacing w:val="-6"/>
          <w:kern w:val="2"/>
          <w:sz w:val="32"/>
          <w:szCs w:val="32"/>
          <w:highlight w:val="none"/>
          <w:lang w:val="en-US" w:eastAsia="zh-CN" w:bidi="ar-SA"/>
        </w:rPr>
        <w:t>加强培育品牌社区学习中心与品牌社区教育课程。构建服务全民终身学习的教育体系，项目化推进社区教育惠民活动，组织教师能力大赛、优秀课程评比等活动，分层培育游学项目，办好全民终身学习活动周。加强社区教育数字化能力建设。</w:t>
      </w:r>
    </w:p>
    <w:p w14:paraId="67C3D8BE">
      <w:pPr>
        <w:pStyle w:val="2"/>
        <w:keepNext w:val="0"/>
        <w:keepLines w:val="0"/>
        <w:pageBreakBefore w:val="0"/>
        <w:widowControl w:val="0"/>
        <w:kinsoku/>
        <w:wordWrap/>
        <w:overflowPunct/>
        <w:topLinePunct w:val="0"/>
        <w:bidi w:val="0"/>
        <w:spacing w:line="560" w:lineRule="exact"/>
        <w:ind w:left="0" w:leftChars="0" w:firstLine="616" w:firstLineChars="200"/>
        <w:jc w:val="both"/>
        <w:rPr>
          <w:rFonts w:hint="default" w:ascii="Times New Roman" w:hAnsi="Times New Roman" w:eastAsia="国标黑体" w:cs="Times New Roman"/>
          <w:spacing w:val="-6"/>
          <w:sz w:val="32"/>
          <w:szCs w:val="32"/>
          <w:lang w:val="en-US" w:eastAsia="zh-CN"/>
        </w:rPr>
      </w:pPr>
      <w:r>
        <w:rPr>
          <w:rFonts w:hint="default" w:ascii="Times New Roman" w:hAnsi="Times New Roman" w:eastAsia="国标黑体" w:cs="Times New Roman"/>
          <w:spacing w:val="-6"/>
          <w:sz w:val="32"/>
          <w:szCs w:val="32"/>
          <w:lang w:eastAsia="zh-CN"/>
        </w:rPr>
        <w:t>五</w:t>
      </w:r>
      <w:r>
        <w:rPr>
          <w:rFonts w:hint="default" w:ascii="Times New Roman" w:hAnsi="Times New Roman" w:eastAsia="国标黑体" w:cs="Times New Roman"/>
          <w:spacing w:val="-6"/>
          <w:sz w:val="32"/>
          <w:szCs w:val="32"/>
        </w:rPr>
        <w:t>、改革创新强动能，激发活力破难题</w:t>
      </w:r>
    </w:p>
    <w:p w14:paraId="746CF010">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（一）完善拔尖创新人才培养体系。</w:t>
      </w:r>
      <w:r>
        <w:rPr>
          <w:rFonts w:hint="default" w:ascii="Times New Roman" w:hAnsi="Times New Roman" w:eastAsia="仿宋_GB2312" w:cs="Times New Roman"/>
          <w:color w:val="auto"/>
          <w:spacing w:val="-6"/>
          <w:kern w:val="2"/>
          <w:sz w:val="32"/>
          <w:szCs w:val="32"/>
          <w:highlight w:val="none"/>
          <w:lang w:val="en-US" w:eastAsia="zh-CN"/>
        </w:rPr>
        <w:t>建立完善拔尖人才培养跟踪评价机制。强化高中课程基地建设，积极探索高中与大学共建研究型课程、与企业共建校外实践基地等新型人才培养模式。</w:t>
      </w:r>
      <w:r>
        <w:rPr>
          <w:rFonts w:hint="default" w:ascii="Times New Roman" w:hAnsi="Times New Roman" w:eastAsia="仿宋_GB2312" w:cs="Times New Roman"/>
          <w:b w:val="0"/>
          <w:bCs w:val="0"/>
          <w:spacing w:val="-6"/>
          <w:kern w:val="2"/>
          <w:sz w:val="32"/>
          <w:szCs w:val="32"/>
          <w:lang w:val="en-US" w:eastAsia="zh-CN" w:bidi="ar-SA"/>
        </w:rPr>
        <w:t>办好国家、省学科竞赛辅导工作，提升奥赛获奖层次及人次。落实《关于弘扬吴健雄精神进一步加强太仓市中小学科学教育工作实施意见》，全方位提升科学教育供给质量，着力培养学生的科学思维、科学能力和科学素养，为拔尖创新人</w:t>
      </w:r>
      <w:r>
        <w:rPr>
          <w:rFonts w:hint="default" w:ascii="Times New Roman" w:hAnsi="Times New Roman" w:eastAsia="仿宋_GB2312" w:cs="Times New Roman"/>
          <w:color w:val="auto"/>
          <w:spacing w:val="-6"/>
          <w:kern w:val="2"/>
          <w:sz w:val="32"/>
          <w:szCs w:val="32"/>
          <w:highlight w:val="none"/>
          <w:lang w:val="en-US" w:eastAsia="zh-CN"/>
        </w:rPr>
        <w:t>才培养强基固本。</w:t>
      </w:r>
    </w:p>
    <w:p w14:paraId="294235CA">
      <w:pPr>
        <w:keepNext w:val="0"/>
        <w:keepLines w:val="0"/>
        <w:pageBreakBefore w:val="0"/>
        <w:widowControl w:val="0"/>
        <w:numPr>
          <w:ilvl w:val="0"/>
          <w:numId w:val="0"/>
        </w:numPr>
        <w:kinsoku/>
        <w:wordWrap/>
        <w:overflowPunct/>
        <w:topLinePunct w:val="0"/>
        <w:bidi w:val="0"/>
        <w:spacing w:line="560" w:lineRule="exact"/>
        <w:ind w:firstLine="616" w:firstLineChars="200"/>
        <w:jc w:val="both"/>
        <w:rPr>
          <w:rFonts w:hint="default" w:ascii="Times New Roman" w:hAnsi="Times New Roman" w:eastAsia="仿宋_GB2312" w:cs="Times New Roman"/>
          <w:color w:val="auto"/>
          <w:spacing w:val="-6"/>
          <w:sz w:val="32"/>
          <w:szCs w:val="32"/>
          <w:highlight w:val="yellow"/>
          <w:lang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（二）深化教育重点领域改革。</w:t>
      </w:r>
      <w:r>
        <w:rPr>
          <w:rFonts w:hint="default" w:ascii="Times New Roman" w:hAnsi="Times New Roman" w:eastAsia="仿宋_GB2312" w:cs="Times New Roman"/>
          <w:color w:val="auto"/>
          <w:spacing w:val="-6"/>
          <w:kern w:val="2"/>
          <w:sz w:val="32"/>
          <w:szCs w:val="32"/>
          <w:highlight w:val="none"/>
          <w:lang w:val="en-US" w:eastAsia="zh-CN"/>
        </w:rPr>
        <w:t>建立“市级培育—申报—视导—提质”工作机制，重点培育课程基地、前瞻性教学改革实验项目等。打造研训共同体，</w:t>
      </w:r>
      <w:r>
        <w:rPr>
          <w:rFonts w:hint="default" w:ascii="Times New Roman" w:hAnsi="Times New Roman" w:eastAsia="仿宋_GB2312" w:cs="Times New Roman"/>
          <w:color w:val="auto"/>
          <w:spacing w:val="-6"/>
          <w:kern w:val="2"/>
          <w:sz w:val="32"/>
          <w:szCs w:val="32"/>
          <w:highlight w:val="none"/>
          <w:lang w:val="en-US" w:eastAsia="zh-CN" w:bidi="ar-SA"/>
        </w:rPr>
        <w:t>建立幼小、小初、初高衔接课程体系。完善全链条质量监测体系，优化督导协同机制，强化监测数据赋能教学精准改进。</w:t>
      </w:r>
      <w:r>
        <w:rPr>
          <w:rFonts w:hint="default" w:ascii="Times New Roman" w:hAnsi="Times New Roman" w:eastAsia="仿宋_GB2312" w:cs="Times New Roman"/>
          <w:b w:val="0"/>
          <w:bCs w:val="0"/>
          <w:color w:val="auto"/>
          <w:spacing w:val="-6"/>
          <w:kern w:val="2"/>
          <w:sz w:val="32"/>
          <w:szCs w:val="32"/>
          <w:highlight w:val="none"/>
          <w:lang w:val="en-US" w:eastAsia="zh-CN" w:bidi="ar-SA"/>
        </w:rPr>
        <w:t>深化学生综合素质评价，将学生品德发展、实践能力、心理健康等纳入评价体系，建立学生动态成长档案，推动评价从“结果导向”转向“过程追踪”。</w:t>
      </w:r>
      <w:r>
        <w:rPr>
          <w:rFonts w:hint="default" w:ascii="Times New Roman" w:hAnsi="Times New Roman" w:eastAsia="仿宋_GB2312" w:cs="Times New Roman"/>
          <w:color w:val="auto"/>
          <w:spacing w:val="-6"/>
          <w:sz w:val="32"/>
          <w:szCs w:val="32"/>
          <w:highlight w:val="none"/>
        </w:rPr>
        <w:t>构建太仓特色</w:t>
      </w:r>
      <w:r>
        <w:rPr>
          <w:rFonts w:hint="default" w:ascii="Times New Roman" w:hAnsi="Times New Roman" w:eastAsia="仿宋_GB2312" w:cs="Times New Roman"/>
          <w:color w:val="auto"/>
          <w:spacing w:val="-6"/>
          <w:sz w:val="32"/>
          <w:szCs w:val="32"/>
          <w:highlight w:val="none"/>
          <w:lang w:eastAsia="zh-CN"/>
        </w:rPr>
        <w:t>学生发展指导样板</w:t>
      </w:r>
      <w:r>
        <w:rPr>
          <w:rFonts w:hint="default" w:ascii="Times New Roman" w:hAnsi="Times New Roman" w:eastAsia="仿宋_GB2312" w:cs="Times New Roman"/>
          <w:color w:val="auto"/>
          <w:spacing w:val="-6"/>
          <w:sz w:val="32"/>
          <w:szCs w:val="32"/>
          <w:highlight w:val="none"/>
        </w:rPr>
        <w:t>，做好2026年江苏省教学成果奖储备项目，争创省中小学教学研究第十四期重点课题成果奖。持续开展“职来职往”“德企研学”“生涯规划大赛”等活动</w:t>
      </w:r>
      <w:r>
        <w:rPr>
          <w:rFonts w:hint="default" w:ascii="Times New Roman" w:hAnsi="Times New Roman" w:eastAsia="仿宋_GB2312" w:cs="Times New Roman"/>
          <w:color w:val="auto"/>
          <w:spacing w:val="-6"/>
          <w:sz w:val="32"/>
          <w:szCs w:val="32"/>
          <w:highlight w:val="none"/>
          <w:lang w:eastAsia="zh-CN"/>
        </w:rPr>
        <w:t>、组织</w:t>
      </w:r>
      <w:r>
        <w:rPr>
          <w:rFonts w:hint="default" w:ascii="Times New Roman" w:hAnsi="Times New Roman" w:eastAsia="仿宋_GB2312" w:cs="Times New Roman"/>
          <w:color w:val="auto"/>
          <w:spacing w:val="-6"/>
          <w:sz w:val="32"/>
          <w:szCs w:val="32"/>
          <w:highlight w:val="none"/>
        </w:rPr>
        <w:t>“校企合作人才共建”活动，推动人才培养</w:t>
      </w:r>
      <w:r>
        <w:rPr>
          <w:rFonts w:hint="default" w:ascii="Times New Roman" w:hAnsi="Times New Roman" w:eastAsia="仿宋_GB2312" w:cs="Times New Roman"/>
          <w:color w:val="auto"/>
          <w:spacing w:val="-6"/>
          <w:sz w:val="32"/>
          <w:szCs w:val="32"/>
          <w:highlight w:val="none"/>
          <w:lang w:eastAsia="zh-CN"/>
        </w:rPr>
        <w:t>契合</w:t>
      </w:r>
      <w:r>
        <w:rPr>
          <w:rFonts w:hint="default" w:ascii="Times New Roman" w:hAnsi="Times New Roman" w:eastAsia="仿宋_GB2312" w:cs="Times New Roman"/>
          <w:color w:val="auto"/>
          <w:spacing w:val="-6"/>
          <w:sz w:val="32"/>
          <w:szCs w:val="32"/>
          <w:highlight w:val="none"/>
        </w:rPr>
        <w:t>地方需求，促进优秀学子返乡就业创业。</w:t>
      </w:r>
    </w:p>
    <w:p w14:paraId="672A5C57">
      <w:pPr>
        <w:pStyle w:val="2"/>
        <w:keepNext w:val="0"/>
        <w:keepLines w:val="0"/>
        <w:pageBreakBefore w:val="0"/>
        <w:widowControl w:val="0"/>
        <w:numPr>
          <w:ilvl w:val="0"/>
          <w:numId w:val="0"/>
        </w:numPr>
        <w:kinsoku/>
        <w:wordWrap/>
        <w:overflowPunct/>
        <w:topLinePunct w:val="0"/>
        <w:bidi w:val="0"/>
        <w:spacing w:line="560" w:lineRule="exact"/>
        <w:ind w:firstLine="616" w:firstLineChars="200"/>
        <w:jc w:val="both"/>
        <w:rPr>
          <w:rFonts w:hint="default" w:ascii="Times New Roman" w:hAnsi="Times New Roman" w:cs="Times New Roman"/>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（三）促进人工智能赋能教育创新。</w:t>
      </w:r>
      <w:r>
        <w:rPr>
          <w:rFonts w:hint="default" w:ascii="Times New Roman" w:hAnsi="Times New Roman" w:eastAsia="仿宋_GB2312" w:cs="Times New Roman"/>
          <w:color w:val="auto"/>
          <w:spacing w:val="-6"/>
          <w:kern w:val="2"/>
          <w:sz w:val="32"/>
          <w:szCs w:val="32"/>
          <w:highlight w:val="none"/>
          <w:lang w:val="en-US" w:eastAsia="zh-CN"/>
        </w:rPr>
        <w:t>深化省智慧教育样板区建设，计划</w:t>
      </w:r>
      <w:r>
        <w:rPr>
          <w:rFonts w:hint="default" w:ascii="Times New Roman" w:hAnsi="Times New Roman" w:eastAsia="仿宋_GB2312" w:cs="Times New Roman"/>
          <w:b w:val="0"/>
          <w:bCs w:val="0"/>
          <w:color w:val="auto"/>
          <w:spacing w:val="-6"/>
          <w:sz w:val="32"/>
          <w:szCs w:val="32"/>
          <w:lang w:val="en-US" w:eastAsia="zh-CN"/>
        </w:rPr>
        <w:t>申报国家平台深度融合应用省级示范区、示范校</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kern w:val="2"/>
          <w:sz w:val="32"/>
          <w:szCs w:val="32"/>
          <w:highlight w:val="none"/>
          <w:lang w:val="en-US" w:eastAsia="zh-CN"/>
        </w:rPr>
        <w:t>实施“复合型智慧教师”专项培养，遴选人员参与各级智慧教育创新竞赛。</w:t>
      </w:r>
      <w:r>
        <w:rPr>
          <w:rFonts w:hint="default" w:ascii="Times New Roman" w:hAnsi="Times New Roman" w:eastAsia="仿宋_GB2312" w:cs="Times New Roman"/>
          <w:b w:val="0"/>
          <w:bCs w:val="0"/>
          <w:color w:val="auto"/>
          <w:spacing w:val="-6"/>
          <w:sz w:val="32"/>
          <w:szCs w:val="32"/>
          <w:lang w:val="en-US" w:eastAsia="zh-CN"/>
        </w:rPr>
        <w:t>构建区域精品教育资源库。推进人工智能与</w:t>
      </w:r>
      <w:r>
        <w:rPr>
          <w:rFonts w:hint="default" w:ascii="Times New Roman" w:hAnsi="Times New Roman" w:eastAsia="仿宋_GB2312" w:cs="Times New Roman"/>
          <w:color w:val="auto"/>
          <w:spacing w:val="-6"/>
          <w:sz w:val="32"/>
          <w:szCs w:val="32"/>
        </w:rPr>
        <w:t>实验教学、项目式学习、跨学科教学等</w:t>
      </w:r>
      <w:r>
        <w:rPr>
          <w:rFonts w:hint="default" w:ascii="Times New Roman" w:hAnsi="Times New Roman" w:eastAsia="仿宋_GB2312" w:cs="Times New Roman"/>
          <w:b w:val="0"/>
          <w:bCs w:val="0"/>
          <w:color w:val="auto"/>
          <w:spacing w:val="-6"/>
          <w:sz w:val="32"/>
          <w:szCs w:val="32"/>
          <w:lang w:val="en-US" w:eastAsia="zh-CN"/>
        </w:rPr>
        <w:t>场景融合。打造“融e教育”品牌</w:t>
      </w:r>
      <w:r>
        <w:rPr>
          <w:rFonts w:hint="default" w:ascii="Times New Roman" w:hAnsi="Times New Roman" w:eastAsia="仿宋_GB2312" w:cs="Times New Roman"/>
          <w:color w:val="auto"/>
          <w:spacing w:val="-6"/>
          <w:sz w:val="32"/>
          <w:szCs w:val="32"/>
          <w:lang w:val="en-US" w:eastAsia="zh-CN"/>
        </w:rPr>
        <w:t>，推进“教、学、评”一体化分析，探索优质教育资源智能检索与精准推送。</w:t>
      </w:r>
    </w:p>
    <w:p w14:paraId="47644346">
      <w:pPr>
        <w:keepNext w:val="0"/>
        <w:keepLines w:val="0"/>
        <w:pageBreakBefore w:val="0"/>
        <w:widowControl w:val="0"/>
        <w:kinsoku/>
        <w:wordWrap/>
        <w:overflowPunct/>
        <w:topLinePunct w:val="0"/>
        <w:bidi w:val="0"/>
        <w:adjustRightInd/>
        <w:snapToGrid/>
        <w:spacing w:line="560" w:lineRule="exact"/>
        <w:ind w:firstLine="616" w:firstLineChars="200"/>
        <w:jc w:val="both"/>
        <w:textAlignment w:val="auto"/>
        <w:rPr>
          <w:rFonts w:hint="default" w:ascii="Times New Roman" w:hAnsi="Times New Roman" w:eastAsia="仿宋_GB2312" w:cs="Times New Roman"/>
          <w:spacing w:val="-6"/>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（四）扎实推进规范办学工作。</w:t>
      </w:r>
      <w:r>
        <w:rPr>
          <w:rFonts w:hint="default" w:ascii="Times New Roman" w:hAnsi="Times New Roman" w:eastAsia="仿宋_GB2312" w:cs="Times New Roman"/>
          <w:color w:val="auto"/>
          <w:spacing w:val="-6"/>
          <w:sz w:val="32"/>
          <w:szCs w:val="32"/>
          <w:highlight w:val="none"/>
          <w:lang w:val="en-US" w:eastAsia="zh-CN"/>
        </w:rPr>
        <w:t>发布《关于进一步优化全市教育生态九条举措》。</w:t>
      </w:r>
      <w:r>
        <w:rPr>
          <w:rFonts w:hint="default" w:ascii="Times New Roman" w:hAnsi="Times New Roman" w:eastAsia="仿宋_GB2312" w:cs="Times New Roman"/>
          <w:color w:val="auto"/>
          <w:spacing w:val="-6"/>
          <w:kern w:val="2"/>
          <w:sz w:val="32"/>
          <w:szCs w:val="32"/>
          <w:highlight w:val="none"/>
          <w:lang w:val="en-US" w:eastAsia="zh-CN"/>
        </w:rPr>
        <w:t>以规范管理构建区域良好教育生态，坚决遏制超时学习等违规行为。</w:t>
      </w:r>
      <w:r>
        <w:rPr>
          <w:rFonts w:hint="default" w:ascii="Times New Roman" w:hAnsi="Times New Roman" w:eastAsia="仿宋_GB2312" w:cs="Times New Roman"/>
          <w:b w:val="0"/>
          <w:bCs w:val="0"/>
          <w:color w:val="auto"/>
          <w:spacing w:val="-6"/>
          <w:kern w:val="2"/>
          <w:sz w:val="32"/>
          <w:szCs w:val="32"/>
          <w:highlight w:val="none"/>
          <w:lang w:val="en-US" w:eastAsia="zh-CN" w:bidi="ar-SA"/>
        </w:rPr>
        <w:t>规范考试管理，以等第评价取代分数评价。继续规范招生入学、学籍注册工作。进一步放宽积分入学申请门槛，实现起始年级新市民子女公办学校全纳。优化插班转学申请材料与流程，探索在学位充足乡镇板块放宽申请条件。</w:t>
      </w:r>
      <w:r>
        <w:rPr>
          <w:rFonts w:hint="default" w:ascii="Times New Roman" w:hAnsi="Times New Roman" w:eastAsia="仿宋_GB2312" w:cs="Times New Roman"/>
          <w:spacing w:val="-6"/>
          <w:kern w:val="2"/>
          <w:sz w:val="32"/>
          <w:szCs w:val="32"/>
          <w:highlight w:val="none"/>
          <w:lang w:val="en-US" w:eastAsia="zh-CN" w:bidi="ar-SA"/>
        </w:rPr>
        <w:t>持续加强校外培训治理工作，</w:t>
      </w:r>
      <w:r>
        <w:rPr>
          <w:rFonts w:hint="default" w:ascii="Times New Roman" w:hAnsi="Times New Roman" w:eastAsia="仿宋_GB2312" w:cs="Times New Roman"/>
          <w:spacing w:val="-6"/>
          <w:sz w:val="32"/>
          <w:szCs w:val="32"/>
          <w:highlight w:val="none"/>
          <w:lang w:val="en-US" w:eastAsia="zh-CN" w:bidi="ar-SA"/>
        </w:rPr>
        <w:t>聚焦节假日、寒暑假等关键时段，开展“日查+夜查”“明查+暗访”，</w:t>
      </w:r>
      <w:r>
        <w:rPr>
          <w:rFonts w:hint="default" w:ascii="Times New Roman" w:hAnsi="Times New Roman" w:eastAsia="仿宋_GB2312" w:cs="Times New Roman"/>
          <w:spacing w:val="-6"/>
          <w:kern w:val="2"/>
          <w:sz w:val="32"/>
          <w:szCs w:val="32"/>
          <w:highlight w:val="none"/>
          <w:lang w:val="en-US" w:eastAsia="zh-CN" w:bidi="ar-SA"/>
        </w:rPr>
        <w:t>重点关注隐形变</w:t>
      </w:r>
      <w:r>
        <w:rPr>
          <w:rFonts w:hint="default" w:ascii="Times New Roman" w:hAnsi="Times New Roman" w:eastAsia="仿宋_GB2312" w:cs="Times New Roman"/>
          <w:spacing w:val="-6"/>
          <w:sz w:val="32"/>
          <w:szCs w:val="32"/>
          <w:highlight w:val="none"/>
          <w:lang w:val="en-US" w:eastAsia="zh-CN" w:bidi="ar-SA"/>
        </w:rPr>
        <w:t>异培训机构治理。全面防范学科类校外培训安全风险。</w:t>
      </w:r>
    </w:p>
    <w:p w14:paraId="1951FD3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default" w:ascii="Times New Roman" w:hAnsi="Times New Roman" w:eastAsia="国标黑体" w:cs="Times New Roman"/>
          <w:spacing w:val="-6"/>
          <w:sz w:val="32"/>
          <w:szCs w:val="32"/>
        </w:rPr>
      </w:pPr>
      <w:r>
        <w:rPr>
          <w:rFonts w:hint="default" w:ascii="Times New Roman" w:hAnsi="Times New Roman" w:eastAsia="国标黑体" w:cs="Times New Roman"/>
          <w:spacing w:val="-6"/>
          <w:sz w:val="32"/>
          <w:szCs w:val="32"/>
          <w:lang w:val="en-US" w:eastAsia="zh-CN"/>
        </w:rPr>
        <w:t>六、</w:t>
      </w:r>
      <w:r>
        <w:rPr>
          <w:rFonts w:hint="default" w:ascii="Times New Roman" w:hAnsi="Times New Roman" w:eastAsia="国标黑体" w:cs="Times New Roman"/>
          <w:spacing w:val="-6"/>
          <w:sz w:val="32"/>
          <w:szCs w:val="32"/>
        </w:rPr>
        <w:t>守牢底线强保障，平安校园护成长​</w:t>
      </w:r>
    </w:p>
    <w:p w14:paraId="45FD8AFC">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16" w:firstLineChars="200"/>
        <w:jc w:val="both"/>
        <w:textAlignment w:val="auto"/>
        <w:rPr>
          <w:rFonts w:hint="default" w:ascii="Times New Roman" w:hAnsi="Times New Roman" w:eastAsia="仿宋_GB2312" w:cs="Times New Roman"/>
          <w:color w:val="1E386B" w:themeColor="accent1" w:themeShade="80"/>
          <w:spacing w:val="-6"/>
          <w:sz w:val="32"/>
          <w:szCs w:val="32"/>
          <w:highlight w:val="yellow"/>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（一）加强校园安全稳定工作。</w:t>
      </w:r>
      <w:r>
        <w:rPr>
          <w:rFonts w:hint="default" w:ascii="Times New Roman" w:hAnsi="Times New Roman" w:eastAsia="仿宋_GB2312" w:cs="Times New Roman"/>
          <w:spacing w:val="-6"/>
          <w:sz w:val="32"/>
          <w:szCs w:val="32"/>
        </w:rPr>
        <w:t>推进校园安全“六化”共同体建设，构建全域均衡安全防护</w:t>
      </w:r>
      <w:r>
        <w:rPr>
          <w:rFonts w:hint="default" w:ascii="Times New Roman" w:hAnsi="Times New Roman" w:eastAsia="仿宋_GB2312" w:cs="Times New Roman"/>
          <w:color w:val="000000" w:themeColor="text1"/>
          <w:spacing w:val="-6"/>
          <w:sz w:val="32"/>
          <w:szCs w:val="32"/>
          <w14:textFill>
            <w14:solidFill>
              <w14:schemeClr w14:val="tx1"/>
            </w14:solidFill>
          </w14:textFill>
        </w:rPr>
        <w:t>体系。</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常态化推进</w:t>
      </w:r>
      <w:r>
        <w:rPr>
          <w:rFonts w:hint="default" w:ascii="Times New Roman" w:hAnsi="Times New Roman" w:eastAsia="仿宋_GB2312" w:cs="Times New Roman"/>
          <w:color w:val="000000" w:themeColor="text1"/>
          <w:spacing w:val="-6"/>
          <w:sz w:val="32"/>
          <w:szCs w:val="32"/>
          <w14:textFill>
            <w14:solidFill>
              <w14:schemeClr w14:val="tx1"/>
            </w14:solidFill>
          </w14:textFill>
        </w:rPr>
        <w:t>校园安全稳定工作月调度制度</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严格落实校园安全巡查制度，组建由校领导、中层干部、班主任等共同参与的实体化安全巡查小组，</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聚焦校舍、消防、食品安全等关键领域常态化开展隐患排查，实现校园安全隐患动态清零。强化与公安、消防、城管等部门协同联动，整治校园周边治安乱点与交通、消防隐患，常态化排查涉校涉生矛盾纠纷与重点人员，及时化解各类风险。持续推进三级智慧安防校园创建，完善“硬件扩容+平台纳管+智能升级”功能，构筑智能化校园风险防控体系。深化“1530”安全教育机制，推进中小学安全实践基地建设，开展安全生产月及专题教育活动，有效提升师生安全素养。</w:t>
      </w:r>
    </w:p>
    <w:p w14:paraId="65A1CE8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（二）强化应急处置综合效能。</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健全风险防控长效机制，提升信访办理质效，强化舆情监测与应对，深化矛盾纠纷多元化解。全面落实校园安全风险分级分类管控和隐患排查治理双重预防机制。指导各校完善实操性应急预案，常态化开展实战型应急疏散演练，强化校园应急“最小作战单元”协同处置效能，健全复盘优化机制，提升师生应急避险和自救互救能力。加强应急队伍、物资保障建设，强化24小时应急值守，畅通信息报送渠道，确保风险早发现、早处置。</w:t>
      </w:r>
    </w:p>
    <w:p w14:paraId="0CCE6012">
      <w:pPr>
        <w:keepNext w:val="0"/>
        <w:keepLines w:val="0"/>
        <w:pageBreakBefore w:val="0"/>
        <w:widowControl w:val="0"/>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（三）加速健全教育保障体系。</w:t>
      </w:r>
      <w:r>
        <w:rPr>
          <w:rFonts w:hint="default" w:ascii="Times New Roman" w:hAnsi="Times New Roman" w:eastAsia="仿宋_GB2312" w:cs="Times New Roman"/>
          <w:b w:val="0"/>
          <w:bCs w:val="0"/>
          <w:color w:val="auto"/>
          <w:spacing w:val="-6"/>
          <w:sz w:val="32"/>
          <w:szCs w:val="32"/>
          <w:lang w:val="en-US" w:eastAsia="zh-CN"/>
        </w:rPr>
        <w:t>加强预算项目、政府采购业务统筹以及项目绩效管理，提升财务管理水平。</w:t>
      </w:r>
      <w:r>
        <w:rPr>
          <w:rFonts w:hint="default" w:ascii="Times New Roman" w:hAnsi="Times New Roman" w:eastAsia="仿宋_GB2312" w:cs="Times New Roman"/>
          <w:color w:val="auto"/>
          <w:spacing w:val="-6"/>
          <w:sz w:val="32"/>
          <w:szCs w:val="32"/>
          <w:highlight w:val="none"/>
          <w:lang w:eastAsia="zh-CN"/>
        </w:rPr>
        <w:t>精准聚焦项目重点，加大审计监督力度，</w:t>
      </w:r>
      <w:r>
        <w:rPr>
          <w:rFonts w:hint="default" w:ascii="Times New Roman" w:hAnsi="Times New Roman" w:eastAsia="仿宋_GB2312" w:cs="Times New Roman"/>
          <w:color w:val="auto"/>
          <w:spacing w:val="-6"/>
          <w:sz w:val="32"/>
          <w:szCs w:val="32"/>
          <w:highlight w:val="none"/>
          <w:lang w:val="en-US" w:eastAsia="zh-CN"/>
        </w:rPr>
        <w:t>推动教育系统内审工作提质增效。</w:t>
      </w:r>
      <w:r>
        <w:rPr>
          <w:rFonts w:hint="default" w:ascii="Times New Roman" w:hAnsi="Times New Roman" w:eastAsia="仿宋_GB2312" w:cs="Times New Roman"/>
          <w:color w:val="auto"/>
          <w:spacing w:val="-6"/>
          <w:kern w:val="0"/>
          <w:sz w:val="32"/>
          <w:szCs w:val="32"/>
          <w:lang w:val="en-US" w:eastAsia="zh-CN"/>
        </w:rPr>
        <w:t>以“法润成长·放飞梦想”普法宣传特色品牌建设为抓手，构建多元法治教育体系，持续提升青少年法治教育质效。</w:t>
      </w:r>
      <w:r>
        <w:rPr>
          <w:rFonts w:hint="default" w:ascii="Times New Roman" w:hAnsi="Times New Roman" w:eastAsia="仿宋_GB2312" w:cs="Times New Roman"/>
          <w:b w:val="0"/>
          <w:bCs w:val="0"/>
          <w:color w:val="auto"/>
          <w:spacing w:val="-6"/>
          <w:sz w:val="32"/>
          <w:szCs w:val="32"/>
          <w:lang w:val="en-US" w:eastAsia="zh-CN"/>
        </w:rPr>
        <w:t>深入实施青少年学生读书行动，推进书香校园建设，</w:t>
      </w:r>
      <w:r>
        <w:rPr>
          <w:rFonts w:hint="default" w:ascii="Times New Roman" w:hAnsi="Times New Roman" w:eastAsia="仿宋_GB2312" w:cs="Times New Roman"/>
          <w:b w:val="0"/>
          <w:bCs w:val="0"/>
          <w:spacing w:val="-6"/>
          <w:kern w:val="2"/>
          <w:sz w:val="32"/>
          <w:szCs w:val="32"/>
          <w:lang w:val="en-US" w:eastAsia="zh-CN" w:bidi="ar-SA"/>
        </w:rPr>
        <w:t>做好语言文字高质量推广普及工作。统筹推进标准化考点升级改造，</w:t>
      </w:r>
      <w:r>
        <w:rPr>
          <w:rFonts w:hint="default" w:ascii="Times New Roman" w:hAnsi="Times New Roman" w:eastAsia="仿宋_GB2312" w:cs="Times New Roman"/>
          <w:color w:val="auto"/>
          <w:spacing w:val="-6"/>
          <w:kern w:val="0"/>
          <w:sz w:val="32"/>
          <w:szCs w:val="32"/>
        </w:rPr>
        <w:t>修订印发《太仓市招生考试管理指南》</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rPr>
        <w:t>加强招考专业指导，优化招考服务保障</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b w:val="0"/>
          <w:bCs w:val="0"/>
          <w:color w:val="auto"/>
          <w:spacing w:val="-6"/>
          <w:sz w:val="32"/>
          <w:szCs w:val="32"/>
          <w:lang w:val="en-US" w:eastAsia="zh-CN"/>
        </w:rPr>
        <w:t>强化保障型资助工作稳步发展，精准认定孤困学生，进一步推进孤困学生关爱行动。筹划太仓市生源地信用助学贷款规范制度，帮扶家庭经济困难大学生解决就学资金压力。做好民办学校规范管理与风险防控，稳妥推进民办幼儿园结构优化。</w:t>
      </w:r>
    </w:p>
    <w:sectPr>
      <w:footerReference r:id="rId3" w:type="default"/>
      <w:pgSz w:w="11906" w:h="16838"/>
      <w:pgMar w:top="2041" w:right="1474" w:bottom="1928" w:left="147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94720FA-D69B-41D5-829A-1597667167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D77E991-4926-4883-B1D8-C6594CD3B222}"/>
  </w:font>
  <w:font w:name="国标黑体">
    <w:altName w:val="黑体"/>
    <w:panose1 w:val="02000500000000000000"/>
    <w:charset w:val="86"/>
    <w:family w:val="auto"/>
    <w:pitch w:val="default"/>
    <w:sig w:usb0="00000000" w:usb1="00000000" w:usb2="00000000" w:usb3="00000000" w:csb0="00040000" w:csb1="00000000"/>
    <w:embedRegular r:id="rId3" w:fontKey="{F49FCAD7-6C58-490C-8322-9B1585C27E08}"/>
  </w:font>
  <w:font w:name="楷体_GB2312">
    <w:panose1 w:val="02010609030101010101"/>
    <w:charset w:val="86"/>
    <w:family w:val="auto"/>
    <w:pitch w:val="default"/>
    <w:sig w:usb0="00000001" w:usb1="080E0000" w:usb2="00000000" w:usb3="00000000" w:csb0="00040000" w:csb1="00000000"/>
    <w:embedRegular r:id="rId4" w:fontKey="{7E79063B-8465-4295-916B-70085358F249}"/>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D51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FA19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7FA1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7A0A4"/>
    <w:rsid w:val="070832A5"/>
    <w:rsid w:val="0A8B32F9"/>
    <w:rsid w:val="0DFFF640"/>
    <w:rsid w:val="0FA23346"/>
    <w:rsid w:val="0FBF3C73"/>
    <w:rsid w:val="109531FC"/>
    <w:rsid w:val="11CA3714"/>
    <w:rsid w:val="16747190"/>
    <w:rsid w:val="1A6EDEC1"/>
    <w:rsid w:val="1BB61DC6"/>
    <w:rsid w:val="1FD34F89"/>
    <w:rsid w:val="2CE71D99"/>
    <w:rsid w:val="2F1E133F"/>
    <w:rsid w:val="2F327C83"/>
    <w:rsid w:val="2FF508EF"/>
    <w:rsid w:val="36AB7B1C"/>
    <w:rsid w:val="3A26A3B2"/>
    <w:rsid w:val="3BAFD4F2"/>
    <w:rsid w:val="3BED3BB9"/>
    <w:rsid w:val="3DC78967"/>
    <w:rsid w:val="3DFB7EDB"/>
    <w:rsid w:val="3DFEC845"/>
    <w:rsid w:val="3FEF3A27"/>
    <w:rsid w:val="3FF562B2"/>
    <w:rsid w:val="3FFB1DD6"/>
    <w:rsid w:val="46761C22"/>
    <w:rsid w:val="48FD76EC"/>
    <w:rsid w:val="4F5E91D1"/>
    <w:rsid w:val="53D3936A"/>
    <w:rsid w:val="55543934"/>
    <w:rsid w:val="55AFF14F"/>
    <w:rsid w:val="5693525B"/>
    <w:rsid w:val="569F559B"/>
    <w:rsid w:val="56B3134B"/>
    <w:rsid w:val="58F426AE"/>
    <w:rsid w:val="5A3CF1E6"/>
    <w:rsid w:val="5ACF600E"/>
    <w:rsid w:val="5BC70561"/>
    <w:rsid w:val="5F1DBDEB"/>
    <w:rsid w:val="5F3778B4"/>
    <w:rsid w:val="5F77A0A4"/>
    <w:rsid w:val="5FA56CC4"/>
    <w:rsid w:val="5FBEB3C7"/>
    <w:rsid w:val="5FDC560A"/>
    <w:rsid w:val="5FEC6E23"/>
    <w:rsid w:val="5FEFC200"/>
    <w:rsid w:val="5FFBD958"/>
    <w:rsid w:val="5FFF6837"/>
    <w:rsid w:val="61FA84A3"/>
    <w:rsid w:val="637567BF"/>
    <w:rsid w:val="674C2E98"/>
    <w:rsid w:val="6A9040D6"/>
    <w:rsid w:val="6B7ECA6A"/>
    <w:rsid w:val="6BA823C0"/>
    <w:rsid w:val="6EFB0932"/>
    <w:rsid w:val="6F662503"/>
    <w:rsid w:val="6FFB3B3F"/>
    <w:rsid w:val="753E6C48"/>
    <w:rsid w:val="75AE1B75"/>
    <w:rsid w:val="75DFBA89"/>
    <w:rsid w:val="76C325CC"/>
    <w:rsid w:val="76D7BA1D"/>
    <w:rsid w:val="76F52DD6"/>
    <w:rsid w:val="76FD63C8"/>
    <w:rsid w:val="77EF569C"/>
    <w:rsid w:val="7A5F2EF1"/>
    <w:rsid w:val="7AFB2918"/>
    <w:rsid w:val="7B5DCAF5"/>
    <w:rsid w:val="7BF592FC"/>
    <w:rsid w:val="7D772E15"/>
    <w:rsid w:val="7D7EDE13"/>
    <w:rsid w:val="7DB731FE"/>
    <w:rsid w:val="7DEF9CE8"/>
    <w:rsid w:val="7DFF8C1A"/>
    <w:rsid w:val="7EFBDDE9"/>
    <w:rsid w:val="7F0D60D9"/>
    <w:rsid w:val="7F436422"/>
    <w:rsid w:val="7F7FC4E6"/>
    <w:rsid w:val="7FAFABDB"/>
    <w:rsid w:val="7FDF831F"/>
    <w:rsid w:val="7FDFC91D"/>
    <w:rsid w:val="7FEC0E8A"/>
    <w:rsid w:val="7FFFDC1B"/>
    <w:rsid w:val="8BAE8FEF"/>
    <w:rsid w:val="8EDE8EC1"/>
    <w:rsid w:val="93FBBD37"/>
    <w:rsid w:val="93FC1E91"/>
    <w:rsid w:val="97AD03C6"/>
    <w:rsid w:val="97DF99C8"/>
    <w:rsid w:val="97FF02F5"/>
    <w:rsid w:val="994F3A23"/>
    <w:rsid w:val="9DFE591A"/>
    <w:rsid w:val="AFDF9272"/>
    <w:rsid w:val="B7BB2EBE"/>
    <w:rsid w:val="B7DD7903"/>
    <w:rsid w:val="BAED6D12"/>
    <w:rsid w:val="BBFFFF09"/>
    <w:rsid w:val="BD7F0726"/>
    <w:rsid w:val="BDF498A3"/>
    <w:rsid w:val="BF6F3726"/>
    <w:rsid w:val="BFDF628E"/>
    <w:rsid w:val="CFFFB924"/>
    <w:rsid w:val="D3F72093"/>
    <w:rsid w:val="D77E85BA"/>
    <w:rsid w:val="D7CD2BCB"/>
    <w:rsid w:val="D9F7388F"/>
    <w:rsid w:val="DB5B56D0"/>
    <w:rsid w:val="DBDF6177"/>
    <w:rsid w:val="DBDFF54A"/>
    <w:rsid w:val="DF4715C1"/>
    <w:rsid w:val="E3FFDE69"/>
    <w:rsid w:val="E57F4690"/>
    <w:rsid w:val="E5DC7FF9"/>
    <w:rsid w:val="EAEF0670"/>
    <w:rsid w:val="EBFD27E6"/>
    <w:rsid w:val="EF7D0A27"/>
    <w:rsid w:val="F1FEA5E6"/>
    <w:rsid w:val="F39BD977"/>
    <w:rsid w:val="F3B343A9"/>
    <w:rsid w:val="F3FF9EC6"/>
    <w:rsid w:val="F56420D0"/>
    <w:rsid w:val="F65D619D"/>
    <w:rsid w:val="F73E6FE1"/>
    <w:rsid w:val="F7FA4F9B"/>
    <w:rsid w:val="F7FDD370"/>
    <w:rsid w:val="FBEDBB79"/>
    <w:rsid w:val="FBFF5098"/>
    <w:rsid w:val="FCBB7AC2"/>
    <w:rsid w:val="FDFBC8B5"/>
    <w:rsid w:val="FE7782E5"/>
    <w:rsid w:val="FF39E98B"/>
    <w:rsid w:val="FF3E3E5B"/>
    <w:rsid w:val="FF97A0F6"/>
    <w:rsid w:val="FFBF4B09"/>
    <w:rsid w:val="FFCBF6A6"/>
    <w:rsid w:val="FFDF5BB8"/>
    <w:rsid w:val="FFFB4521"/>
    <w:rsid w:val="FFFB699D"/>
    <w:rsid w:val="FFFEFA02"/>
    <w:rsid w:val="FFFFF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4">
    <w:name w:val="Body Text"/>
    <w:basedOn w:val="1"/>
    <w:qFormat/>
    <w:uiPriority w:val="0"/>
    <w:pPr>
      <w:spacing w:after="120" w:line="36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9e560d1a-f55c-4c5c-9dc3-fd34fb5eb8f7</errorID>
      <errorWord xmlns="http://schemas.wps.cn/vas-ai-hub/contract-review">之年</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的一年</item>
      </candidateList>
      <explain xmlns="http://schemas.wps.cn/vas-ai-hub/contract-review"/>
      <paraID xmlns="http://schemas.wps.cn/vas-ai-hub/contract-review">3A1C827D</paraID>
      <start xmlns="http://schemas.wps.cn/vas-ai-hub/contract-review">39</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9b76ce42-56ee-4d87-8088-06522d50aa52</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的决定性意义，</item>
      </candidateList>
      <explain xmlns="http://schemas.wps.cn/vas-ai-hub/contract-review"/>
      <paraID xmlns="http://schemas.wps.cn/vas-ai-hub/contract-review">382D888E</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bf551ad3-097b-4e95-a642-f33cb7927e99</errorID>
      <errorWord xmlns="http://schemas.wps.cn/vas-ai-hub/contract-review">专题教育活动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专题教育</item>
      </candidateList>
      <explain xmlns="http://schemas.wps.cn/vas-ai-hub/contract-review"/>
      <paraID xmlns="http://schemas.wps.cn/vas-ai-hub/contract-review">45FD8AFC</paraID>
      <start xmlns="http://schemas.wps.cn/vas-ai-hub/contract-review">236</start>
      <end xmlns="http://schemas.wps.cn/vas-ai-hub/contract-review">242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a7091-e4a0-41c3-97b5-8a849b04ffe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5306</Words>
  <Characters>5348</Characters>
  <Lines>0</Lines>
  <Paragraphs>0</Paragraphs>
  <TotalTime>0</TotalTime>
  <ScaleCrop>false</ScaleCrop>
  <LinksUpToDate>false</LinksUpToDate>
  <CharactersWithSpaces>5348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2025-12-23T17:22:00Z</dcterms:created>
  <dc:creator>user</dc:creator>
  <cp:lastModifiedBy>Administrator</cp:lastModifiedBy>
  <cp:lastPrinted>2026-02-24T05:52:00Z</cp:lastPrinted>
  <dcterms:modified xsi:type="dcterms:W3CDTF">2026-02-24T06:42:27Z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D2AFAA5237141F93D6788969C0930611_43</vt:lpwstr>
  </property>
  <property fmtid="{D5CDD505-2E9C-101B-9397-08002B2CF9AE}" pid="4" name="KSOTemplateDocerSaveRecord">
    <vt:lpwstr>eyJoZGlkIjoiYjk5ODM0YmMxOWJiYWQyNDU4MGIzYWRmYTA0ZmI5NDciLCJ1c2VySWQiOiIzNDYwMDI5NjEifQ==</vt:lpwstr>
  </property>
</Properties>
</file>