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太仓市市场监督管理局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2023</w:t>
      </w:r>
      <w:r>
        <w:rPr>
          <w:rFonts w:hint="eastAsia" w:ascii="方正小标宋简体" w:hAnsi="方正小标宋简体" w:eastAsia="方正小标宋简体" w:cs="方正小标宋简体"/>
          <w:b w:val="0"/>
          <w:bCs/>
          <w:color w:val="000000"/>
          <w:sz w:val="44"/>
          <w:szCs w:val="44"/>
        </w:rPr>
        <w:t>年度政务公开工作总结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年，太仓市市场监督管理局认真落实市政府关于政务公开工作的工作部署，严格按照《中华人民共和国政府信息公开条例》</w:t>
      </w:r>
      <w:r>
        <w:rPr>
          <w:rFonts w:hint="default" w:ascii="Times New Roman" w:hAnsi="Times New Roman" w:eastAsia="仿宋_GB2312" w:cs="Times New Roman"/>
          <w:sz w:val="32"/>
          <w:szCs w:val="32"/>
          <w:lang w:val="en-US" w:eastAsia="zh-CN"/>
        </w:rPr>
        <w:t>相关要求，</w:t>
      </w:r>
      <w:r>
        <w:rPr>
          <w:rFonts w:hint="default" w:ascii="Times New Roman" w:hAnsi="Times New Roman" w:eastAsia="仿宋_GB2312" w:cs="Times New Roman"/>
          <w:sz w:val="32"/>
          <w:szCs w:val="32"/>
        </w:rPr>
        <w:t>坚持以行政权力公开透明运行为核心，以“公开为常态，不公开为例外”为原则，</w:t>
      </w:r>
      <w:r>
        <w:rPr>
          <w:rFonts w:hint="eastAsia" w:eastAsia="仿宋_GB2312" w:cs="Times New Roman"/>
          <w:sz w:val="32"/>
          <w:szCs w:val="32"/>
          <w:lang w:val="en-US" w:eastAsia="zh-CN"/>
        </w:rPr>
        <w:t>高效</w:t>
      </w:r>
      <w:r>
        <w:rPr>
          <w:rFonts w:hint="default" w:ascii="Times New Roman" w:hAnsi="Times New Roman" w:eastAsia="仿宋_GB2312" w:cs="Times New Roman"/>
          <w:sz w:val="32"/>
          <w:szCs w:val="32"/>
        </w:rPr>
        <w:t>开展政务公开工作，完成了政府公开各项工作</w:t>
      </w:r>
      <w:r>
        <w:rPr>
          <w:rFonts w:hint="eastAsia" w:eastAsia="仿宋_GB2312" w:cs="Times New Roman"/>
          <w:sz w:val="32"/>
          <w:szCs w:val="32"/>
          <w:lang w:eastAsia="zh-CN"/>
        </w:rPr>
        <w:t>。本年报所列数据的统计期限自2023年1月1日起至2023年12月31日止。如对年报有任何疑问，请联系</w:t>
      </w:r>
      <w:r>
        <w:rPr>
          <w:rFonts w:hint="eastAsia" w:eastAsia="仿宋_GB2312" w:cs="Times New Roman"/>
          <w:sz w:val="32"/>
          <w:szCs w:val="32"/>
          <w:lang w:val="en-US" w:eastAsia="zh-CN"/>
        </w:rPr>
        <w:t>市市场监管局办公室</w:t>
      </w:r>
      <w:r>
        <w:rPr>
          <w:rFonts w:hint="eastAsia" w:eastAsia="仿宋_GB2312" w:cs="Times New Roman"/>
          <w:sz w:val="32"/>
          <w:szCs w:val="32"/>
          <w:lang w:eastAsia="zh-CN"/>
        </w:rPr>
        <w:t>（联系地址：</w:t>
      </w:r>
      <w:r>
        <w:rPr>
          <w:rFonts w:hint="eastAsia" w:eastAsia="仿宋_GB2312" w:cs="Times New Roman"/>
          <w:sz w:val="32"/>
          <w:szCs w:val="32"/>
          <w:lang w:val="en-US" w:eastAsia="zh-CN"/>
        </w:rPr>
        <w:t>太仓市东亭南路55号</w:t>
      </w:r>
      <w:r>
        <w:rPr>
          <w:rFonts w:hint="eastAsia" w:eastAsia="仿宋_GB2312" w:cs="Times New Roman"/>
          <w:sz w:val="32"/>
          <w:szCs w:val="32"/>
          <w:lang w:eastAsia="zh-CN"/>
        </w:rPr>
        <w:t>；联系电话：</w:t>
      </w:r>
      <w:r>
        <w:rPr>
          <w:rFonts w:hint="eastAsia" w:eastAsia="仿宋_GB2312" w:cs="Times New Roman"/>
          <w:sz w:val="32"/>
          <w:szCs w:val="32"/>
          <w:lang w:val="en-US" w:eastAsia="zh-CN"/>
        </w:rPr>
        <w:t>53527924</w:t>
      </w:r>
      <w:r>
        <w:rPr>
          <w:rFonts w:hint="eastAsia" w:eastAsia="仿宋_GB2312"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一、整体情况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为确保政府信息公开工作的顺利实施和工作任务的圆满完成，</w:t>
      </w:r>
      <w:r>
        <w:rPr>
          <w:rFonts w:hint="eastAsia" w:eastAsia="仿宋_GB2312" w:cs="Times New Roman"/>
          <w:sz w:val="32"/>
          <w:szCs w:val="32"/>
          <w:lang w:val="en-US" w:eastAsia="zh-CN"/>
        </w:rPr>
        <w:t>市市场监管局完善优化工作机制，由</w:t>
      </w:r>
      <w:r>
        <w:rPr>
          <w:rFonts w:hint="default" w:ascii="Times New Roman" w:hAnsi="Times New Roman" w:eastAsia="仿宋_GB2312" w:cs="Times New Roman"/>
          <w:sz w:val="32"/>
          <w:szCs w:val="32"/>
          <w:lang w:val="en-US" w:eastAsia="zh-CN"/>
        </w:rPr>
        <w:t>办公室总牵头协调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专人负责具体落实，各</w:t>
      </w:r>
      <w:r>
        <w:rPr>
          <w:rFonts w:hint="eastAsia" w:eastAsia="仿宋_GB2312" w:cs="Times New Roman"/>
          <w:sz w:val="32"/>
          <w:szCs w:val="32"/>
          <w:lang w:val="en-US" w:eastAsia="zh-CN"/>
        </w:rPr>
        <w:t>科室、分局积极</w:t>
      </w:r>
      <w:r>
        <w:rPr>
          <w:rFonts w:hint="default" w:ascii="Times New Roman" w:hAnsi="Times New Roman" w:eastAsia="仿宋_GB2312" w:cs="Times New Roman"/>
          <w:sz w:val="32"/>
          <w:szCs w:val="32"/>
          <w:lang w:val="en-US" w:eastAsia="zh-CN"/>
        </w:rPr>
        <w:t>配合。组织认真学习</w:t>
      </w:r>
      <w:r>
        <w:rPr>
          <w:rFonts w:hint="default" w:ascii="Times New Roman" w:hAnsi="Times New Roman" w:eastAsia="仿宋_GB2312" w:cs="Times New Roman"/>
          <w:sz w:val="32"/>
          <w:szCs w:val="32"/>
        </w:rPr>
        <w:t>《政府信息公开条例》</w:t>
      </w:r>
      <w:r>
        <w:rPr>
          <w:rFonts w:hint="eastAsia" w:eastAsia="仿宋_GB2312" w:cs="Times New Roman"/>
          <w:sz w:val="32"/>
          <w:szCs w:val="32"/>
          <w:lang w:val="en-US" w:eastAsia="zh-CN"/>
        </w:rPr>
        <w:t>以及新修订的</w:t>
      </w:r>
      <w:r>
        <w:rPr>
          <w:rFonts w:hint="eastAsia" w:eastAsia="仿宋_GB2312" w:cs="Times New Roman"/>
          <w:sz w:val="32"/>
          <w:szCs w:val="32"/>
          <w:lang w:eastAsia="zh-CN"/>
        </w:rPr>
        <w:t>《</w:t>
      </w:r>
      <w:r>
        <w:rPr>
          <w:rFonts w:hint="eastAsia" w:eastAsia="仿宋_GB2312" w:cs="Times New Roman"/>
          <w:sz w:val="32"/>
          <w:szCs w:val="32"/>
          <w:lang w:val="en-US" w:eastAsia="zh-CN"/>
        </w:rPr>
        <w:t>行政复议法</w:t>
      </w:r>
      <w:r>
        <w:rPr>
          <w:rFonts w:hint="eastAsia" w:eastAsia="仿宋_GB2312" w:cs="Times New Roman"/>
          <w:sz w:val="32"/>
          <w:szCs w:val="32"/>
          <w:lang w:eastAsia="zh-CN"/>
        </w:rPr>
        <w:t>》</w:t>
      </w:r>
      <w:r>
        <w:rPr>
          <w:rFonts w:hint="eastAsia" w:eastAsia="仿宋_GB2312" w:cs="Times New Roman"/>
          <w:sz w:val="32"/>
          <w:szCs w:val="32"/>
          <w:lang w:val="en-US" w:eastAsia="zh-CN"/>
        </w:rPr>
        <w:t>中关于政府信息公开相关法律条款</w:t>
      </w:r>
      <w:r>
        <w:rPr>
          <w:rFonts w:hint="default" w:ascii="Times New Roman" w:hAnsi="Times New Roman" w:eastAsia="仿宋_GB2312" w:cs="Times New Roman"/>
          <w:sz w:val="32"/>
          <w:szCs w:val="32"/>
          <w:lang w:val="en-US" w:eastAsia="zh-CN"/>
        </w:rPr>
        <w:t>，满足公众对政府信息的需求，不断促进信息公开工作制度化、规范化发展。同时，利用政府门户网站公开政府信息，落实专人定期发布和更新信息，重点公开工作动态等群众普遍关心、社会普遍关注内容，切实保障了公众的知情权、参与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本局</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年度主动公开政府信息</w:t>
      </w:r>
      <w:r>
        <w:rPr>
          <w:rFonts w:hint="eastAsia" w:eastAsia="仿宋_GB2312" w:cs="Times New Roman"/>
          <w:sz w:val="32"/>
          <w:szCs w:val="32"/>
          <w:lang w:val="en-US" w:eastAsia="zh-CN"/>
        </w:rPr>
        <w:t>19257</w:t>
      </w:r>
      <w:r>
        <w:rPr>
          <w:rFonts w:hint="default" w:ascii="Times New Roman" w:hAnsi="Times New Roman" w:eastAsia="仿宋_GB2312" w:cs="Times New Roman"/>
          <w:sz w:val="32"/>
          <w:szCs w:val="32"/>
        </w:rPr>
        <w:t>条，100%全文电子化。公开信息主要类别：行政许可18282条，行政处罚971条，政府集中采购</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年，本局通过太仓门户管理平台公开政府信息</w:t>
      </w:r>
      <w:r>
        <w:rPr>
          <w:rFonts w:hint="eastAsia" w:eastAsia="仿宋_GB2312" w:cs="Times New Roman"/>
          <w:sz w:val="32"/>
          <w:szCs w:val="32"/>
          <w:lang w:val="en-US" w:eastAsia="zh-CN"/>
        </w:rPr>
        <w:t>176</w:t>
      </w:r>
      <w:r>
        <w:rPr>
          <w:rFonts w:hint="default" w:ascii="Times New Roman" w:hAnsi="Times New Roman" w:eastAsia="仿宋_GB2312" w:cs="Times New Roman"/>
          <w:sz w:val="32"/>
          <w:szCs w:val="32"/>
        </w:rPr>
        <w:t>条，涉及食品安全红黑榜、食品药品监管、知识产权、价格收费、政府信息公开指南、政府信息公开制度、政府信息公开年报、法律法规等方面等多个方面。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，本局通过微信公众号“太仓市场监管”共发布政府信息</w:t>
      </w:r>
      <w:r>
        <w:rPr>
          <w:rFonts w:hint="eastAsia" w:eastAsia="仿宋_GB2312" w:cs="Times New Roman"/>
          <w:sz w:val="32"/>
          <w:szCs w:val="32"/>
          <w:lang w:val="en-US" w:eastAsia="zh-CN"/>
        </w:rPr>
        <w:t>429</w:t>
      </w:r>
      <w:r>
        <w:rPr>
          <w:rFonts w:hint="default" w:ascii="Times New Roman" w:hAnsi="Times New Roman" w:eastAsia="仿宋_GB2312" w:cs="Times New Roman"/>
          <w:sz w:val="32"/>
          <w:szCs w:val="32"/>
        </w:rPr>
        <w:t>条，涉及企业年报制度、食品安全公示、日常工作等多个方面。</w:t>
      </w:r>
      <w:r>
        <w:rPr>
          <w:rFonts w:hint="default" w:ascii="Times New Roman" w:hAnsi="Times New Roman" w:eastAsia="仿宋_GB2312" w:cs="Times New Roman"/>
          <w:kern w:val="0"/>
          <w:sz w:val="32"/>
          <w:szCs w:val="32"/>
        </w:rPr>
        <w:t>通过报刊、电视、广播等媒体公开政府信息</w:t>
      </w:r>
      <w:r>
        <w:rPr>
          <w:rFonts w:hint="eastAsia" w:eastAsia="仿宋_GB2312" w:cs="Times New Roman"/>
          <w:kern w:val="0"/>
          <w:sz w:val="32"/>
          <w:szCs w:val="32"/>
          <w:lang w:val="en-US" w:eastAsia="zh-CN"/>
        </w:rPr>
        <w:t>1000余</w:t>
      </w:r>
      <w:r>
        <w:rPr>
          <w:rFonts w:hint="default" w:ascii="Times New Roman" w:hAnsi="Times New Roman" w:eastAsia="仿宋_GB2312" w:cs="Times New Roman"/>
          <w:kern w:val="0"/>
          <w:sz w:val="32"/>
          <w:szCs w:val="32"/>
        </w:rPr>
        <w:t>条，主要为企业年报制度、信用信息公示平台、政策解读方面信息。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依申请公开办理情况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年度本局收到申请数共计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件，全部按时办结。其中予以公开</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件，部分公开</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件，</w:t>
      </w:r>
      <w:r>
        <w:rPr>
          <w:rFonts w:hint="eastAsia" w:eastAsia="仿宋_GB2312" w:cs="Times New Roman"/>
          <w:sz w:val="32"/>
          <w:szCs w:val="32"/>
          <w:lang w:val="en-US" w:eastAsia="zh-CN"/>
        </w:rPr>
        <w:t>不予公开2件，无法提供</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件，均已在规定时间内书面告知申请人</w:t>
      </w:r>
      <w:r>
        <w:rPr>
          <w:rFonts w:hint="eastAsia" w:eastAsia="仿宋_GB2312" w:cs="Times New Roman"/>
          <w:sz w:val="32"/>
          <w:szCs w:val="32"/>
          <w:lang w:val="en-US" w:eastAsia="zh-CN"/>
        </w:rPr>
        <w:t>答复及</w:t>
      </w:r>
      <w:r>
        <w:rPr>
          <w:rFonts w:hint="default" w:ascii="Times New Roman" w:hAnsi="Times New Roman" w:eastAsia="仿宋_GB2312" w:cs="Times New Roman"/>
          <w:sz w:val="32"/>
          <w:szCs w:val="32"/>
        </w:rPr>
        <w:t>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政府信息公开工作被申请行政复议、提起行政诉讼情况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年度无</w:t>
      </w:r>
      <w:r>
        <w:rPr>
          <w:rFonts w:hint="default" w:ascii="Times New Roman" w:hAnsi="Times New Roman" w:eastAsia="仿宋_GB2312" w:cs="Times New Roman"/>
          <w:sz w:val="32"/>
          <w:szCs w:val="32"/>
        </w:rPr>
        <w:t>政府信息公开工作被申请行政复议、提起行政诉讼情况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五、工作存在的主要问题及改进情况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本局在深化政府信息公开内容、加强政府信息公开基础性工作等方面取得一定成效，但</w:t>
      </w:r>
      <w:r>
        <w:rPr>
          <w:rFonts w:hint="default" w:ascii="Times New Roman" w:hAnsi="Times New Roman" w:eastAsia="仿宋_GB2312" w:cs="Times New Roman"/>
          <w:sz w:val="32"/>
          <w:szCs w:val="32"/>
          <w:lang w:val="en-US" w:eastAsia="zh-CN"/>
        </w:rPr>
        <w:t>还存在一些不足：一是政务公开制度体系有待进一步完善；二是政务公开标准化规范化建设有待进一步加强；三是政务公开队伍专业化水平有待进一步提高。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w:t>
      </w:r>
      <w:r>
        <w:rPr>
          <w:rFonts w:hint="eastAsia" w:eastAsia="仿宋_GB2312" w:cs="Times New Roman"/>
          <w:sz w:val="32"/>
          <w:szCs w:val="32"/>
          <w:lang w:val="en-US" w:eastAsia="zh-CN"/>
        </w:rPr>
        <w:t>市市场监管局</w:t>
      </w:r>
      <w:r>
        <w:rPr>
          <w:rFonts w:hint="default" w:ascii="Times New Roman" w:hAnsi="Times New Roman" w:eastAsia="仿宋_GB2312" w:cs="Times New Roman"/>
          <w:sz w:val="32"/>
          <w:szCs w:val="32"/>
          <w:lang w:val="en-US" w:eastAsia="zh-CN"/>
        </w:rPr>
        <w:t>将以习近平新时代中国特色社会主义思想为指导，立足新发展阶段，贯彻新发展理念，构建新发展格局，不断推动政务公开工作迈上新台阶。</w:t>
      </w:r>
      <w:r>
        <w:rPr>
          <w:rFonts w:hint="default" w:ascii="Times New Roman" w:hAnsi="Times New Roman" w:eastAsia="仿宋_GB2312" w:cs="Times New Roman"/>
          <w:b/>
          <w:bCs/>
          <w:sz w:val="32"/>
          <w:szCs w:val="32"/>
          <w:lang w:val="en-US" w:eastAsia="zh-CN"/>
        </w:rPr>
        <w:t>一是聚焦发展大局，拓展政务公开广度深度。</w:t>
      </w:r>
      <w:r>
        <w:rPr>
          <w:rFonts w:hint="default" w:ascii="Times New Roman" w:hAnsi="Times New Roman" w:eastAsia="仿宋_GB2312" w:cs="Times New Roman"/>
          <w:sz w:val="32"/>
          <w:szCs w:val="32"/>
          <w:lang w:val="en-US" w:eastAsia="zh-CN"/>
        </w:rPr>
        <w:t>紧紧围绕市委市政府中心工作，以更高站位、更宽视野、更严要求推动政务公开高质量发展，用制度安排把政务公开要求贯穿政务运行全过程，以公开促落实、以公开促规范、以公开促服务，推动政务公开向纵深发展。</w:t>
      </w:r>
      <w:r>
        <w:rPr>
          <w:rFonts w:hint="default" w:ascii="Times New Roman" w:hAnsi="Times New Roman" w:eastAsia="仿宋_GB2312" w:cs="Times New Roman"/>
          <w:b/>
          <w:bCs/>
          <w:sz w:val="32"/>
          <w:szCs w:val="32"/>
          <w:lang w:val="en-US" w:eastAsia="zh-CN"/>
        </w:rPr>
        <w:t>二是聚焦先行示范，提升政务公开规范标准。</w:t>
      </w:r>
      <w:r>
        <w:rPr>
          <w:rFonts w:hint="default" w:ascii="Times New Roman" w:hAnsi="Times New Roman" w:eastAsia="仿宋_GB2312" w:cs="Times New Roman"/>
          <w:sz w:val="32"/>
          <w:szCs w:val="32"/>
          <w:lang w:val="en-US" w:eastAsia="zh-CN"/>
        </w:rPr>
        <w:t>进入新发展阶段，要更加准确把握政务公开工作职责定位，坚持示范引领，主动担当作为，全面推进政务公开标准化规范化建设</w:t>
      </w:r>
      <w:r>
        <w:rPr>
          <w:rFonts w:hint="eastAsia" w:eastAsia="仿宋_GB2312" w:cs="Times New Roman"/>
          <w:sz w:val="32"/>
          <w:szCs w:val="32"/>
          <w:lang w:val="en-US" w:eastAsia="zh-CN"/>
        </w:rPr>
        <w:t>，推动</w:t>
      </w:r>
      <w:r>
        <w:rPr>
          <w:rFonts w:hint="default" w:ascii="Times New Roman" w:hAnsi="Times New Roman" w:eastAsia="仿宋_GB2312" w:cs="Times New Roman"/>
          <w:sz w:val="32"/>
          <w:szCs w:val="32"/>
          <w:lang w:val="en-US" w:eastAsia="zh-CN"/>
        </w:rPr>
        <w:t>公开事项科学全面、工作流程规范高效、平台渠道丰富多元。</w:t>
      </w:r>
      <w:r>
        <w:rPr>
          <w:rFonts w:hint="default" w:ascii="Times New Roman" w:hAnsi="Times New Roman" w:eastAsia="仿宋_GB2312" w:cs="Times New Roman"/>
          <w:b/>
          <w:bCs/>
          <w:sz w:val="32"/>
          <w:szCs w:val="32"/>
          <w:lang w:val="en-US" w:eastAsia="zh-CN"/>
        </w:rPr>
        <w:t>三是聚焦改革创新，助推政务公开便民利民。</w:t>
      </w:r>
      <w:r>
        <w:rPr>
          <w:rFonts w:hint="default" w:ascii="Times New Roman" w:hAnsi="Times New Roman" w:eastAsia="仿宋_GB2312" w:cs="Times New Roman"/>
          <w:sz w:val="32"/>
          <w:szCs w:val="32"/>
          <w:lang w:val="en-US" w:eastAsia="zh-CN"/>
        </w:rPr>
        <w:t>围绕经济社会发展需要和人民群众关注关切，深化改革、开拓创新，更好发挥助力政府职能转变的作用，运用政务公开手段提升市场监管能力，营造规则公开透明的市场化、法治化、国际化营商环境，努力建设人民满意的服务型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本机关在办理2023年度政府信息公开申请中未收取信息处理费。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NzNkMDFjMjZhMDFhYjFmM2VlYjU2ZjZmMzY0NjMifQ=="/>
  </w:docVars>
  <w:rsids>
    <w:rsidRoot w:val="12955023"/>
    <w:rsid w:val="12955023"/>
    <w:rsid w:val="28082772"/>
    <w:rsid w:val="40F01597"/>
    <w:rsid w:val="5CB80C46"/>
    <w:rsid w:val="65DD0D36"/>
    <w:rsid w:val="665A452A"/>
    <w:rsid w:val="6F712514"/>
    <w:rsid w:val="76FA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2023-01-19T04:57:00Z</dcterms:created>
  <dc:creator>杜奕辉</dc:creator>
  <cp:lastModifiedBy>杜奕辉</cp:lastModifiedBy>
  <dcterms:modified xsi:type="dcterms:W3CDTF">2024-01-23T03:01:55Z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2D1198D6B8694A9FABE3723CCE3C675C_13</vt:lpwstr>
  </property>
</Properties>
</file>