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CC4F2B">
      <w:pPr>
        <w:spacing w:line="720" w:lineRule="exact"/>
        <w:jc w:val="center"/>
        <w:rPr>
          <w:rFonts w:hint="default" w:ascii="Times New Roman" w:hAnsi="Times New Roman" w:eastAsia="方正小标宋简体" w:cs="Times New Roman"/>
          <w:bCs/>
          <w:snapToGrid w:val="0"/>
          <w:color w:val="auto"/>
          <w:kern w:val="0"/>
          <w:sz w:val="44"/>
          <w:szCs w:val="44"/>
          <w:highlight w:val="none"/>
        </w:rPr>
      </w:pPr>
      <w:bookmarkStart w:id="0" w:name="OLE_LINK2"/>
      <w:r>
        <w:rPr>
          <w:rFonts w:hint="default" w:ascii="Times New Roman" w:hAnsi="Times New Roman" w:eastAsia="方正小标宋简体" w:cs="Times New Roman"/>
          <w:color w:val="auto"/>
          <w:kern w:val="0"/>
          <w:sz w:val="44"/>
          <w:szCs w:val="44"/>
          <w:highlight w:val="none"/>
        </w:rPr>
        <w:t>太</w:t>
      </w:r>
      <w:r>
        <w:rPr>
          <w:rFonts w:hint="default" w:ascii="Times New Roman" w:hAnsi="Times New Roman" w:eastAsia="方正小标宋简体" w:cs="Times New Roman"/>
          <w:bCs/>
          <w:snapToGrid w:val="0"/>
          <w:color w:val="auto"/>
          <w:kern w:val="0"/>
          <w:sz w:val="44"/>
          <w:szCs w:val="44"/>
          <w:highlight w:val="none"/>
        </w:rPr>
        <w:t>仓市</w:t>
      </w:r>
      <w:r>
        <w:rPr>
          <w:rFonts w:hint="eastAsia" w:ascii="Times New Roman" w:hAnsi="Times New Roman" w:eastAsia="方正小标宋简体" w:cs="Times New Roman"/>
          <w:bCs/>
          <w:snapToGrid w:val="0"/>
          <w:color w:val="auto"/>
          <w:kern w:val="0"/>
          <w:sz w:val="44"/>
          <w:szCs w:val="44"/>
          <w:highlight w:val="none"/>
          <w:lang w:val="en-US" w:eastAsia="zh-CN"/>
        </w:rPr>
        <w:t>信访局</w:t>
      </w:r>
      <w:r>
        <w:rPr>
          <w:rFonts w:hint="default" w:ascii="Times New Roman" w:hAnsi="Times New Roman" w:eastAsia="方正小标宋简体" w:cs="Times New Roman"/>
          <w:bCs/>
          <w:snapToGrid w:val="0"/>
          <w:color w:val="auto"/>
          <w:kern w:val="0"/>
          <w:sz w:val="44"/>
          <w:szCs w:val="44"/>
          <w:highlight w:val="none"/>
        </w:rPr>
        <w:t>202</w:t>
      </w:r>
      <w:r>
        <w:rPr>
          <w:rFonts w:hint="default" w:ascii="Times New Roman" w:hAnsi="Times New Roman" w:eastAsia="方正小标宋简体" w:cs="Times New Roman"/>
          <w:bCs/>
          <w:snapToGrid w:val="0"/>
          <w:color w:val="auto"/>
          <w:kern w:val="0"/>
          <w:sz w:val="44"/>
          <w:szCs w:val="44"/>
          <w:highlight w:val="none"/>
          <w:lang w:val="en-US" w:eastAsia="zh-CN"/>
        </w:rPr>
        <w:t>4</w:t>
      </w:r>
      <w:r>
        <w:rPr>
          <w:rFonts w:hint="default" w:ascii="Times New Roman" w:hAnsi="Times New Roman" w:eastAsia="方正小标宋简体" w:cs="Times New Roman"/>
          <w:bCs/>
          <w:snapToGrid w:val="0"/>
          <w:color w:val="auto"/>
          <w:kern w:val="0"/>
          <w:sz w:val="44"/>
          <w:szCs w:val="44"/>
          <w:highlight w:val="none"/>
        </w:rPr>
        <w:t>年政府信息公开</w:t>
      </w:r>
    </w:p>
    <w:p w14:paraId="52C9ADBA">
      <w:pPr>
        <w:spacing w:line="720" w:lineRule="exact"/>
        <w:jc w:val="center"/>
        <w:rPr>
          <w:rFonts w:hint="default" w:ascii="Times New Roman" w:hAnsi="Times New Roman" w:eastAsia="方正小标宋简体" w:cs="Times New Roman"/>
          <w:bCs/>
          <w:snapToGrid w:val="0"/>
          <w:color w:val="auto"/>
          <w:kern w:val="0"/>
          <w:sz w:val="44"/>
          <w:szCs w:val="44"/>
          <w:highlight w:val="none"/>
        </w:rPr>
      </w:pPr>
      <w:r>
        <w:rPr>
          <w:rFonts w:hint="default" w:ascii="Times New Roman" w:hAnsi="Times New Roman" w:eastAsia="方正小标宋简体" w:cs="Times New Roman"/>
          <w:bCs/>
          <w:snapToGrid w:val="0"/>
          <w:color w:val="auto"/>
          <w:kern w:val="0"/>
          <w:sz w:val="44"/>
          <w:szCs w:val="44"/>
          <w:highlight w:val="none"/>
        </w:rPr>
        <w:t>工作年度报告</w:t>
      </w:r>
    </w:p>
    <w:bookmarkEnd w:id="0"/>
    <w:p w14:paraId="49B9FA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default" w:ascii="Times New Roman" w:hAnsi="Times New Roman" w:cs="Times New Roman"/>
          <w:color w:val="0000FF"/>
        </w:rPr>
      </w:pPr>
    </w:p>
    <w:p w14:paraId="5A1F9D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/>
        <w:textAlignment w:val="auto"/>
        <w:rPr>
          <w:rFonts w:hint="default" w:ascii="Times New Roman" w:hAnsi="Times New Roman" w:eastAsia="仿宋_GB2312" w:cs="Times New Roman"/>
          <w:snapToGrid w:val="0"/>
          <w:color w:val="auto"/>
          <w:spacing w:val="-4"/>
          <w:kern w:val="0"/>
          <w:sz w:val="32"/>
          <w:szCs w:val="32"/>
          <w:highlight w:val="none"/>
        </w:rPr>
      </w:pPr>
      <w:bookmarkStart w:id="1" w:name="OLE_LINK1"/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本年报根据《中华人民共和国政府信息公开条例》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（以下简称《条例》）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规定和苏州市政府办《关于做好202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年政府信息公开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工作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年度报告编制发布工作的通知》、太仓市政府办《关于做好202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年政府信息公开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工作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年度报告编制发布工作的通知》要求，由太仓市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信访局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编制。</w:t>
      </w:r>
    </w:p>
    <w:p w14:paraId="07B851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24" w:firstLineChars="200"/>
        <w:jc w:val="both"/>
        <w:textAlignment w:val="auto"/>
        <w:rPr>
          <w:rFonts w:hint="default" w:ascii="Times New Roman" w:hAnsi="Times New Roman" w:eastAsia="仿宋_GB2312" w:cs="Times New Roman"/>
          <w:snapToGrid w:val="0"/>
          <w:color w:val="auto"/>
          <w:spacing w:val="-4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napToGrid w:val="0"/>
          <w:color w:val="auto"/>
          <w:spacing w:val="-4"/>
          <w:kern w:val="0"/>
          <w:sz w:val="32"/>
          <w:szCs w:val="32"/>
          <w:highlight w:val="none"/>
        </w:rPr>
        <w:t>本年报中所列数据的统计期限自202</w:t>
      </w:r>
      <w:r>
        <w:rPr>
          <w:rFonts w:hint="default" w:ascii="Times New Roman" w:hAnsi="Times New Roman" w:eastAsia="仿宋_GB2312" w:cs="Times New Roman"/>
          <w:snapToGrid w:val="0"/>
          <w:color w:val="auto"/>
          <w:spacing w:val="-4"/>
          <w:kern w:val="0"/>
          <w:sz w:val="32"/>
          <w:szCs w:val="32"/>
          <w:highlight w:val="none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napToGrid w:val="0"/>
          <w:color w:val="auto"/>
          <w:spacing w:val="-4"/>
          <w:kern w:val="0"/>
          <w:sz w:val="32"/>
          <w:szCs w:val="32"/>
          <w:highlight w:val="none"/>
        </w:rPr>
        <w:t>年1月1日起至202</w:t>
      </w:r>
      <w:r>
        <w:rPr>
          <w:rFonts w:hint="default" w:ascii="Times New Roman" w:hAnsi="Times New Roman" w:eastAsia="仿宋_GB2312" w:cs="Times New Roman"/>
          <w:snapToGrid w:val="0"/>
          <w:color w:val="auto"/>
          <w:spacing w:val="-4"/>
          <w:kern w:val="0"/>
          <w:sz w:val="32"/>
          <w:szCs w:val="32"/>
          <w:highlight w:val="none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napToGrid w:val="0"/>
          <w:color w:val="auto"/>
          <w:spacing w:val="-4"/>
          <w:kern w:val="0"/>
          <w:sz w:val="32"/>
          <w:szCs w:val="32"/>
          <w:highlight w:val="none"/>
        </w:rPr>
        <w:t>年12月31日止。本年报的电子版可在“太仓市人民政府”网站下载。如对本年报有任何疑问，请与市</w:t>
      </w:r>
      <w:r>
        <w:rPr>
          <w:rFonts w:hint="eastAsia" w:ascii="Times New Roman" w:hAnsi="Times New Roman" w:eastAsia="仿宋_GB2312" w:cs="Times New Roman"/>
          <w:snapToGrid w:val="0"/>
          <w:color w:val="auto"/>
          <w:spacing w:val="-4"/>
          <w:kern w:val="0"/>
          <w:sz w:val="32"/>
          <w:szCs w:val="32"/>
          <w:highlight w:val="none"/>
          <w:lang w:val="en-US" w:eastAsia="zh-CN"/>
        </w:rPr>
        <w:t>信访局</w:t>
      </w:r>
      <w:r>
        <w:rPr>
          <w:rFonts w:hint="default" w:ascii="Times New Roman" w:hAnsi="Times New Roman" w:eastAsia="仿宋_GB2312" w:cs="Times New Roman"/>
          <w:snapToGrid w:val="0"/>
          <w:color w:val="auto"/>
          <w:spacing w:val="-4"/>
          <w:kern w:val="0"/>
          <w:sz w:val="32"/>
          <w:szCs w:val="32"/>
          <w:highlight w:val="none"/>
        </w:rPr>
        <w:t>联系（地址：县府东街99号，邮编：215400，电话：53</w:t>
      </w:r>
      <w:r>
        <w:rPr>
          <w:rFonts w:hint="eastAsia" w:eastAsia="仿宋_GB2312" w:cs="Times New Roman"/>
          <w:snapToGrid w:val="0"/>
          <w:color w:val="auto"/>
          <w:spacing w:val="-4"/>
          <w:kern w:val="0"/>
          <w:sz w:val="32"/>
          <w:szCs w:val="32"/>
          <w:highlight w:val="none"/>
          <w:lang w:val="en-US" w:eastAsia="zh-CN"/>
        </w:rPr>
        <w:t>890210</w:t>
      </w:r>
      <w:r>
        <w:rPr>
          <w:rFonts w:hint="default" w:ascii="Times New Roman" w:hAnsi="Times New Roman" w:eastAsia="仿宋_GB2312" w:cs="Times New Roman"/>
          <w:snapToGrid w:val="0"/>
          <w:color w:val="auto"/>
          <w:spacing w:val="-4"/>
          <w:kern w:val="0"/>
          <w:sz w:val="32"/>
          <w:szCs w:val="32"/>
          <w:highlight w:val="none"/>
        </w:rPr>
        <w:t>，电子邮箱：tc53532265@163.com）。</w:t>
      </w:r>
    </w:p>
    <w:p w14:paraId="484CFE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24"/>
        <w:textAlignment w:val="auto"/>
        <w:rPr>
          <w:rFonts w:hint="default" w:ascii="Times New Roman" w:hAnsi="Times New Roman" w:eastAsia="黑体" w:cs="Times New Roman"/>
          <w:snapToGrid w:val="0"/>
          <w:color w:val="auto"/>
          <w:spacing w:val="-4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napToGrid w:val="0"/>
          <w:color w:val="auto"/>
          <w:spacing w:val="-4"/>
          <w:kern w:val="0"/>
          <w:sz w:val="32"/>
          <w:szCs w:val="32"/>
          <w:highlight w:val="none"/>
        </w:rPr>
        <w:t>一、总体情况</w:t>
      </w:r>
    </w:p>
    <w:p w14:paraId="392A22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24" w:firstLineChars="200"/>
        <w:textAlignment w:val="auto"/>
        <w:rPr>
          <w:rFonts w:hint="default" w:ascii="Times New Roman" w:hAnsi="Times New Roman" w:eastAsia="仿宋_GB2312" w:cs="Times New Roman"/>
          <w:color w:val="auto"/>
          <w:spacing w:val="-4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pacing w:val="-4"/>
          <w:sz w:val="32"/>
          <w:szCs w:val="32"/>
          <w:highlight w:val="none"/>
        </w:rPr>
        <w:t>（一）主动公开方面。积极发布政务信息，全年共发布信息8条，内容涵盖部门文件、预决算公开、业务工作、人事信息以及本单位工作动态等多个方面，全面展示了市信访局的工作进展和成果。</w:t>
      </w:r>
    </w:p>
    <w:p w14:paraId="6421BE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24" w:firstLineChars="200"/>
        <w:textAlignment w:val="auto"/>
        <w:rPr>
          <w:rFonts w:hint="default" w:ascii="Times New Roman" w:hAnsi="Times New Roman" w:eastAsia="仿宋_GB2312" w:cs="Times New Roman"/>
          <w:color w:val="auto"/>
          <w:spacing w:val="-4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pacing w:val="-4"/>
          <w:sz w:val="32"/>
          <w:szCs w:val="32"/>
          <w:highlight w:val="none"/>
        </w:rPr>
        <w:t>（二）依申请公开方面。2024年未收到要求公开政府信息的申请。</w:t>
      </w:r>
    </w:p>
    <w:p w14:paraId="7CDE46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24" w:firstLineChars="200"/>
        <w:textAlignment w:val="auto"/>
        <w:rPr>
          <w:rFonts w:hint="default" w:ascii="Times New Roman" w:hAnsi="Times New Roman" w:eastAsia="仿宋_GB2312" w:cs="Times New Roman"/>
          <w:color w:val="auto"/>
          <w:spacing w:val="-4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pacing w:val="-4"/>
          <w:sz w:val="32"/>
          <w:szCs w:val="32"/>
          <w:highlight w:val="none"/>
        </w:rPr>
        <w:t>（三）政府信息管理方面。由分管领导负责政府信息公开审核工作，严格管理信息发布审查程序，依法依规发布主动公开信息，同时加强保密审核，对应公开的文件、公告等信息实行发布和管理双重审核，在执行保密规定的前提下应公开尽公开，确保公开内容合法、完整、准确，格式规范的同时，兼顾群众浏览简单方便。</w:t>
      </w:r>
    </w:p>
    <w:p w14:paraId="55024A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24" w:firstLineChars="200"/>
        <w:textAlignment w:val="auto"/>
        <w:rPr>
          <w:rFonts w:hint="default" w:ascii="Times New Roman" w:hAnsi="Times New Roman" w:eastAsia="仿宋_GB2312" w:cs="Times New Roman"/>
          <w:color w:val="auto"/>
          <w:spacing w:val="-4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pacing w:val="-4"/>
          <w:sz w:val="32"/>
          <w:szCs w:val="32"/>
          <w:highlight w:val="none"/>
        </w:rPr>
        <w:t>（四）回应关切方面。建立健全了政务信息公开回应机制，及时发布信息，讲清事实真相、政策措施及处置结果，有效回应了社会关切。</w:t>
      </w:r>
    </w:p>
    <w:p w14:paraId="2729D0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24" w:firstLineChars="200"/>
        <w:textAlignment w:val="auto"/>
        <w:rPr>
          <w:rFonts w:hint="default" w:ascii="Times New Roman" w:hAnsi="Times New Roman" w:eastAsia="仿宋_GB2312" w:cs="Times New Roman"/>
          <w:color w:val="auto"/>
          <w:spacing w:val="-4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pacing w:val="-4"/>
          <w:sz w:val="32"/>
          <w:szCs w:val="32"/>
          <w:highlight w:val="none"/>
        </w:rPr>
        <w:t>（五）监督保障方面。充分利用“我为政府网站找错”监督举报平台，发动广大网友发现和纠正网站存在的信息更新不及时、信息发布不准确、交流互动不回应、服务信息不实用等问题，第一时间根据反馈信息整改。</w:t>
      </w:r>
    </w:p>
    <w:p w14:paraId="23EDCCA1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24" w:firstLineChars="200"/>
        <w:textAlignment w:val="auto"/>
        <w:rPr>
          <w:rFonts w:hint="default" w:ascii="Times New Roman" w:hAnsi="Times New Roman" w:eastAsia="黑体" w:cs="Times New Roman"/>
          <w:snapToGrid w:val="0"/>
          <w:color w:val="auto"/>
          <w:spacing w:val="-4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napToGrid w:val="0"/>
          <w:color w:val="auto"/>
          <w:spacing w:val="-4"/>
          <w:kern w:val="0"/>
          <w:sz w:val="32"/>
          <w:szCs w:val="32"/>
          <w:highlight w:val="none"/>
        </w:rPr>
        <w:t>主动公开政府信息情况</w:t>
      </w:r>
    </w:p>
    <w:tbl>
      <w:tblPr>
        <w:tblStyle w:val="16"/>
        <w:tblW w:w="8722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435"/>
        <w:gridCol w:w="2435"/>
        <w:gridCol w:w="1417"/>
      </w:tblGrid>
      <w:tr w14:paraId="4274DB86">
        <w:trPr>
          <w:trHeight w:val="340" w:hRule="atLeast"/>
          <w:jc w:val="center"/>
        </w:trPr>
        <w:tc>
          <w:tcPr>
            <w:tcW w:w="8722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AE5AB85">
            <w:pPr>
              <w:widowControl/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highlight w:val="none"/>
              </w:rPr>
              <w:t>第二十条第（一）项</w:t>
            </w:r>
          </w:p>
        </w:tc>
      </w:tr>
      <w:tr w14:paraId="33595086">
        <w:trPr>
          <w:trHeight w:val="340" w:hRule="atLeast"/>
          <w:jc w:val="center"/>
        </w:trPr>
        <w:tc>
          <w:tcPr>
            <w:tcW w:w="24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633F3B5">
            <w:pPr>
              <w:widowControl/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highlight w:val="none"/>
              </w:rPr>
              <w:t>信息内容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B7A1B01">
            <w:pPr>
              <w:widowControl/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highlight w:val="none"/>
              </w:rPr>
              <w:t>本年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</w:rPr>
              <w:t>制发件数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F3A051C">
            <w:pPr>
              <w:widowControl/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highlight w:val="none"/>
              </w:rPr>
              <w:t>本年废止件数</w:t>
            </w:r>
          </w:p>
        </w:tc>
        <w:tc>
          <w:tcPr>
            <w:tcW w:w="141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3BFB69B">
            <w:pPr>
              <w:widowControl/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highlight w:val="none"/>
              </w:rPr>
              <w:t>现行有效件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</w:rPr>
              <w:t>数</w:t>
            </w:r>
          </w:p>
        </w:tc>
      </w:tr>
      <w:tr w14:paraId="5FEC98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C043125">
            <w:pPr>
              <w:widowControl/>
              <w:spacing w:line="360" w:lineRule="auto"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highlight w:val="none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24B7156">
            <w:pPr>
              <w:widowControl/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45E00C3">
            <w:pPr>
              <w:widowControl/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6E33A95">
            <w:pPr>
              <w:widowControl/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</w:tr>
      <w:tr w14:paraId="3CF61B3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AE8CB2F">
            <w:pPr>
              <w:widowControl/>
              <w:spacing w:line="360" w:lineRule="auto"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highlight w:val="none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92EEA65">
            <w:pPr>
              <w:widowControl/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1F312EC">
            <w:pPr>
              <w:widowControl/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5290F12">
            <w:pPr>
              <w:widowControl/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</w:tr>
      <w:tr w14:paraId="6AB0919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722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F8C60DA">
            <w:pPr>
              <w:widowControl/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highlight w:val="none"/>
              </w:rPr>
              <w:t>第二十条第（五）项</w:t>
            </w:r>
          </w:p>
        </w:tc>
      </w:tr>
      <w:tr w14:paraId="404E97E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23D1594">
            <w:pPr>
              <w:widowControl/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highlight w:val="none"/>
              </w:rPr>
              <w:t>信息内容</w:t>
            </w:r>
          </w:p>
        </w:tc>
        <w:tc>
          <w:tcPr>
            <w:tcW w:w="6287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D9BE91D">
            <w:pPr>
              <w:widowControl/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highlight w:val="none"/>
              </w:rPr>
              <w:t>本年处理决定数量</w:t>
            </w:r>
          </w:p>
        </w:tc>
      </w:tr>
      <w:tr w14:paraId="0064F7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3115C80">
            <w:pPr>
              <w:widowControl/>
              <w:spacing w:line="360" w:lineRule="auto"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highlight w:val="none"/>
              </w:rPr>
              <w:t>行政许可</w:t>
            </w:r>
          </w:p>
        </w:tc>
        <w:tc>
          <w:tcPr>
            <w:tcW w:w="6287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D973DDA">
            <w:pPr>
              <w:widowControl/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2189E4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722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9344050">
            <w:pPr>
              <w:widowControl/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highlight w:val="none"/>
              </w:rPr>
              <w:t>第二十条第（六）项</w:t>
            </w:r>
          </w:p>
        </w:tc>
      </w:tr>
      <w:tr w14:paraId="65D63F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A1A09E9">
            <w:pPr>
              <w:widowControl/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highlight w:val="none"/>
              </w:rPr>
              <w:t>信息内容</w:t>
            </w:r>
          </w:p>
        </w:tc>
        <w:tc>
          <w:tcPr>
            <w:tcW w:w="6287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33F48F2">
            <w:pPr>
              <w:widowControl/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highlight w:val="none"/>
              </w:rPr>
              <w:t>本年处理决定数量</w:t>
            </w:r>
          </w:p>
        </w:tc>
      </w:tr>
      <w:tr w14:paraId="443AE75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1FC9625">
            <w:pPr>
              <w:widowControl/>
              <w:spacing w:line="360" w:lineRule="auto"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highlight w:val="none"/>
              </w:rPr>
              <w:t>行政处罚</w:t>
            </w:r>
          </w:p>
        </w:tc>
        <w:tc>
          <w:tcPr>
            <w:tcW w:w="6287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C5C81EC">
            <w:pPr>
              <w:widowControl/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</w:tr>
      <w:tr w14:paraId="684994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FA7777E">
            <w:pPr>
              <w:widowControl/>
              <w:spacing w:line="360" w:lineRule="auto"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highlight w:val="none"/>
              </w:rPr>
              <w:t>行政强制</w:t>
            </w:r>
          </w:p>
        </w:tc>
        <w:tc>
          <w:tcPr>
            <w:tcW w:w="6287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8DD60AB">
            <w:pPr>
              <w:widowControl/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</w:tr>
      <w:tr w14:paraId="0097BB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722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AC3C47A">
            <w:pPr>
              <w:widowControl/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highlight w:val="none"/>
              </w:rPr>
              <w:t>第二十条第（八）项</w:t>
            </w:r>
          </w:p>
        </w:tc>
      </w:tr>
      <w:tr w14:paraId="06E571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68DAA6E">
            <w:pPr>
              <w:widowControl/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highlight w:val="none"/>
              </w:rPr>
              <w:t>信息内容</w:t>
            </w:r>
          </w:p>
        </w:tc>
        <w:tc>
          <w:tcPr>
            <w:tcW w:w="6287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30DA552">
            <w:pPr>
              <w:widowControl/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highlight w:val="none"/>
              </w:rPr>
              <w:t>本年收费金额（单位：万元）</w:t>
            </w:r>
          </w:p>
        </w:tc>
      </w:tr>
      <w:tr w14:paraId="098E1C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A43D61F">
            <w:pPr>
              <w:widowControl/>
              <w:spacing w:line="360" w:lineRule="auto"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highlight w:val="none"/>
              </w:rPr>
              <w:t>行政事业性收费</w:t>
            </w:r>
          </w:p>
        </w:tc>
        <w:tc>
          <w:tcPr>
            <w:tcW w:w="6287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FF75D5E">
            <w:pPr>
              <w:widowControl/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</w:tr>
    </w:tbl>
    <w:p w14:paraId="21E9917E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0" w:leftChars="0" w:firstLine="624" w:firstLineChars="200"/>
        <w:textAlignment w:val="auto"/>
        <w:rPr>
          <w:rFonts w:hint="default" w:ascii="Times New Roman" w:hAnsi="Times New Roman" w:eastAsia="黑体" w:cs="Times New Roman"/>
          <w:snapToGrid w:val="0"/>
          <w:color w:val="auto"/>
          <w:spacing w:val="-4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napToGrid w:val="0"/>
          <w:color w:val="auto"/>
          <w:spacing w:val="-4"/>
          <w:kern w:val="0"/>
          <w:sz w:val="32"/>
          <w:szCs w:val="32"/>
          <w:highlight w:val="none"/>
        </w:rPr>
        <w:t>收到和处理政府信息公开申请情况</w:t>
      </w:r>
    </w:p>
    <w:tbl>
      <w:tblPr>
        <w:tblStyle w:val="16"/>
        <w:tblW w:w="8765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14"/>
        <w:gridCol w:w="921"/>
        <w:gridCol w:w="2988"/>
        <w:gridCol w:w="656"/>
        <w:gridCol w:w="656"/>
        <w:gridCol w:w="656"/>
        <w:gridCol w:w="656"/>
        <w:gridCol w:w="656"/>
        <w:gridCol w:w="657"/>
        <w:gridCol w:w="405"/>
      </w:tblGrid>
      <w:tr w14:paraId="46D76D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423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627311"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楷体" w:cs="Times New Roman"/>
                <w:kern w:val="0"/>
                <w:sz w:val="20"/>
                <w:szCs w:val="20"/>
                <w:highlight w:val="none"/>
              </w:rPr>
              <w:t>（本列数据的勾稽关系为：第一项加第二项之和，等于第三项加第四项之和）</w:t>
            </w:r>
          </w:p>
        </w:tc>
        <w:tc>
          <w:tcPr>
            <w:tcW w:w="4342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3A6C7CD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</w:rPr>
              <w:t>申请人情况</w:t>
            </w:r>
          </w:p>
        </w:tc>
      </w:tr>
      <w:tr w14:paraId="1EA5BB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423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 w14:paraId="25BE7253"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656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66A9E51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</w:rPr>
              <w:t>自然人</w:t>
            </w:r>
          </w:p>
        </w:tc>
        <w:tc>
          <w:tcPr>
            <w:tcW w:w="3281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A8471BD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</w:rPr>
              <w:t>法人或其他组织</w:t>
            </w:r>
          </w:p>
        </w:tc>
        <w:tc>
          <w:tcPr>
            <w:tcW w:w="405" w:type="dxa"/>
            <w:vMerge w:val="restart"/>
            <w:tcBorders>
              <w:top w:val="single" w:color="auto" w:sz="8" w:space="0"/>
              <w:left w:val="nil"/>
              <w:bottom w:val="in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6E41262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</w:rPr>
              <w:t>总计</w:t>
            </w:r>
          </w:p>
        </w:tc>
      </w:tr>
      <w:tr w14:paraId="7685CB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423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 w14:paraId="06CB0DC3"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65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53A04FD"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EEDF5FD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</w:rPr>
              <w:t>商业</w:t>
            </w:r>
          </w:p>
          <w:p w14:paraId="2FA6B40A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</w:rPr>
              <w:t>企业</w:t>
            </w:r>
          </w:p>
        </w:tc>
        <w:tc>
          <w:tcPr>
            <w:tcW w:w="6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9561F7E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</w:rPr>
              <w:t>科研</w:t>
            </w:r>
          </w:p>
          <w:p w14:paraId="265A29D2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</w:rPr>
              <w:t>机构</w:t>
            </w:r>
          </w:p>
        </w:tc>
        <w:tc>
          <w:tcPr>
            <w:tcW w:w="65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F938840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</w:rPr>
              <w:t>社会公益组织</w:t>
            </w:r>
          </w:p>
        </w:tc>
        <w:tc>
          <w:tcPr>
            <w:tcW w:w="65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DAA35EC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</w:rPr>
              <w:t>法律服务机构</w:t>
            </w:r>
          </w:p>
        </w:tc>
        <w:tc>
          <w:tcPr>
            <w:tcW w:w="65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FB01D45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</w:rPr>
              <w:t>其他</w:t>
            </w:r>
          </w:p>
        </w:tc>
        <w:tc>
          <w:tcPr>
            <w:tcW w:w="405" w:type="dxa"/>
            <w:vMerge w:val="continue"/>
            <w:tcBorders>
              <w:top w:val="single" w:color="auto" w:sz="8" w:space="0"/>
              <w:left w:val="nil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 w14:paraId="3D88F9CB"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</w:p>
        </w:tc>
      </w:tr>
      <w:tr w14:paraId="74C419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423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B8ED255"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</w:rPr>
              <w:t>一、本年新收政府信息公开申请数量</w:t>
            </w:r>
          </w:p>
        </w:tc>
        <w:tc>
          <w:tcPr>
            <w:tcW w:w="6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BB35143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  <w:tc>
          <w:tcPr>
            <w:tcW w:w="6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22E8CA6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  <w:tc>
          <w:tcPr>
            <w:tcW w:w="6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FF53C9B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  <w:tc>
          <w:tcPr>
            <w:tcW w:w="6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386975F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  <w:tc>
          <w:tcPr>
            <w:tcW w:w="6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03AB15A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27D7277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790E5FF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</w:tr>
      <w:tr w14:paraId="30F374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423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C0CF7D1"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</w:rPr>
              <w:t>二、上年结转政府信息公开申请数量</w:t>
            </w:r>
          </w:p>
        </w:tc>
        <w:tc>
          <w:tcPr>
            <w:tcW w:w="656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11EF818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  <w:tc>
          <w:tcPr>
            <w:tcW w:w="656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821AC16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  <w:tc>
          <w:tcPr>
            <w:tcW w:w="656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26C1BFA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  <w:tc>
          <w:tcPr>
            <w:tcW w:w="656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C6B07C5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  <w:tc>
          <w:tcPr>
            <w:tcW w:w="656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57B9C80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B7C4239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9AFDED6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</w:tr>
      <w:tr w14:paraId="35D1D3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4" w:type="dxa"/>
            <w:vMerge w:val="restart"/>
            <w:tcBorders>
              <w:top w:val="single" w:color="auto" w:sz="4" w:space="0"/>
              <w:left w:val="single" w:color="auto" w:sz="4" w:space="0"/>
              <w:bottom w:val="in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07E8E32"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</w:rPr>
              <w:t>三、本年度办理结果</w:t>
            </w:r>
          </w:p>
        </w:tc>
        <w:tc>
          <w:tcPr>
            <w:tcW w:w="3909" w:type="dxa"/>
            <w:gridSpan w:val="2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DE1D9E5"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</w:rPr>
              <w:t>（一）予以公开</w:t>
            </w:r>
          </w:p>
        </w:tc>
        <w:tc>
          <w:tcPr>
            <w:tcW w:w="656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A91162C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  <w:tc>
          <w:tcPr>
            <w:tcW w:w="656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6A526B6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  <w:tc>
          <w:tcPr>
            <w:tcW w:w="656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64A60ED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  <w:tc>
          <w:tcPr>
            <w:tcW w:w="656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71CA49C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  <w:tc>
          <w:tcPr>
            <w:tcW w:w="656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18CCC97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  <w:tc>
          <w:tcPr>
            <w:tcW w:w="65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5F1EC1E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  <w:tc>
          <w:tcPr>
            <w:tcW w:w="405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088978A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</w:tr>
      <w:tr w14:paraId="23BCB1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4" w:type="dxa"/>
            <w:vMerge w:val="continue"/>
            <w:tcBorders>
              <w:top w:val="nil"/>
              <w:left w:val="single" w:color="auto" w:sz="4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 w14:paraId="2DB272DC"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39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71252CB"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</w:rPr>
              <w:t>（二）部分公开</w:t>
            </w:r>
            <w:r>
              <w:rPr>
                <w:rFonts w:hint="default" w:ascii="Times New Roman" w:hAnsi="Times New Roman" w:eastAsia="楷体" w:cs="Times New Roman"/>
                <w:kern w:val="0"/>
                <w:sz w:val="20"/>
                <w:szCs w:val="20"/>
                <w:highlight w:val="none"/>
              </w:rPr>
              <w:t>（区分处理的，只计这一情形，不计其他情形）</w:t>
            </w:r>
          </w:p>
        </w:tc>
        <w:tc>
          <w:tcPr>
            <w:tcW w:w="656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9FFA22D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  <w:tc>
          <w:tcPr>
            <w:tcW w:w="6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C1CB513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  <w:tc>
          <w:tcPr>
            <w:tcW w:w="6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E7FEEC9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  <w:tc>
          <w:tcPr>
            <w:tcW w:w="6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47CC2CF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  <w:tc>
          <w:tcPr>
            <w:tcW w:w="6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DC4BB85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BDCE7EC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11A00EC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</w:tr>
      <w:tr w14:paraId="4EC85B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4" w:type="dxa"/>
            <w:vMerge w:val="continue"/>
            <w:tcBorders>
              <w:top w:val="nil"/>
              <w:left w:val="single" w:color="auto" w:sz="4" w:space="0"/>
              <w:bottom w:val="inset" w:color="auto" w:sz="8" w:space="0"/>
              <w:right w:val="single" w:color="auto" w:sz="4" w:space="0"/>
            </w:tcBorders>
            <w:noWrap w:val="0"/>
            <w:vAlign w:val="center"/>
          </w:tcPr>
          <w:p w14:paraId="04BE8148"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92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28B166F"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</w:rPr>
              <w:t>（三）不予公开</w:t>
            </w:r>
          </w:p>
        </w:tc>
        <w:tc>
          <w:tcPr>
            <w:tcW w:w="2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3E8EB911"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</w:rPr>
              <w:t>1.属于国家秘密</w:t>
            </w:r>
          </w:p>
        </w:tc>
        <w:tc>
          <w:tcPr>
            <w:tcW w:w="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5F3FD5C0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  <w:tc>
          <w:tcPr>
            <w:tcW w:w="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7F358510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  <w:tc>
          <w:tcPr>
            <w:tcW w:w="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73C9D17C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  <w:tc>
          <w:tcPr>
            <w:tcW w:w="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56F1989B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  <w:tc>
          <w:tcPr>
            <w:tcW w:w="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7723336B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  <w:tc>
          <w:tcPr>
            <w:tcW w:w="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4AC74543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  <w:tc>
          <w:tcPr>
            <w:tcW w:w="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3A2EFF28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</w:tr>
      <w:tr w14:paraId="0BCE6DE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C8BEEB"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9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DC662B"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72E66172"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</w:rPr>
              <w:t>2.其他法律行政法规禁止公开</w:t>
            </w:r>
          </w:p>
        </w:tc>
        <w:tc>
          <w:tcPr>
            <w:tcW w:w="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4F1503B1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  <w:tc>
          <w:tcPr>
            <w:tcW w:w="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607064B1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  <w:tc>
          <w:tcPr>
            <w:tcW w:w="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68158B8F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  <w:tc>
          <w:tcPr>
            <w:tcW w:w="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48A6C689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  <w:tc>
          <w:tcPr>
            <w:tcW w:w="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016AC0CC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  <w:tc>
          <w:tcPr>
            <w:tcW w:w="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4A0E07AC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  <w:tc>
          <w:tcPr>
            <w:tcW w:w="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5468F59B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</w:tr>
      <w:tr w14:paraId="030FF4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4" w:type="dxa"/>
            <w:vMerge w:val="continue"/>
            <w:tcBorders>
              <w:top w:val="single" w:color="auto" w:sz="4" w:space="0"/>
              <w:left w:val="single" w:color="auto" w:sz="4" w:space="0"/>
              <w:bottom w:val="inset" w:color="auto" w:sz="8" w:space="0"/>
              <w:right w:val="single" w:color="auto" w:sz="4" w:space="0"/>
            </w:tcBorders>
            <w:noWrap w:val="0"/>
            <w:vAlign w:val="center"/>
          </w:tcPr>
          <w:p w14:paraId="79B06AD2"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921" w:type="dxa"/>
            <w:vMerge w:val="continue"/>
            <w:tcBorders>
              <w:top w:val="single" w:color="auto" w:sz="4" w:space="0"/>
              <w:left w:val="single" w:color="auto" w:sz="4" w:space="0"/>
              <w:bottom w:val="inset" w:color="auto" w:sz="8" w:space="0"/>
              <w:right w:val="single" w:color="auto" w:sz="4" w:space="0"/>
            </w:tcBorders>
            <w:noWrap w:val="0"/>
            <w:vAlign w:val="center"/>
          </w:tcPr>
          <w:p w14:paraId="4217C12E"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3B363F4A"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</w:rPr>
              <w:t>3.危及“三安全一稳定”</w:t>
            </w:r>
          </w:p>
        </w:tc>
        <w:tc>
          <w:tcPr>
            <w:tcW w:w="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116C7CC6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  <w:tc>
          <w:tcPr>
            <w:tcW w:w="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6D86E547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  <w:tc>
          <w:tcPr>
            <w:tcW w:w="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6AE4392A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  <w:tc>
          <w:tcPr>
            <w:tcW w:w="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74E3F94B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  <w:tc>
          <w:tcPr>
            <w:tcW w:w="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622266C2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  <w:tc>
          <w:tcPr>
            <w:tcW w:w="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0C738825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  <w:tc>
          <w:tcPr>
            <w:tcW w:w="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68B1165A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</w:tr>
      <w:tr w14:paraId="30B5BE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4" w:type="dxa"/>
            <w:vMerge w:val="continue"/>
            <w:tcBorders>
              <w:top w:val="nil"/>
              <w:left w:val="single" w:color="auto" w:sz="4" w:space="0"/>
              <w:bottom w:val="inset" w:color="auto" w:sz="8" w:space="0"/>
              <w:right w:val="single" w:color="auto" w:sz="4" w:space="0"/>
            </w:tcBorders>
            <w:noWrap w:val="0"/>
            <w:vAlign w:val="center"/>
          </w:tcPr>
          <w:p w14:paraId="5D5B88F8"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921" w:type="dxa"/>
            <w:vMerge w:val="continue"/>
            <w:tcBorders>
              <w:top w:val="nil"/>
              <w:left w:val="single" w:color="auto" w:sz="4" w:space="0"/>
              <w:bottom w:val="inset" w:color="auto" w:sz="8" w:space="0"/>
              <w:right w:val="single" w:color="auto" w:sz="4" w:space="0"/>
            </w:tcBorders>
            <w:noWrap w:val="0"/>
            <w:vAlign w:val="center"/>
          </w:tcPr>
          <w:p w14:paraId="0314F72A"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988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37701D5E"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</w:rPr>
              <w:t>4.保护第三方合法权益</w:t>
            </w:r>
          </w:p>
        </w:tc>
        <w:tc>
          <w:tcPr>
            <w:tcW w:w="656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105D74FF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  <w:tc>
          <w:tcPr>
            <w:tcW w:w="656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13CD3CB3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  <w:tc>
          <w:tcPr>
            <w:tcW w:w="656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7AB49332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  <w:tc>
          <w:tcPr>
            <w:tcW w:w="656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1D2400C1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  <w:tc>
          <w:tcPr>
            <w:tcW w:w="656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6291678C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  <w:tc>
          <w:tcPr>
            <w:tcW w:w="65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77A6B5EB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  <w:tc>
          <w:tcPr>
            <w:tcW w:w="405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7964BD8B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</w:tr>
      <w:tr w14:paraId="1C2E7E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4" w:type="dxa"/>
            <w:vMerge w:val="continue"/>
            <w:tcBorders>
              <w:top w:val="nil"/>
              <w:left w:val="single" w:color="auto" w:sz="4" w:space="0"/>
              <w:bottom w:val="inset" w:color="auto" w:sz="8" w:space="0"/>
              <w:right w:val="single" w:color="auto" w:sz="4" w:space="0"/>
            </w:tcBorders>
            <w:noWrap w:val="0"/>
            <w:vAlign w:val="center"/>
          </w:tcPr>
          <w:p w14:paraId="01FE6CC1"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921" w:type="dxa"/>
            <w:vMerge w:val="continue"/>
            <w:tcBorders>
              <w:top w:val="nil"/>
              <w:left w:val="single" w:color="auto" w:sz="4" w:space="0"/>
              <w:bottom w:val="inset" w:color="auto" w:sz="8" w:space="0"/>
              <w:right w:val="single" w:color="auto" w:sz="4" w:space="0"/>
            </w:tcBorders>
            <w:noWrap w:val="0"/>
            <w:vAlign w:val="center"/>
          </w:tcPr>
          <w:p w14:paraId="3F6670C7"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43F8AED1"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</w:rPr>
              <w:t>5.属于三类内部事务信息</w:t>
            </w:r>
          </w:p>
        </w:tc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38BC6C47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  <w:tc>
          <w:tcPr>
            <w:tcW w:w="656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61B4B656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  <w:tc>
          <w:tcPr>
            <w:tcW w:w="656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44B01118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  <w:tc>
          <w:tcPr>
            <w:tcW w:w="656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42B204E4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  <w:tc>
          <w:tcPr>
            <w:tcW w:w="656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1D78744A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74144F82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5F629829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</w:tr>
      <w:tr w14:paraId="72063C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4" w:type="dxa"/>
            <w:vMerge w:val="continue"/>
            <w:tcBorders>
              <w:top w:val="nil"/>
              <w:left w:val="single" w:color="auto" w:sz="4" w:space="0"/>
              <w:bottom w:val="inset" w:color="auto" w:sz="8" w:space="0"/>
              <w:right w:val="single" w:color="auto" w:sz="4" w:space="0"/>
            </w:tcBorders>
            <w:noWrap w:val="0"/>
            <w:vAlign w:val="center"/>
          </w:tcPr>
          <w:p w14:paraId="634F0F96"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921" w:type="dxa"/>
            <w:vMerge w:val="continue"/>
            <w:tcBorders>
              <w:top w:val="nil"/>
              <w:left w:val="single" w:color="auto" w:sz="4" w:space="0"/>
              <w:bottom w:val="inset" w:color="auto" w:sz="8" w:space="0"/>
              <w:right w:val="single" w:color="auto" w:sz="4" w:space="0"/>
            </w:tcBorders>
            <w:noWrap w:val="0"/>
            <w:vAlign w:val="center"/>
          </w:tcPr>
          <w:p w14:paraId="7F94146D"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988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4C545161"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</w:rPr>
              <w:t>6.属于四类过程性信息</w:t>
            </w:r>
          </w:p>
        </w:tc>
        <w:tc>
          <w:tcPr>
            <w:tcW w:w="656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3CEAC158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  <w:tc>
          <w:tcPr>
            <w:tcW w:w="656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7AD1F16A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  <w:tc>
          <w:tcPr>
            <w:tcW w:w="656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2AA66C3B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  <w:tc>
          <w:tcPr>
            <w:tcW w:w="656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66451BA2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  <w:tc>
          <w:tcPr>
            <w:tcW w:w="656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36785268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  <w:tc>
          <w:tcPr>
            <w:tcW w:w="65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1C0D3B0D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  <w:tc>
          <w:tcPr>
            <w:tcW w:w="405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78BED788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</w:tr>
      <w:tr w14:paraId="2B1080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3DCE4A"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92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997B79"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67D1868C"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</w:rPr>
              <w:t>7.属于行政执法案卷</w:t>
            </w:r>
          </w:p>
        </w:tc>
        <w:tc>
          <w:tcPr>
            <w:tcW w:w="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6F9BFB4D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  <w:tc>
          <w:tcPr>
            <w:tcW w:w="656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4D007F4E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  <w:tc>
          <w:tcPr>
            <w:tcW w:w="656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32DD90DF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  <w:tc>
          <w:tcPr>
            <w:tcW w:w="656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45BA3B2A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  <w:tc>
          <w:tcPr>
            <w:tcW w:w="656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104C33FB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306F62C3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43015771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</w:tr>
      <w:tr w14:paraId="2447E5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4" w:type="dxa"/>
            <w:vMerge w:val="continue"/>
            <w:tcBorders>
              <w:top w:val="single" w:color="auto" w:sz="4" w:space="0"/>
              <w:left w:val="single" w:color="auto" w:sz="4" w:space="0"/>
              <w:bottom w:val="inset" w:color="auto" w:sz="8" w:space="0"/>
              <w:right w:val="single" w:color="auto" w:sz="4" w:space="0"/>
            </w:tcBorders>
            <w:noWrap w:val="0"/>
            <w:vAlign w:val="center"/>
          </w:tcPr>
          <w:p w14:paraId="7CBB3C31"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9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1ED1B1A7"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048D5DCA"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</w:rPr>
              <w:t>8.属于行政查询事项</w:t>
            </w:r>
          </w:p>
        </w:tc>
        <w:tc>
          <w:tcPr>
            <w:tcW w:w="6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EA46A5A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  <w:tc>
          <w:tcPr>
            <w:tcW w:w="6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A2D2511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  <w:tc>
          <w:tcPr>
            <w:tcW w:w="6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D41E022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  <w:tc>
          <w:tcPr>
            <w:tcW w:w="6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698624D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  <w:tc>
          <w:tcPr>
            <w:tcW w:w="6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00768B6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  <w:tc>
          <w:tcPr>
            <w:tcW w:w="6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EE17408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  <w:tc>
          <w:tcPr>
            <w:tcW w:w="4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8701385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</w:tr>
      <w:tr w14:paraId="6BDA7A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4" w:type="dxa"/>
            <w:vMerge w:val="continue"/>
            <w:tcBorders>
              <w:top w:val="nil"/>
              <w:left w:val="single" w:color="auto" w:sz="4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 w14:paraId="74389201"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921" w:type="dxa"/>
            <w:vMerge w:val="restart"/>
            <w:tcBorders>
              <w:top w:val="single" w:color="auto" w:sz="8" w:space="0"/>
              <w:left w:val="nil"/>
              <w:bottom w:val="nil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7538F99"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</w:rPr>
              <w:t>（四）无法提供</w:t>
            </w:r>
          </w:p>
        </w:tc>
        <w:tc>
          <w:tcPr>
            <w:tcW w:w="2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39BA9381"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</w:rPr>
              <w:t>1.本机关不掌握相关政府信息</w:t>
            </w:r>
          </w:p>
        </w:tc>
        <w:tc>
          <w:tcPr>
            <w:tcW w:w="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FFD0D21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  <w:tc>
          <w:tcPr>
            <w:tcW w:w="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E800622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  <w:tc>
          <w:tcPr>
            <w:tcW w:w="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103D034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  <w:tc>
          <w:tcPr>
            <w:tcW w:w="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320FA6A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  <w:tc>
          <w:tcPr>
            <w:tcW w:w="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6025553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  <w:tc>
          <w:tcPr>
            <w:tcW w:w="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28F42B7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  <w:tc>
          <w:tcPr>
            <w:tcW w:w="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1BFDEF5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</w:tr>
      <w:tr w14:paraId="4B49AF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4" w:type="dxa"/>
            <w:vMerge w:val="continue"/>
            <w:tcBorders>
              <w:top w:val="nil"/>
              <w:left w:val="single" w:color="auto" w:sz="4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 w14:paraId="73EECFD3"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921" w:type="dxa"/>
            <w:vMerge w:val="continue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3829D799"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2694FEC3"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</w:rPr>
              <w:t>2.没有现成信息需要另行制作</w:t>
            </w:r>
          </w:p>
        </w:tc>
        <w:tc>
          <w:tcPr>
            <w:tcW w:w="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84E96D8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  <w:tc>
          <w:tcPr>
            <w:tcW w:w="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4E9C331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  <w:tc>
          <w:tcPr>
            <w:tcW w:w="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FBEAE77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  <w:tc>
          <w:tcPr>
            <w:tcW w:w="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FB20DF0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  <w:tc>
          <w:tcPr>
            <w:tcW w:w="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F1AF276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  <w:tc>
          <w:tcPr>
            <w:tcW w:w="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6EA58C8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  <w:tc>
          <w:tcPr>
            <w:tcW w:w="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2C9B48F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</w:tr>
      <w:tr w14:paraId="794766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4" w:type="dxa"/>
            <w:vMerge w:val="continue"/>
            <w:tcBorders>
              <w:top w:val="nil"/>
              <w:left w:val="single" w:color="auto" w:sz="4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 w14:paraId="6104E0B0"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921" w:type="dxa"/>
            <w:vMerge w:val="continue"/>
            <w:tcBorders>
              <w:top w:val="nil"/>
              <w:left w:val="nil"/>
              <w:bottom w:val="inset" w:color="auto" w:sz="8" w:space="0"/>
              <w:right w:val="single" w:color="auto" w:sz="4" w:space="0"/>
            </w:tcBorders>
            <w:noWrap w:val="0"/>
            <w:vAlign w:val="center"/>
          </w:tcPr>
          <w:p w14:paraId="4822D4B8"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1F5497C5"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</w:rPr>
              <w:t>3.补正后申请内容仍不明确</w:t>
            </w:r>
          </w:p>
        </w:tc>
        <w:tc>
          <w:tcPr>
            <w:tcW w:w="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C48F074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  <w:tc>
          <w:tcPr>
            <w:tcW w:w="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6443285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  <w:tc>
          <w:tcPr>
            <w:tcW w:w="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F935D43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  <w:tc>
          <w:tcPr>
            <w:tcW w:w="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2163BA0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  <w:tc>
          <w:tcPr>
            <w:tcW w:w="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69644D3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  <w:tc>
          <w:tcPr>
            <w:tcW w:w="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C97D66B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  <w:tc>
          <w:tcPr>
            <w:tcW w:w="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1EB2D4C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</w:tr>
      <w:tr w14:paraId="76089F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4" w:type="dxa"/>
            <w:vMerge w:val="continue"/>
            <w:tcBorders>
              <w:top w:val="nil"/>
              <w:left w:val="single" w:color="auto" w:sz="4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 w14:paraId="5193E211"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921" w:type="dxa"/>
            <w:vMerge w:val="restart"/>
            <w:tcBorders>
              <w:top w:val="nil"/>
              <w:left w:val="nil"/>
              <w:bottom w:val="inset" w:color="auto" w:sz="8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529A6FC"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</w:rPr>
              <w:t>（五）不予处理</w:t>
            </w:r>
          </w:p>
        </w:tc>
        <w:tc>
          <w:tcPr>
            <w:tcW w:w="2988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4D4ED7BE"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</w:rPr>
              <w:t>1.信访举报投诉类申请</w:t>
            </w:r>
          </w:p>
        </w:tc>
        <w:tc>
          <w:tcPr>
            <w:tcW w:w="656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570B839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  <w:tc>
          <w:tcPr>
            <w:tcW w:w="656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C8357F6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  <w:tc>
          <w:tcPr>
            <w:tcW w:w="656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6C5FB40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  <w:tc>
          <w:tcPr>
            <w:tcW w:w="656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7433A50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  <w:tc>
          <w:tcPr>
            <w:tcW w:w="656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16A6184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  <w:tc>
          <w:tcPr>
            <w:tcW w:w="65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B37FDCC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  <w:tc>
          <w:tcPr>
            <w:tcW w:w="405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E125955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</w:tr>
      <w:tr w14:paraId="7869E8D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4" w:type="dxa"/>
            <w:vMerge w:val="continue"/>
            <w:tcBorders>
              <w:top w:val="nil"/>
              <w:left w:val="single" w:color="auto" w:sz="4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 w14:paraId="3F59C4C8"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921" w:type="dxa"/>
            <w:vMerge w:val="continue"/>
            <w:tcBorders>
              <w:top w:val="nil"/>
              <w:left w:val="nil"/>
              <w:bottom w:val="inset" w:color="auto" w:sz="8" w:space="0"/>
              <w:right w:val="single" w:color="auto" w:sz="4" w:space="0"/>
            </w:tcBorders>
            <w:noWrap w:val="0"/>
            <w:vAlign w:val="center"/>
          </w:tcPr>
          <w:p w14:paraId="7994F378"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988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6F441175"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</w:rPr>
              <w:t>2.重复申请</w:t>
            </w:r>
          </w:p>
        </w:tc>
        <w:tc>
          <w:tcPr>
            <w:tcW w:w="6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24F9A16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  <w:tc>
          <w:tcPr>
            <w:tcW w:w="6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096DF8B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  <w:tc>
          <w:tcPr>
            <w:tcW w:w="6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A93A907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  <w:tc>
          <w:tcPr>
            <w:tcW w:w="6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C09BDC5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  <w:tc>
          <w:tcPr>
            <w:tcW w:w="6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5B9F31E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D90AC18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449D2F0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</w:tr>
      <w:tr w14:paraId="164A32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4" w:type="dxa"/>
            <w:vMerge w:val="continue"/>
            <w:tcBorders>
              <w:top w:val="nil"/>
              <w:left w:val="single" w:color="auto" w:sz="4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 w14:paraId="49B38DD4"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921" w:type="dxa"/>
            <w:vMerge w:val="continue"/>
            <w:tcBorders>
              <w:top w:val="nil"/>
              <w:left w:val="nil"/>
              <w:bottom w:val="inset" w:color="auto" w:sz="8" w:space="0"/>
              <w:right w:val="single" w:color="auto" w:sz="4" w:space="0"/>
            </w:tcBorders>
            <w:noWrap w:val="0"/>
            <w:vAlign w:val="center"/>
          </w:tcPr>
          <w:p w14:paraId="64D38864"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988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787B08E5"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</w:rPr>
              <w:t>3.要求提供公开出版物</w:t>
            </w:r>
          </w:p>
        </w:tc>
        <w:tc>
          <w:tcPr>
            <w:tcW w:w="6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B2C98CC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  <w:tc>
          <w:tcPr>
            <w:tcW w:w="6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76C265F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  <w:tc>
          <w:tcPr>
            <w:tcW w:w="6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C233B59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  <w:tc>
          <w:tcPr>
            <w:tcW w:w="6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23D4257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  <w:tc>
          <w:tcPr>
            <w:tcW w:w="6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CC48DFC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96A996A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0FEA300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</w:tr>
      <w:tr w14:paraId="0828A4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4" w:type="dxa"/>
            <w:vMerge w:val="continue"/>
            <w:tcBorders>
              <w:top w:val="nil"/>
              <w:left w:val="single" w:color="auto" w:sz="4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 w14:paraId="7C4FC9F8"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921" w:type="dxa"/>
            <w:vMerge w:val="continue"/>
            <w:tcBorders>
              <w:top w:val="nil"/>
              <w:left w:val="nil"/>
              <w:bottom w:val="inset" w:color="auto" w:sz="8" w:space="0"/>
              <w:right w:val="single" w:color="auto" w:sz="4" w:space="0"/>
            </w:tcBorders>
            <w:noWrap w:val="0"/>
            <w:vAlign w:val="center"/>
          </w:tcPr>
          <w:p w14:paraId="3E7ACF20"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988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79356993"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</w:rPr>
              <w:t>4.无正当理由大量反复申请</w:t>
            </w:r>
          </w:p>
        </w:tc>
        <w:tc>
          <w:tcPr>
            <w:tcW w:w="6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0DE1395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  <w:tc>
          <w:tcPr>
            <w:tcW w:w="6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C786437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  <w:tc>
          <w:tcPr>
            <w:tcW w:w="6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0777A8A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  <w:tc>
          <w:tcPr>
            <w:tcW w:w="6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44F77A4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  <w:tc>
          <w:tcPr>
            <w:tcW w:w="6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2FF90BF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8AA8F5A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5060179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</w:tr>
      <w:tr w14:paraId="5186E7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514" w:type="dxa"/>
            <w:vMerge w:val="continue"/>
            <w:tcBorders>
              <w:top w:val="nil"/>
              <w:left w:val="single" w:color="auto" w:sz="4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 w14:paraId="7C12B52E"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921" w:type="dxa"/>
            <w:vMerge w:val="continue"/>
            <w:tcBorders>
              <w:top w:val="nil"/>
              <w:left w:val="nil"/>
              <w:bottom w:val="inset" w:color="auto" w:sz="8" w:space="0"/>
              <w:right w:val="single" w:color="auto" w:sz="4" w:space="0"/>
            </w:tcBorders>
            <w:noWrap w:val="0"/>
            <w:vAlign w:val="center"/>
          </w:tcPr>
          <w:p w14:paraId="136D08B7"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9B1308F">
            <w:pPr>
              <w:widowControl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</w:rPr>
              <w:t>5.要求行政机关确认或重新出具已获取信息</w:t>
            </w:r>
          </w:p>
        </w:tc>
        <w:tc>
          <w:tcPr>
            <w:tcW w:w="656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4C34447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  <w:tc>
          <w:tcPr>
            <w:tcW w:w="656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EDF0D6F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  <w:tc>
          <w:tcPr>
            <w:tcW w:w="656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18DF8BA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  <w:tc>
          <w:tcPr>
            <w:tcW w:w="656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C780D5F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  <w:tc>
          <w:tcPr>
            <w:tcW w:w="656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64FBAD4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7CACFD1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726F865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</w:tr>
      <w:tr w14:paraId="60C799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4" w:type="dxa"/>
            <w:vMerge w:val="continue"/>
            <w:tcBorders>
              <w:top w:val="nil"/>
              <w:left w:val="single" w:color="auto" w:sz="4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 w14:paraId="64666531"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921" w:type="dxa"/>
            <w:vMerge w:val="restart"/>
            <w:tcBorders>
              <w:top w:val="inset" w:color="auto" w:sz="8" w:space="0"/>
              <w:left w:val="nil"/>
              <w:bottom w:val="in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D978D68"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</w:rPr>
              <w:t>（六）其他处理</w:t>
            </w:r>
          </w:p>
        </w:tc>
        <w:tc>
          <w:tcPr>
            <w:tcW w:w="298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A5ED693">
            <w:pPr>
              <w:widowControl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</w:rPr>
              <w:t>1.申请人无正当理由逾期不补正、行政机关不再处理其政府信息公开申请</w:t>
            </w:r>
          </w:p>
        </w:tc>
        <w:tc>
          <w:tcPr>
            <w:tcW w:w="656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F7DA624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  <w:tc>
          <w:tcPr>
            <w:tcW w:w="656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311F5E1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  <w:tc>
          <w:tcPr>
            <w:tcW w:w="656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F36D4A7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  <w:tc>
          <w:tcPr>
            <w:tcW w:w="656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2393B2F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  <w:tc>
          <w:tcPr>
            <w:tcW w:w="656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69DEC86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  <w:tc>
          <w:tcPr>
            <w:tcW w:w="65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6D95A70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  <w:tc>
          <w:tcPr>
            <w:tcW w:w="405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196D93A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</w:tr>
      <w:tr w14:paraId="03C4E8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4" w:type="dxa"/>
            <w:vMerge w:val="continue"/>
            <w:tcBorders>
              <w:top w:val="nil"/>
              <w:left w:val="single" w:color="auto" w:sz="4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 w14:paraId="7874F431"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921" w:type="dxa"/>
            <w:vMerge w:val="continue"/>
            <w:tcBorders>
              <w:top w:val="inset" w:color="auto" w:sz="8" w:space="0"/>
              <w:left w:val="nil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 w14:paraId="5949C97E"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9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E28AA9A">
            <w:pPr>
              <w:widowControl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</w:rPr>
              <w:t>2.申请人逾期未按收费通知要求缴纳费用、行政机关不再处理其政府信息公开申请</w:t>
            </w:r>
          </w:p>
        </w:tc>
        <w:tc>
          <w:tcPr>
            <w:tcW w:w="6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5356275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  <w:tc>
          <w:tcPr>
            <w:tcW w:w="6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C76F553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  <w:tc>
          <w:tcPr>
            <w:tcW w:w="6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8879966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  <w:tc>
          <w:tcPr>
            <w:tcW w:w="6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5210BEF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  <w:tc>
          <w:tcPr>
            <w:tcW w:w="6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CE3F9EA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AA66B54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0164C6D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</w:tr>
      <w:tr w14:paraId="5B973D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4" w:type="dxa"/>
            <w:vMerge w:val="continue"/>
            <w:tcBorders>
              <w:top w:val="nil"/>
              <w:left w:val="single" w:color="auto" w:sz="4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 w14:paraId="04D816DB"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921" w:type="dxa"/>
            <w:vMerge w:val="continue"/>
            <w:tcBorders>
              <w:top w:val="inset" w:color="auto" w:sz="8" w:space="0"/>
              <w:left w:val="nil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 w14:paraId="4AA6F6FD"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9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ACC0B09"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</w:rPr>
              <w:t>3.其他</w:t>
            </w:r>
          </w:p>
        </w:tc>
        <w:tc>
          <w:tcPr>
            <w:tcW w:w="6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4DE5A4B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  <w:tc>
          <w:tcPr>
            <w:tcW w:w="6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1997D45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  <w:tc>
          <w:tcPr>
            <w:tcW w:w="6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FD1859D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  <w:tc>
          <w:tcPr>
            <w:tcW w:w="6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E742D6C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  <w:tc>
          <w:tcPr>
            <w:tcW w:w="6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F7D45EE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AA51FCB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4F54461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</w:tr>
      <w:tr w14:paraId="316B4A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4" w:type="dxa"/>
            <w:vMerge w:val="continue"/>
            <w:tcBorders>
              <w:top w:val="nil"/>
              <w:left w:val="single" w:color="auto" w:sz="4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 w14:paraId="5D7F5D7C"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390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0E0AEA3"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</w:rPr>
              <w:t>（七）总计</w:t>
            </w:r>
          </w:p>
        </w:tc>
        <w:tc>
          <w:tcPr>
            <w:tcW w:w="6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AE612DD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  <w:tc>
          <w:tcPr>
            <w:tcW w:w="6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47BDBEC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  <w:tc>
          <w:tcPr>
            <w:tcW w:w="6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A7B44A5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  <w:tc>
          <w:tcPr>
            <w:tcW w:w="6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307FE47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  <w:tc>
          <w:tcPr>
            <w:tcW w:w="6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FE2A4AE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7D4176D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DCAAA83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</w:tr>
      <w:tr w14:paraId="0B4488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423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367349D"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</w:rPr>
              <w:t>四、结转下年度继续办理</w:t>
            </w:r>
          </w:p>
        </w:tc>
        <w:tc>
          <w:tcPr>
            <w:tcW w:w="6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69F0C9A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  <w:tc>
          <w:tcPr>
            <w:tcW w:w="6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6C15F0E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  <w:tc>
          <w:tcPr>
            <w:tcW w:w="6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EC32C54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  <w:tc>
          <w:tcPr>
            <w:tcW w:w="6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D45329E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  <w:tc>
          <w:tcPr>
            <w:tcW w:w="6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4B19FB0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B696CC1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C3BFB5F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</w:tr>
    </w:tbl>
    <w:p w14:paraId="7EFDC42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24" w:firstLineChars="200"/>
        <w:textAlignment w:val="auto"/>
        <w:rPr>
          <w:rFonts w:hint="default" w:ascii="Times New Roman" w:hAnsi="Times New Roman" w:eastAsia="黑体" w:cs="Times New Roman"/>
          <w:snapToGrid w:val="0"/>
          <w:color w:val="auto"/>
          <w:spacing w:val="-4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napToGrid w:val="0"/>
          <w:color w:val="auto"/>
          <w:spacing w:val="-4"/>
          <w:kern w:val="0"/>
          <w:sz w:val="32"/>
          <w:szCs w:val="32"/>
          <w:highlight w:val="none"/>
          <w:lang w:val="en-US" w:eastAsia="zh-CN"/>
        </w:rPr>
        <w:t>四、</w:t>
      </w:r>
      <w:r>
        <w:rPr>
          <w:rFonts w:hint="default" w:ascii="Times New Roman" w:hAnsi="Times New Roman" w:eastAsia="黑体" w:cs="Times New Roman"/>
          <w:snapToGrid w:val="0"/>
          <w:color w:val="auto"/>
          <w:spacing w:val="-4"/>
          <w:kern w:val="0"/>
          <w:sz w:val="32"/>
          <w:szCs w:val="32"/>
          <w:highlight w:val="none"/>
        </w:rPr>
        <w:t>政府信息公开行政复议、行政</w:t>
      </w:r>
      <w:r>
        <w:rPr>
          <w:rFonts w:hint="default" w:ascii="Times New Roman" w:hAnsi="Times New Roman" w:eastAsia="黑体" w:cs="Times New Roman"/>
          <w:snapToGrid w:val="0"/>
          <w:color w:val="auto"/>
          <w:spacing w:val="-4"/>
          <w:kern w:val="0"/>
          <w:sz w:val="32"/>
          <w:szCs w:val="32"/>
          <w:highlight w:val="none"/>
          <w:lang w:eastAsia="zh-CN"/>
        </w:rPr>
        <w:t>诉讼</w:t>
      </w:r>
      <w:r>
        <w:rPr>
          <w:rFonts w:hint="default" w:ascii="Times New Roman" w:hAnsi="Times New Roman" w:eastAsia="黑体" w:cs="Times New Roman"/>
          <w:snapToGrid w:val="0"/>
          <w:color w:val="auto"/>
          <w:spacing w:val="-4"/>
          <w:kern w:val="0"/>
          <w:sz w:val="32"/>
          <w:szCs w:val="32"/>
          <w:highlight w:val="none"/>
        </w:rPr>
        <w:t>情况</w:t>
      </w:r>
    </w:p>
    <w:tbl>
      <w:tblPr>
        <w:tblStyle w:val="16"/>
        <w:tblW w:w="8867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0"/>
        <w:gridCol w:w="655"/>
        <w:gridCol w:w="650"/>
        <w:gridCol w:w="675"/>
        <w:gridCol w:w="363"/>
        <w:gridCol w:w="675"/>
        <w:gridCol w:w="662"/>
        <w:gridCol w:w="650"/>
        <w:gridCol w:w="675"/>
        <w:gridCol w:w="313"/>
        <w:gridCol w:w="650"/>
        <w:gridCol w:w="625"/>
        <w:gridCol w:w="637"/>
        <w:gridCol w:w="663"/>
        <w:gridCol w:w="334"/>
      </w:tblGrid>
      <w:tr w14:paraId="2D96CC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98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4EFCF1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</w:rPr>
              <w:t>行政复议</w:t>
            </w:r>
          </w:p>
        </w:tc>
        <w:tc>
          <w:tcPr>
            <w:tcW w:w="5884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96F22A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</w:rPr>
              <w:t>行政诉讼</w:t>
            </w:r>
          </w:p>
        </w:tc>
      </w:tr>
      <w:tr w14:paraId="1598368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23E69D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</w:rPr>
              <w:t>结果维持</w:t>
            </w:r>
          </w:p>
        </w:tc>
        <w:tc>
          <w:tcPr>
            <w:tcW w:w="655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679D15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</w:rPr>
              <w:t>结果</w:t>
            </w:r>
          </w:p>
          <w:p w14:paraId="3976A49E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</w:rPr>
              <w:t>纠正</w:t>
            </w:r>
          </w:p>
        </w:tc>
        <w:tc>
          <w:tcPr>
            <w:tcW w:w="65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008C02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</w:rPr>
              <w:t>其他</w:t>
            </w:r>
          </w:p>
          <w:p w14:paraId="7AB555C0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</w:rPr>
              <w:t>结果</w:t>
            </w:r>
          </w:p>
        </w:tc>
        <w:tc>
          <w:tcPr>
            <w:tcW w:w="675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D36280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</w:rPr>
              <w:t>尚未</w:t>
            </w:r>
          </w:p>
          <w:p w14:paraId="7AAFCA58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</w:rPr>
              <w:t>审结</w:t>
            </w:r>
          </w:p>
        </w:tc>
        <w:tc>
          <w:tcPr>
            <w:tcW w:w="363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2320FB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</w:rPr>
              <w:t>总计</w:t>
            </w:r>
          </w:p>
        </w:tc>
        <w:tc>
          <w:tcPr>
            <w:tcW w:w="297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B25189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</w:rPr>
              <w:t>未经复议直接起诉</w:t>
            </w:r>
          </w:p>
        </w:tc>
        <w:tc>
          <w:tcPr>
            <w:tcW w:w="2909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F761AA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</w:rPr>
              <w:t>复议后起诉</w:t>
            </w:r>
          </w:p>
        </w:tc>
      </w:tr>
      <w:tr w14:paraId="3E993E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823A4E7"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65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5C0A6CF"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65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8BD4DA2"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67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DC05AE7"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36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7A82C1B"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47CFA2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</w:rPr>
              <w:t>结果</w:t>
            </w:r>
          </w:p>
          <w:p w14:paraId="1EBFD88E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</w:rPr>
              <w:t>维持</w:t>
            </w:r>
          </w:p>
        </w:tc>
        <w:tc>
          <w:tcPr>
            <w:tcW w:w="66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5C4BBF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</w:rPr>
              <w:t>结果</w:t>
            </w:r>
          </w:p>
          <w:p w14:paraId="4A8C32B7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</w:rPr>
              <w:t>纠正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BE5A6F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</w:rPr>
              <w:t>其他</w:t>
            </w:r>
          </w:p>
          <w:p w14:paraId="2FF13975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</w:rPr>
              <w:t>结果</w:t>
            </w:r>
          </w:p>
        </w:tc>
        <w:tc>
          <w:tcPr>
            <w:tcW w:w="6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D15F2A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</w:rPr>
              <w:t>尚未</w:t>
            </w:r>
          </w:p>
          <w:p w14:paraId="64C0C4C8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</w:rPr>
              <w:t>审结</w:t>
            </w:r>
          </w:p>
        </w:tc>
        <w:tc>
          <w:tcPr>
            <w:tcW w:w="31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CA22CC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highlight w:val="none"/>
              </w:rPr>
              <w:t>总计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B70171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</w:rPr>
              <w:t>结果</w:t>
            </w:r>
          </w:p>
          <w:p w14:paraId="49AC3D2F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</w:rPr>
              <w:t>维持</w:t>
            </w:r>
          </w:p>
        </w:tc>
        <w:tc>
          <w:tcPr>
            <w:tcW w:w="6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AA3789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</w:rPr>
              <w:t>结果</w:t>
            </w:r>
          </w:p>
          <w:p w14:paraId="2CEFC184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</w:rPr>
              <w:t>纠正</w:t>
            </w:r>
          </w:p>
        </w:tc>
        <w:tc>
          <w:tcPr>
            <w:tcW w:w="6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A6D80A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highlight w:val="none"/>
              </w:rPr>
              <w:t>其他</w:t>
            </w:r>
          </w:p>
          <w:p w14:paraId="307F1253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highlight w:val="none"/>
              </w:rPr>
              <w:t>结果</w:t>
            </w:r>
          </w:p>
        </w:tc>
        <w:tc>
          <w:tcPr>
            <w:tcW w:w="6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3B2AF1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</w:rPr>
              <w:t>尚未</w:t>
            </w:r>
          </w:p>
          <w:p w14:paraId="6EB3A2E9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</w:rPr>
              <w:t>审结</w:t>
            </w:r>
          </w:p>
        </w:tc>
        <w:tc>
          <w:tcPr>
            <w:tcW w:w="3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D5755F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highlight w:val="none"/>
              </w:rPr>
              <w:t>总计</w:t>
            </w:r>
          </w:p>
        </w:tc>
      </w:tr>
      <w:tr w14:paraId="514F898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6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914DFA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  <w:tc>
          <w:tcPr>
            <w:tcW w:w="6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DA165F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C2899F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B8F6A6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  <w:tc>
          <w:tcPr>
            <w:tcW w:w="36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55863C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0B37C2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  <w:tc>
          <w:tcPr>
            <w:tcW w:w="66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9C7B10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1FDA63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FEFDD9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  <w:tc>
          <w:tcPr>
            <w:tcW w:w="3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A5782F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D215B6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  <w:tc>
          <w:tcPr>
            <w:tcW w:w="6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807273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  <w:tc>
          <w:tcPr>
            <w:tcW w:w="6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B55489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  <w:tc>
          <w:tcPr>
            <w:tcW w:w="66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17D86E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  <w:tc>
          <w:tcPr>
            <w:tcW w:w="33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FE7506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</w:tr>
    </w:tbl>
    <w:p w14:paraId="16D1D4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24" w:firstLineChars="200"/>
        <w:textAlignment w:val="auto"/>
        <w:rPr>
          <w:rFonts w:hint="default" w:ascii="Times New Roman" w:hAnsi="Times New Roman" w:eastAsia="黑体" w:cs="Times New Roman"/>
          <w:snapToGrid w:val="0"/>
          <w:color w:val="auto"/>
          <w:spacing w:val="-4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napToGrid w:val="0"/>
          <w:color w:val="auto"/>
          <w:spacing w:val="-4"/>
          <w:kern w:val="0"/>
          <w:sz w:val="32"/>
          <w:szCs w:val="32"/>
          <w:highlight w:val="none"/>
        </w:rPr>
        <w:t>五、存在的主要问题及改进情况</w:t>
      </w:r>
    </w:p>
    <w:p w14:paraId="3062FD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24"/>
        <w:textAlignment w:val="auto"/>
        <w:rPr>
          <w:rFonts w:hint="default" w:ascii="Times New Roman" w:hAnsi="Times New Roman" w:eastAsia="仿宋_GB2312" w:cs="Times New Roman"/>
          <w:snapToGrid w:val="0"/>
          <w:color w:val="auto"/>
          <w:spacing w:val="-4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napToGrid w:val="0"/>
          <w:color w:val="auto"/>
          <w:spacing w:val="-4"/>
          <w:kern w:val="0"/>
          <w:sz w:val="32"/>
          <w:szCs w:val="32"/>
          <w:highlight w:val="none"/>
        </w:rPr>
        <w:t>2024年，市信访局政府信息公开工作在回应社会关切、了解社情民意、依法按政策解决群众急难愁盼、维护群众合法权益等方面取得了明显成效，但也还存在一些问题，一是政府信息公开工作更新率、及时率有待提高，主动向社会公开信息的领域有待拓展。二是在政策解读、公众参与等方面有待加强。</w:t>
      </w:r>
    </w:p>
    <w:p w14:paraId="2031C3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24"/>
        <w:textAlignment w:val="auto"/>
        <w:rPr>
          <w:rFonts w:hint="default" w:ascii="Times New Roman" w:hAnsi="Times New Roman" w:eastAsia="仿宋_GB2312" w:cs="Times New Roman"/>
          <w:snapToGrid w:val="0"/>
          <w:color w:val="auto"/>
          <w:spacing w:val="-4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napToGrid w:val="0"/>
          <w:color w:val="auto"/>
          <w:spacing w:val="-4"/>
          <w:kern w:val="0"/>
          <w:sz w:val="32"/>
          <w:szCs w:val="32"/>
          <w:highlight w:val="none"/>
        </w:rPr>
        <w:t>下一步工作中，市信访局将按照市政务公开工作相关要求，坚持“公开为常态、不公开为例外”原则，深化政策解读、积极回应关切，增强信息公开的针对性和精准度，保证公开信息的及时、准确和全面，不断提高政务信息公开工作的质量和水平。</w:t>
      </w:r>
    </w:p>
    <w:p w14:paraId="24EA6A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24"/>
        <w:textAlignment w:val="auto"/>
        <w:rPr>
          <w:rFonts w:hint="default" w:ascii="Times New Roman" w:hAnsi="Times New Roman" w:eastAsia="黑体" w:cs="Times New Roman"/>
          <w:snapToGrid w:val="0"/>
          <w:color w:val="auto"/>
          <w:spacing w:val="-4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napToGrid w:val="0"/>
          <w:color w:val="auto"/>
          <w:spacing w:val="-4"/>
          <w:kern w:val="0"/>
          <w:sz w:val="32"/>
          <w:szCs w:val="32"/>
          <w:highlight w:val="none"/>
        </w:rPr>
        <w:t>六、其他需要报告的事项</w:t>
      </w:r>
    </w:p>
    <w:p w14:paraId="440C21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24" w:firstLineChars="200"/>
        <w:textAlignment w:val="auto"/>
        <w:rPr>
          <w:rFonts w:hint="default" w:ascii="Times New Roman" w:hAnsi="Times New Roman" w:eastAsia="仿宋_GB2312" w:cs="Times New Roman"/>
          <w:spacing w:val="-4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pacing w:val="-4"/>
          <w:kern w:val="0"/>
          <w:sz w:val="32"/>
          <w:szCs w:val="32"/>
          <w:highlight w:val="none"/>
          <w:lang w:eastAsia="zh-CN"/>
        </w:rPr>
        <w:t>无</w:t>
      </w:r>
      <w:r>
        <w:rPr>
          <w:rFonts w:hint="default" w:ascii="Times New Roman" w:hAnsi="Times New Roman" w:eastAsia="仿宋_GB2312" w:cs="Times New Roman"/>
          <w:color w:val="auto"/>
          <w:spacing w:val="-4"/>
          <w:kern w:val="0"/>
          <w:sz w:val="32"/>
          <w:szCs w:val="32"/>
          <w:highlight w:val="none"/>
        </w:rPr>
        <w:t xml:space="preserve">                 </w:t>
      </w:r>
      <w:r>
        <w:rPr>
          <w:rFonts w:hint="default" w:ascii="Times New Roman" w:hAnsi="Times New Roman" w:eastAsia="仿宋_GB2312" w:cs="Times New Roman"/>
          <w:spacing w:val="-4"/>
          <w:kern w:val="0"/>
          <w:sz w:val="32"/>
          <w:szCs w:val="32"/>
          <w:highlight w:val="none"/>
        </w:rPr>
        <w:t xml:space="preserve">         </w:t>
      </w:r>
    </w:p>
    <w:p w14:paraId="09C5BF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552" w:firstLineChars="2100"/>
        <w:textAlignment w:val="auto"/>
        <w:rPr>
          <w:rFonts w:hint="default" w:ascii="Times New Roman" w:hAnsi="Times New Roman" w:eastAsia="仿宋_GB2312" w:cs="Times New Roman"/>
          <w:b w:val="0"/>
          <w:bCs w:val="0"/>
          <w:spacing w:val="-4"/>
          <w:kern w:val="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pacing w:val="-4"/>
          <w:kern w:val="0"/>
          <w:sz w:val="32"/>
          <w:szCs w:val="32"/>
          <w:highlight w:val="none"/>
          <w:lang w:eastAsia="zh-CN"/>
        </w:rPr>
        <w:t>太仓市</w:t>
      </w:r>
      <w:r>
        <w:rPr>
          <w:rFonts w:hint="eastAsia" w:eastAsia="仿宋_GB2312" w:cs="Times New Roman"/>
          <w:b w:val="0"/>
          <w:bCs w:val="0"/>
          <w:spacing w:val="-4"/>
          <w:kern w:val="0"/>
          <w:sz w:val="32"/>
          <w:szCs w:val="32"/>
          <w:highlight w:val="none"/>
          <w:lang w:val="en-US" w:eastAsia="zh-CN"/>
        </w:rPr>
        <w:t>信访</w:t>
      </w:r>
      <w:r>
        <w:rPr>
          <w:rFonts w:hint="default" w:ascii="Times New Roman" w:hAnsi="Times New Roman" w:eastAsia="仿宋_GB2312" w:cs="Times New Roman"/>
          <w:b w:val="0"/>
          <w:bCs w:val="0"/>
          <w:spacing w:val="-4"/>
          <w:kern w:val="0"/>
          <w:sz w:val="32"/>
          <w:szCs w:val="32"/>
          <w:highlight w:val="none"/>
          <w:lang w:eastAsia="zh-CN"/>
        </w:rPr>
        <w:t>局</w:t>
      </w:r>
    </w:p>
    <w:p w14:paraId="0A46C0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jc w:val="center"/>
        <w:textAlignment w:val="auto"/>
        <w:rPr>
          <w:rFonts w:hint="default" w:ascii="Times New Roman" w:hAnsi="Times New Roman" w:cs="Times New Roman"/>
          <w:highlight w:val="none"/>
        </w:rPr>
      </w:pPr>
      <w:r>
        <w:rPr>
          <w:rFonts w:hint="default" w:ascii="Times New Roman" w:hAnsi="Times New Roman" w:eastAsia="仿宋_GB2312" w:cs="Times New Roman"/>
          <w:spacing w:val="-4"/>
          <w:kern w:val="0"/>
          <w:sz w:val="32"/>
          <w:szCs w:val="32"/>
          <w:highlight w:val="none"/>
          <w:lang w:val="en-US" w:eastAsia="zh-CN"/>
        </w:rPr>
        <w:t xml:space="preserve">                                         2025年1月</w:t>
      </w:r>
      <w:r>
        <w:rPr>
          <w:rFonts w:hint="eastAsia" w:eastAsia="仿宋_GB2312" w:cs="Times New Roman"/>
          <w:spacing w:val="-4"/>
          <w:kern w:val="0"/>
          <w:sz w:val="32"/>
          <w:szCs w:val="32"/>
          <w:highlight w:val="none"/>
          <w:lang w:val="en-US" w:eastAsia="zh-CN"/>
        </w:rPr>
        <w:t>14</w:t>
      </w:r>
      <w:r>
        <w:rPr>
          <w:rFonts w:hint="default" w:ascii="Times New Roman" w:hAnsi="Times New Roman" w:eastAsia="仿宋_GB2312" w:cs="Times New Roman"/>
          <w:spacing w:val="-4"/>
          <w:kern w:val="0"/>
          <w:sz w:val="32"/>
          <w:szCs w:val="32"/>
          <w:highlight w:val="none"/>
          <w:lang w:val="en-US" w:eastAsia="zh-CN"/>
        </w:rPr>
        <w:t>日</w:t>
      </w:r>
    </w:p>
    <w:bookmarkEnd w:id="1"/>
    <w:p w14:paraId="35548F4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default" w:ascii="Times New Roman" w:hAnsi="Times New Roman" w:cs="Times New Roman"/>
        </w:rPr>
      </w:pPr>
      <w:bookmarkStart w:id="2" w:name="_GoBack"/>
      <w:bookmarkEnd w:id="2"/>
    </w:p>
    <w:sectPr>
      <w:footerReference r:id="rId3" w:type="default"/>
      <w:footerReference r:id="rId4" w:type="even"/>
      <w:pgSz w:w="11906" w:h="16838"/>
      <w:pgMar w:top="2041" w:right="1588" w:bottom="1701" w:left="1588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汉鼎简仿宋">
    <w:altName w:val="微软雅黑"/>
    <w:panose1 w:val="0201060901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汉鼎简大宋">
    <w:altName w:val="宋体"/>
    <w:panose1 w:val="02010609010101010101"/>
    <w:charset w:val="86"/>
    <w:family w:val="modern"/>
    <w:pitch w:val="default"/>
    <w:sig w:usb0="00000000" w:usb1="00000000" w:usb2="00000010" w:usb3="00000000" w:csb0="00040000" w:csb1="00000000"/>
  </w:font>
  <w:font w:name="汉鼎简黑体">
    <w:altName w:val="宋体"/>
    <w:panose1 w:val="0201060900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888B16">
    <w:pPr>
      <w:pStyle w:val="1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8</w:t>
    </w:r>
    <w:r>
      <w:fldChar w:fldCharType="end"/>
    </w:r>
  </w:p>
  <w:p w14:paraId="034CE865">
    <w:pPr>
      <w:pStyle w:val="10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D08A47">
    <w:pPr>
      <w:pStyle w:val="10"/>
      <w:framePr w:wrap="around" w:vAnchor="text" w:hAnchor="margin" w:xAlign="center" w:y="1"/>
      <w:rPr>
        <w:rStyle w:val="19"/>
      </w:rPr>
    </w:pPr>
    <w:r>
      <w:fldChar w:fldCharType="begin"/>
    </w:r>
    <w:r>
      <w:rPr>
        <w:rStyle w:val="19"/>
      </w:rPr>
      <w:instrText xml:space="preserve">PAGE  </w:instrText>
    </w:r>
    <w:r>
      <w:fldChar w:fldCharType="end"/>
    </w:r>
  </w:p>
  <w:p w14:paraId="06135168">
    <w:pPr>
      <w:pStyle w:val="1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B47945A"/>
    <w:multiLevelType w:val="singleLevel"/>
    <w:tmpl w:val="9B47945A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4FB22831"/>
    <w:multiLevelType w:val="multilevel"/>
    <w:tmpl w:val="4FB22831"/>
    <w:lvl w:ilvl="0" w:tentative="0">
      <w:start w:val="1"/>
      <w:numFmt w:val="decimal"/>
      <w:pStyle w:val="29"/>
      <w:lvlText w:val="%1．"/>
      <w:lvlJc w:val="left"/>
      <w:pPr>
        <w:tabs>
          <w:tab w:val="left" w:pos="690"/>
        </w:tabs>
        <w:ind w:left="69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1170"/>
        </w:tabs>
        <w:ind w:left="117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590"/>
        </w:tabs>
        <w:ind w:left="1590" w:hanging="420"/>
      </w:pPr>
    </w:lvl>
    <w:lvl w:ilvl="3" w:tentative="0">
      <w:start w:val="1"/>
      <w:numFmt w:val="decimal"/>
      <w:lvlText w:val="%4."/>
      <w:lvlJc w:val="left"/>
      <w:pPr>
        <w:tabs>
          <w:tab w:val="left" w:pos="2010"/>
        </w:tabs>
        <w:ind w:left="201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430"/>
        </w:tabs>
        <w:ind w:left="243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850"/>
        </w:tabs>
        <w:ind w:left="2850" w:hanging="420"/>
      </w:pPr>
    </w:lvl>
    <w:lvl w:ilvl="6" w:tentative="0">
      <w:start w:val="1"/>
      <w:numFmt w:val="decimal"/>
      <w:lvlText w:val="%7."/>
      <w:lvlJc w:val="left"/>
      <w:pPr>
        <w:tabs>
          <w:tab w:val="left" w:pos="3270"/>
        </w:tabs>
        <w:ind w:left="327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690"/>
        </w:tabs>
        <w:ind w:left="369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110"/>
        </w:tabs>
        <w:ind w:left="411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56A1"/>
    <w:rsid w:val="00007929"/>
    <w:rsid w:val="000119D0"/>
    <w:rsid w:val="00011CB2"/>
    <w:rsid w:val="0001357E"/>
    <w:rsid w:val="000150DF"/>
    <w:rsid w:val="00015830"/>
    <w:rsid w:val="000236DB"/>
    <w:rsid w:val="00024C87"/>
    <w:rsid w:val="00025159"/>
    <w:rsid w:val="000257F8"/>
    <w:rsid w:val="000314B2"/>
    <w:rsid w:val="000327CA"/>
    <w:rsid w:val="00044F5F"/>
    <w:rsid w:val="000462B1"/>
    <w:rsid w:val="000516FA"/>
    <w:rsid w:val="000530BB"/>
    <w:rsid w:val="00055ED4"/>
    <w:rsid w:val="00057536"/>
    <w:rsid w:val="0006172C"/>
    <w:rsid w:val="00062CAE"/>
    <w:rsid w:val="000630F1"/>
    <w:rsid w:val="00071789"/>
    <w:rsid w:val="0007285F"/>
    <w:rsid w:val="00072F5C"/>
    <w:rsid w:val="000779D6"/>
    <w:rsid w:val="00082473"/>
    <w:rsid w:val="00095B48"/>
    <w:rsid w:val="000A2A92"/>
    <w:rsid w:val="000A42AE"/>
    <w:rsid w:val="000A4F6E"/>
    <w:rsid w:val="000A54BE"/>
    <w:rsid w:val="000A694A"/>
    <w:rsid w:val="000B0B74"/>
    <w:rsid w:val="000B15AD"/>
    <w:rsid w:val="000B3738"/>
    <w:rsid w:val="000B48C4"/>
    <w:rsid w:val="000B49F8"/>
    <w:rsid w:val="000B6077"/>
    <w:rsid w:val="000B75D6"/>
    <w:rsid w:val="000C16ED"/>
    <w:rsid w:val="000C1D67"/>
    <w:rsid w:val="000C412C"/>
    <w:rsid w:val="000C7985"/>
    <w:rsid w:val="000C7C29"/>
    <w:rsid w:val="000D05AB"/>
    <w:rsid w:val="000D3F20"/>
    <w:rsid w:val="000D7BFB"/>
    <w:rsid w:val="000D7F36"/>
    <w:rsid w:val="000E3F85"/>
    <w:rsid w:val="000F06FE"/>
    <w:rsid w:val="0010269E"/>
    <w:rsid w:val="0010447A"/>
    <w:rsid w:val="00104B9D"/>
    <w:rsid w:val="00105306"/>
    <w:rsid w:val="00105D45"/>
    <w:rsid w:val="001111C4"/>
    <w:rsid w:val="00112420"/>
    <w:rsid w:val="00117C12"/>
    <w:rsid w:val="0012441A"/>
    <w:rsid w:val="00125E8E"/>
    <w:rsid w:val="001264F5"/>
    <w:rsid w:val="00126CEF"/>
    <w:rsid w:val="001311EA"/>
    <w:rsid w:val="001315CA"/>
    <w:rsid w:val="00131CEF"/>
    <w:rsid w:val="00131F10"/>
    <w:rsid w:val="001354CC"/>
    <w:rsid w:val="0014286E"/>
    <w:rsid w:val="0014321F"/>
    <w:rsid w:val="00152633"/>
    <w:rsid w:val="00152764"/>
    <w:rsid w:val="00157F22"/>
    <w:rsid w:val="00162F8F"/>
    <w:rsid w:val="00163254"/>
    <w:rsid w:val="00164634"/>
    <w:rsid w:val="00164CE8"/>
    <w:rsid w:val="001710FF"/>
    <w:rsid w:val="001756BD"/>
    <w:rsid w:val="00186CC7"/>
    <w:rsid w:val="00191419"/>
    <w:rsid w:val="00192807"/>
    <w:rsid w:val="00194700"/>
    <w:rsid w:val="001954E4"/>
    <w:rsid w:val="001A2EFC"/>
    <w:rsid w:val="001A368D"/>
    <w:rsid w:val="001A384A"/>
    <w:rsid w:val="001A465F"/>
    <w:rsid w:val="001B0840"/>
    <w:rsid w:val="001B1E4F"/>
    <w:rsid w:val="001C148A"/>
    <w:rsid w:val="001C4EC1"/>
    <w:rsid w:val="001C77CB"/>
    <w:rsid w:val="001D0548"/>
    <w:rsid w:val="001D117D"/>
    <w:rsid w:val="001D2F32"/>
    <w:rsid w:val="001D427E"/>
    <w:rsid w:val="001D4FA0"/>
    <w:rsid w:val="001D71A1"/>
    <w:rsid w:val="001E4A18"/>
    <w:rsid w:val="001E7C45"/>
    <w:rsid w:val="001F0858"/>
    <w:rsid w:val="001F4DA3"/>
    <w:rsid w:val="001F67FD"/>
    <w:rsid w:val="001F7F5B"/>
    <w:rsid w:val="00201E70"/>
    <w:rsid w:val="00202BE3"/>
    <w:rsid w:val="00203E47"/>
    <w:rsid w:val="00213AB0"/>
    <w:rsid w:val="00215853"/>
    <w:rsid w:val="00220736"/>
    <w:rsid w:val="00220B27"/>
    <w:rsid w:val="002218B7"/>
    <w:rsid w:val="00223C23"/>
    <w:rsid w:val="00235C6C"/>
    <w:rsid w:val="00235E4E"/>
    <w:rsid w:val="00236308"/>
    <w:rsid w:val="00236FCE"/>
    <w:rsid w:val="00237363"/>
    <w:rsid w:val="00237D6E"/>
    <w:rsid w:val="00242134"/>
    <w:rsid w:val="00242BA5"/>
    <w:rsid w:val="002434D7"/>
    <w:rsid w:val="00253A2F"/>
    <w:rsid w:val="00253A7D"/>
    <w:rsid w:val="002607CD"/>
    <w:rsid w:val="00264069"/>
    <w:rsid w:val="002656A1"/>
    <w:rsid w:val="00265768"/>
    <w:rsid w:val="00266F2A"/>
    <w:rsid w:val="00270FDF"/>
    <w:rsid w:val="00271BFF"/>
    <w:rsid w:val="00272B5E"/>
    <w:rsid w:val="00276291"/>
    <w:rsid w:val="002771FB"/>
    <w:rsid w:val="002833AF"/>
    <w:rsid w:val="002840D4"/>
    <w:rsid w:val="002850F6"/>
    <w:rsid w:val="00287CED"/>
    <w:rsid w:val="002906C5"/>
    <w:rsid w:val="00297B13"/>
    <w:rsid w:val="00297E22"/>
    <w:rsid w:val="002A0CBC"/>
    <w:rsid w:val="002B2BB6"/>
    <w:rsid w:val="002B7CBD"/>
    <w:rsid w:val="002B7F56"/>
    <w:rsid w:val="002C1D4A"/>
    <w:rsid w:val="002C62E2"/>
    <w:rsid w:val="002D1256"/>
    <w:rsid w:val="002D2719"/>
    <w:rsid w:val="002D4C2B"/>
    <w:rsid w:val="002D6840"/>
    <w:rsid w:val="002E0753"/>
    <w:rsid w:val="002E0C57"/>
    <w:rsid w:val="002E3F60"/>
    <w:rsid w:val="002F0E4D"/>
    <w:rsid w:val="002F4AC9"/>
    <w:rsid w:val="002F4BC8"/>
    <w:rsid w:val="002F7DC7"/>
    <w:rsid w:val="003015BC"/>
    <w:rsid w:val="00303736"/>
    <w:rsid w:val="00304D78"/>
    <w:rsid w:val="00307AFA"/>
    <w:rsid w:val="00307CBB"/>
    <w:rsid w:val="00313F1C"/>
    <w:rsid w:val="003220E2"/>
    <w:rsid w:val="0032278F"/>
    <w:rsid w:val="00323246"/>
    <w:rsid w:val="0032336A"/>
    <w:rsid w:val="003258C7"/>
    <w:rsid w:val="00336493"/>
    <w:rsid w:val="00341759"/>
    <w:rsid w:val="0034195D"/>
    <w:rsid w:val="0035734C"/>
    <w:rsid w:val="003605F4"/>
    <w:rsid w:val="003618C3"/>
    <w:rsid w:val="003635CD"/>
    <w:rsid w:val="003654F3"/>
    <w:rsid w:val="00366271"/>
    <w:rsid w:val="00374797"/>
    <w:rsid w:val="003772DF"/>
    <w:rsid w:val="00384E46"/>
    <w:rsid w:val="0038564C"/>
    <w:rsid w:val="00385778"/>
    <w:rsid w:val="003864DC"/>
    <w:rsid w:val="00390D3A"/>
    <w:rsid w:val="00390E98"/>
    <w:rsid w:val="00391AB4"/>
    <w:rsid w:val="00391D2B"/>
    <w:rsid w:val="003A19F4"/>
    <w:rsid w:val="003A31E5"/>
    <w:rsid w:val="003A4D5F"/>
    <w:rsid w:val="003B0DAD"/>
    <w:rsid w:val="003B0FBD"/>
    <w:rsid w:val="003B1EFD"/>
    <w:rsid w:val="003B3DDC"/>
    <w:rsid w:val="003B6ED4"/>
    <w:rsid w:val="003B77C6"/>
    <w:rsid w:val="003C1296"/>
    <w:rsid w:val="003C763B"/>
    <w:rsid w:val="003D2E69"/>
    <w:rsid w:val="003D40F2"/>
    <w:rsid w:val="003D6525"/>
    <w:rsid w:val="003E46DF"/>
    <w:rsid w:val="003E53D5"/>
    <w:rsid w:val="003F487F"/>
    <w:rsid w:val="003F4D8D"/>
    <w:rsid w:val="003F6DF5"/>
    <w:rsid w:val="004019E3"/>
    <w:rsid w:val="0040426D"/>
    <w:rsid w:val="00404658"/>
    <w:rsid w:val="0040471A"/>
    <w:rsid w:val="00407FE2"/>
    <w:rsid w:val="00410B73"/>
    <w:rsid w:val="00411DE3"/>
    <w:rsid w:val="00412A4A"/>
    <w:rsid w:val="00423CB4"/>
    <w:rsid w:val="00430823"/>
    <w:rsid w:val="004321BD"/>
    <w:rsid w:val="0043366B"/>
    <w:rsid w:val="00436CDF"/>
    <w:rsid w:val="00437961"/>
    <w:rsid w:val="0044083D"/>
    <w:rsid w:val="00442CE6"/>
    <w:rsid w:val="00443D5D"/>
    <w:rsid w:val="0045117A"/>
    <w:rsid w:val="004530AF"/>
    <w:rsid w:val="004548C1"/>
    <w:rsid w:val="00456899"/>
    <w:rsid w:val="00460663"/>
    <w:rsid w:val="00460D3C"/>
    <w:rsid w:val="00461CAF"/>
    <w:rsid w:val="00462620"/>
    <w:rsid w:val="0046331D"/>
    <w:rsid w:val="0046753E"/>
    <w:rsid w:val="00470F99"/>
    <w:rsid w:val="00477292"/>
    <w:rsid w:val="00481CFB"/>
    <w:rsid w:val="004832D5"/>
    <w:rsid w:val="004845E0"/>
    <w:rsid w:val="004872C6"/>
    <w:rsid w:val="0048740E"/>
    <w:rsid w:val="00490EE1"/>
    <w:rsid w:val="0049324B"/>
    <w:rsid w:val="00493B54"/>
    <w:rsid w:val="004A03EA"/>
    <w:rsid w:val="004A2FE3"/>
    <w:rsid w:val="004A4AA3"/>
    <w:rsid w:val="004B373C"/>
    <w:rsid w:val="004B4C99"/>
    <w:rsid w:val="004B4DD5"/>
    <w:rsid w:val="004B6C1E"/>
    <w:rsid w:val="004C132F"/>
    <w:rsid w:val="004C45BF"/>
    <w:rsid w:val="004C6C91"/>
    <w:rsid w:val="004C72F9"/>
    <w:rsid w:val="004D0FB5"/>
    <w:rsid w:val="004D46EC"/>
    <w:rsid w:val="004E18BF"/>
    <w:rsid w:val="004E2CFA"/>
    <w:rsid w:val="004E5C95"/>
    <w:rsid w:val="0050072E"/>
    <w:rsid w:val="0050111D"/>
    <w:rsid w:val="00502195"/>
    <w:rsid w:val="0050225A"/>
    <w:rsid w:val="00504DFE"/>
    <w:rsid w:val="00505279"/>
    <w:rsid w:val="0050582F"/>
    <w:rsid w:val="0050715E"/>
    <w:rsid w:val="0051071D"/>
    <w:rsid w:val="005166F0"/>
    <w:rsid w:val="00517D55"/>
    <w:rsid w:val="005208B4"/>
    <w:rsid w:val="0052177D"/>
    <w:rsid w:val="00522A41"/>
    <w:rsid w:val="005259F0"/>
    <w:rsid w:val="00526A68"/>
    <w:rsid w:val="0053272F"/>
    <w:rsid w:val="005353B0"/>
    <w:rsid w:val="00540580"/>
    <w:rsid w:val="005437B5"/>
    <w:rsid w:val="0054686D"/>
    <w:rsid w:val="00554A0B"/>
    <w:rsid w:val="0055521C"/>
    <w:rsid w:val="00565501"/>
    <w:rsid w:val="00565EF9"/>
    <w:rsid w:val="005714E6"/>
    <w:rsid w:val="00571616"/>
    <w:rsid w:val="0057454F"/>
    <w:rsid w:val="00586201"/>
    <w:rsid w:val="00586E16"/>
    <w:rsid w:val="00592159"/>
    <w:rsid w:val="00595992"/>
    <w:rsid w:val="005A3ECF"/>
    <w:rsid w:val="005A6CDF"/>
    <w:rsid w:val="005B1BAA"/>
    <w:rsid w:val="005B2134"/>
    <w:rsid w:val="005B28EF"/>
    <w:rsid w:val="005B2978"/>
    <w:rsid w:val="005B3503"/>
    <w:rsid w:val="005B7E3D"/>
    <w:rsid w:val="005C0E3A"/>
    <w:rsid w:val="005C1D14"/>
    <w:rsid w:val="005D2BB0"/>
    <w:rsid w:val="005D2CA2"/>
    <w:rsid w:val="005D2F13"/>
    <w:rsid w:val="005D4371"/>
    <w:rsid w:val="005D4A1A"/>
    <w:rsid w:val="005D588B"/>
    <w:rsid w:val="005D5ACF"/>
    <w:rsid w:val="005D6B4D"/>
    <w:rsid w:val="005D7493"/>
    <w:rsid w:val="005E7C02"/>
    <w:rsid w:val="006012B2"/>
    <w:rsid w:val="00606FE9"/>
    <w:rsid w:val="006122E1"/>
    <w:rsid w:val="00612C98"/>
    <w:rsid w:val="0061477C"/>
    <w:rsid w:val="00614953"/>
    <w:rsid w:val="006173F9"/>
    <w:rsid w:val="006174B7"/>
    <w:rsid w:val="0061778C"/>
    <w:rsid w:val="00620FEE"/>
    <w:rsid w:val="00627EB3"/>
    <w:rsid w:val="00627FAB"/>
    <w:rsid w:val="00630DF6"/>
    <w:rsid w:val="00631705"/>
    <w:rsid w:val="00633CD6"/>
    <w:rsid w:val="00636817"/>
    <w:rsid w:val="0064016F"/>
    <w:rsid w:val="00653B75"/>
    <w:rsid w:val="0065679E"/>
    <w:rsid w:val="00670A63"/>
    <w:rsid w:val="00674DBC"/>
    <w:rsid w:val="0067653D"/>
    <w:rsid w:val="0068194F"/>
    <w:rsid w:val="006821C6"/>
    <w:rsid w:val="006831C0"/>
    <w:rsid w:val="0068372B"/>
    <w:rsid w:val="006878E9"/>
    <w:rsid w:val="00687D33"/>
    <w:rsid w:val="0069201E"/>
    <w:rsid w:val="006943E4"/>
    <w:rsid w:val="006A4C51"/>
    <w:rsid w:val="006B1E4D"/>
    <w:rsid w:val="006C0BF1"/>
    <w:rsid w:val="006C4718"/>
    <w:rsid w:val="006C4F28"/>
    <w:rsid w:val="006C5F0B"/>
    <w:rsid w:val="006D323B"/>
    <w:rsid w:val="006D5A63"/>
    <w:rsid w:val="006D663F"/>
    <w:rsid w:val="006D6FCD"/>
    <w:rsid w:val="006E262B"/>
    <w:rsid w:val="006E309A"/>
    <w:rsid w:val="006E7E42"/>
    <w:rsid w:val="006F38E9"/>
    <w:rsid w:val="00700058"/>
    <w:rsid w:val="007000BB"/>
    <w:rsid w:val="00701696"/>
    <w:rsid w:val="00701916"/>
    <w:rsid w:val="007104AB"/>
    <w:rsid w:val="007129F2"/>
    <w:rsid w:val="00712FBE"/>
    <w:rsid w:val="00720155"/>
    <w:rsid w:val="00720F28"/>
    <w:rsid w:val="007248CD"/>
    <w:rsid w:val="00724A10"/>
    <w:rsid w:val="0072509D"/>
    <w:rsid w:val="00726C92"/>
    <w:rsid w:val="007305FB"/>
    <w:rsid w:val="007400D7"/>
    <w:rsid w:val="00744984"/>
    <w:rsid w:val="00747535"/>
    <w:rsid w:val="0075199A"/>
    <w:rsid w:val="007523CA"/>
    <w:rsid w:val="007568F5"/>
    <w:rsid w:val="00761A77"/>
    <w:rsid w:val="0076219C"/>
    <w:rsid w:val="007645E0"/>
    <w:rsid w:val="007648B9"/>
    <w:rsid w:val="00775092"/>
    <w:rsid w:val="0078233C"/>
    <w:rsid w:val="00782D55"/>
    <w:rsid w:val="0078387B"/>
    <w:rsid w:val="007938C3"/>
    <w:rsid w:val="00795A0D"/>
    <w:rsid w:val="00797290"/>
    <w:rsid w:val="00797B44"/>
    <w:rsid w:val="007A02AC"/>
    <w:rsid w:val="007A1174"/>
    <w:rsid w:val="007B02BC"/>
    <w:rsid w:val="007B33F0"/>
    <w:rsid w:val="007B5FCA"/>
    <w:rsid w:val="007B664D"/>
    <w:rsid w:val="007B7E68"/>
    <w:rsid w:val="007C0645"/>
    <w:rsid w:val="007C14A3"/>
    <w:rsid w:val="007C1E0B"/>
    <w:rsid w:val="007C1F3C"/>
    <w:rsid w:val="007C5B7B"/>
    <w:rsid w:val="007D514C"/>
    <w:rsid w:val="007D5703"/>
    <w:rsid w:val="007D7CCC"/>
    <w:rsid w:val="007E24C0"/>
    <w:rsid w:val="007F1F15"/>
    <w:rsid w:val="007F48F0"/>
    <w:rsid w:val="007F782B"/>
    <w:rsid w:val="008023AE"/>
    <w:rsid w:val="00803DCA"/>
    <w:rsid w:val="00804836"/>
    <w:rsid w:val="00804C5D"/>
    <w:rsid w:val="00806E80"/>
    <w:rsid w:val="00820D06"/>
    <w:rsid w:val="00821596"/>
    <w:rsid w:val="00822DAD"/>
    <w:rsid w:val="00825D90"/>
    <w:rsid w:val="00831591"/>
    <w:rsid w:val="00833D6E"/>
    <w:rsid w:val="0083532E"/>
    <w:rsid w:val="008363D8"/>
    <w:rsid w:val="0083659C"/>
    <w:rsid w:val="008371BC"/>
    <w:rsid w:val="008379AF"/>
    <w:rsid w:val="0084454B"/>
    <w:rsid w:val="00854F78"/>
    <w:rsid w:val="00857359"/>
    <w:rsid w:val="00857AFB"/>
    <w:rsid w:val="008607A8"/>
    <w:rsid w:val="008610DF"/>
    <w:rsid w:val="008636C2"/>
    <w:rsid w:val="008646B4"/>
    <w:rsid w:val="00864A62"/>
    <w:rsid w:val="00871221"/>
    <w:rsid w:val="00872CC1"/>
    <w:rsid w:val="00880632"/>
    <w:rsid w:val="00880DD4"/>
    <w:rsid w:val="008823E6"/>
    <w:rsid w:val="00884E7D"/>
    <w:rsid w:val="008879BF"/>
    <w:rsid w:val="00892F71"/>
    <w:rsid w:val="00897F2D"/>
    <w:rsid w:val="008A1795"/>
    <w:rsid w:val="008A2416"/>
    <w:rsid w:val="008A277A"/>
    <w:rsid w:val="008A27E5"/>
    <w:rsid w:val="008A7833"/>
    <w:rsid w:val="008B2195"/>
    <w:rsid w:val="008B62B6"/>
    <w:rsid w:val="008B7174"/>
    <w:rsid w:val="008B7388"/>
    <w:rsid w:val="008C04B3"/>
    <w:rsid w:val="008C0D8D"/>
    <w:rsid w:val="008C74C0"/>
    <w:rsid w:val="008C790B"/>
    <w:rsid w:val="008C7CA0"/>
    <w:rsid w:val="008D5FCF"/>
    <w:rsid w:val="008D66D2"/>
    <w:rsid w:val="008E57F2"/>
    <w:rsid w:val="008E6777"/>
    <w:rsid w:val="008F0BC4"/>
    <w:rsid w:val="008F3060"/>
    <w:rsid w:val="009007D5"/>
    <w:rsid w:val="00900BDE"/>
    <w:rsid w:val="00905B67"/>
    <w:rsid w:val="00916B7F"/>
    <w:rsid w:val="009173A0"/>
    <w:rsid w:val="00920C9E"/>
    <w:rsid w:val="00921A06"/>
    <w:rsid w:val="00922A97"/>
    <w:rsid w:val="00925326"/>
    <w:rsid w:val="00932633"/>
    <w:rsid w:val="00932C04"/>
    <w:rsid w:val="00933328"/>
    <w:rsid w:val="00936535"/>
    <w:rsid w:val="00940498"/>
    <w:rsid w:val="009477C6"/>
    <w:rsid w:val="00950D22"/>
    <w:rsid w:val="0095182B"/>
    <w:rsid w:val="00955D12"/>
    <w:rsid w:val="0095604D"/>
    <w:rsid w:val="00957F31"/>
    <w:rsid w:val="00965047"/>
    <w:rsid w:val="009651CF"/>
    <w:rsid w:val="00972A23"/>
    <w:rsid w:val="00973548"/>
    <w:rsid w:val="00975044"/>
    <w:rsid w:val="00980D4C"/>
    <w:rsid w:val="00981018"/>
    <w:rsid w:val="009819D1"/>
    <w:rsid w:val="0098276C"/>
    <w:rsid w:val="00992C45"/>
    <w:rsid w:val="00993D4B"/>
    <w:rsid w:val="009A150B"/>
    <w:rsid w:val="009A1DC5"/>
    <w:rsid w:val="009A3F2E"/>
    <w:rsid w:val="009A54DA"/>
    <w:rsid w:val="009B35E8"/>
    <w:rsid w:val="009B3DFC"/>
    <w:rsid w:val="009B4ED8"/>
    <w:rsid w:val="009B6F88"/>
    <w:rsid w:val="009C1CB9"/>
    <w:rsid w:val="009C23DD"/>
    <w:rsid w:val="009C5302"/>
    <w:rsid w:val="009C6050"/>
    <w:rsid w:val="009D1F0B"/>
    <w:rsid w:val="009D30DF"/>
    <w:rsid w:val="009D5806"/>
    <w:rsid w:val="009D68C8"/>
    <w:rsid w:val="009D7070"/>
    <w:rsid w:val="009D7E53"/>
    <w:rsid w:val="009E1EF4"/>
    <w:rsid w:val="009E689F"/>
    <w:rsid w:val="009E6D94"/>
    <w:rsid w:val="009F2662"/>
    <w:rsid w:val="009F349D"/>
    <w:rsid w:val="009F53F9"/>
    <w:rsid w:val="009F793C"/>
    <w:rsid w:val="00A03510"/>
    <w:rsid w:val="00A13371"/>
    <w:rsid w:val="00A17108"/>
    <w:rsid w:val="00A22379"/>
    <w:rsid w:val="00A23FF7"/>
    <w:rsid w:val="00A31C20"/>
    <w:rsid w:val="00A368C4"/>
    <w:rsid w:val="00A37443"/>
    <w:rsid w:val="00A37A62"/>
    <w:rsid w:val="00A406E2"/>
    <w:rsid w:val="00A506BC"/>
    <w:rsid w:val="00A51EA6"/>
    <w:rsid w:val="00A541F4"/>
    <w:rsid w:val="00A55DC8"/>
    <w:rsid w:val="00A60F9B"/>
    <w:rsid w:val="00A61064"/>
    <w:rsid w:val="00A62728"/>
    <w:rsid w:val="00A64051"/>
    <w:rsid w:val="00A64245"/>
    <w:rsid w:val="00A6609A"/>
    <w:rsid w:val="00A67AA9"/>
    <w:rsid w:val="00A706FC"/>
    <w:rsid w:val="00A74E99"/>
    <w:rsid w:val="00A77B51"/>
    <w:rsid w:val="00A812E6"/>
    <w:rsid w:val="00A82CEA"/>
    <w:rsid w:val="00A84FC2"/>
    <w:rsid w:val="00A8690C"/>
    <w:rsid w:val="00A96CFA"/>
    <w:rsid w:val="00AA0F30"/>
    <w:rsid w:val="00AA1201"/>
    <w:rsid w:val="00AA1A8C"/>
    <w:rsid w:val="00AA1BD6"/>
    <w:rsid w:val="00AA1C8B"/>
    <w:rsid w:val="00AA2689"/>
    <w:rsid w:val="00AA29E6"/>
    <w:rsid w:val="00AA3957"/>
    <w:rsid w:val="00AA75C8"/>
    <w:rsid w:val="00AB0013"/>
    <w:rsid w:val="00AB1337"/>
    <w:rsid w:val="00AB1769"/>
    <w:rsid w:val="00AB4D64"/>
    <w:rsid w:val="00AC0B50"/>
    <w:rsid w:val="00AC2679"/>
    <w:rsid w:val="00AC5710"/>
    <w:rsid w:val="00AC64DA"/>
    <w:rsid w:val="00AD5BA7"/>
    <w:rsid w:val="00AE08F8"/>
    <w:rsid w:val="00AE3214"/>
    <w:rsid w:val="00AE4748"/>
    <w:rsid w:val="00AE79EE"/>
    <w:rsid w:val="00AF414B"/>
    <w:rsid w:val="00B03BC7"/>
    <w:rsid w:val="00B05344"/>
    <w:rsid w:val="00B059F1"/>
    <w:rsid w:val="00B065CA"/>
    <w:rsid w:val="00B07EA4"/>
    <w:rsid w:val="00B11958"/>
    <w:rsid w:val="00B1377E"/>
    <w:rsid w:val="00B16DA4"/>
    <w:rsid w:val="00B16F30"/>
    <w:rsid w:val="00B21B19"/>
    <w:rsid w:val="00B25B78"/>
    <w:rsid w:val="00B31DC3"/>
    <w:rsid w:val="00B33AF3"/>
    <w:rsid w:val="00B34132"/>
    <w:rsid w:val="00B342FF"/>
    <w:rsid w:val="00B404DF"/>
    <w:rsid w:val="00B41C9C"/>
    <w:rsid w:val="00B42A7F"/>
    <w:rsid w:val="00B43136"/>
    <w:rsid w:val="00B45D71"/>
    <w:rsid w:val="00B52D48"/>
    <w:rsid w:val="00B54873"/>
    <w:rsid w:val="00B54C55"/>
    <w:rsid w:val="00B54E66"/>
    <w:rsid w:val="00B677CE"/>
    <w:rsid w:val="00B677F7"/>
    <w:rsid w:val="00B67D6D"/>
    <w:rsid w:val="00B73D7E"/>
    <w:rsid w:val="00B81734"/>
    <w:rsid w:val="00B8288E"/>
    <w:rsid w:val="00B85369"/>
    <w:rsid w:val="00B86C93"/>
    <w:rsid w:val="00B86DD7"/>
    <w:rsid w:val="00B91D57"/>
    <w:rsid w:val="00B94F21"/>
    <w:rsid w:val="00B9634E"/>
    <w:rsid w:val="00BA4DF8"/>
    <w:rsid w:val="00BA6714"/>
    <w:rsid w:val="00BA6BE5"/>
    <w:rsid w:val="00BB6FA7"/>
    <w:rsid w:val="00BC40D6"/>
    <w:rsid w:val="00BC788A"/>
    <w:rsid w:val="00BC7D37"/>
    <w:rsid w:val="00BD48AA"/>
    <w:rsid w:val="00BD54E8"/>
    <w:rsid w:val="00BD71C0"/>
    <w:rsid w:val="00BD724E"/>
    <w:rsid w:val="00BD7FA4"/>
    <w:rsid w:val="00BE17C2"/>
    <w:rsid w:val="00BF11D0"/>
    <w:rsid w:val="00BF7BCD"/>
    <w:rsid w:val="00BF7F51"/>
    <w:rsid w:val="00C00854"/>
    <w:rsid w:val="00C01C9F"/>
    <w:rsid w:val="00C05019"/>
    <w:rsid w:val="00C05306"/>
    <w:rsid w:val="00C05E52"/>
    <w:rsid w:val="00C07DA7"/>
    <w:rsid w:val="00C14149"/>
    <w:rsid w:val="00C145C8"/>
    <w:rsid w:val="00C14A58"/>
    <w:rsid w:val="00C1599A"/>
    <w:rsid w:val="00C20E50"/>
    <w:rsid w:val="00C21A03"/>
    <w:rsid w:val="00C22D4F"/>
    <w:rsid w:val="00C2595E"/>
    <w:rsid w:val="00C2623E"/>
    <w:rsid w:val="00C26712"/>
    <w:rsid w:val="00C43DB7"/>
    <w:rsid w:val="00C463AE"/>
    <w:rsid w:val="00C47938"/>
    <w:rsid w:val="00C51638"/>
    <w:rsid w:val="00C51BDB"/>
    <w:rsid w:val="00C56587"/>
    <w:rsid w:val="00C608B1"/>
    <w:rsid w:val="00C61DE7"/>
    <w:rsid w:val="00C631EC"/>
    <w:rsid w:val="00C63429"/>
    <w:rsid w:val="00C63E39"/>
    <w:rsid w:val="00C6517C"/>
    <w:rsid w:val="00C731E2"/>
    <w:rsid w:val="00C73254"/>
    <w:rsid w:val="00C739A7"/>
    <w:rsid w:val="00C73E58"/>
    <w:rsid w:val="00C77B45"/>
    <w:rsid w:val="00C77F9F"/>
    <w:rsid w:val="00C8106A"/>
    <w:rsid w:val="00C81C79"/>
    <w:rsid w:val="00C86E09"/>
    <w:rsid w:val="00C902E9"/>
    <w:rsid w:val="00C92B43"/>
    <w:rsid w:val="00C92FEF"/>
    <w:rsid w:val="00C952DB"/>
    <w:rsid w:val="00C96619"/>
    <w:rsid w:val="00CA1352"/>
    <w:rsid w:val="00CA16B7"/>
    <w:rsid w:val="00CA2235"/>
    <w:rsid w:val="00CA5CF3"/>
    <w:rsid w:val="00CA77A7"/>
    <w:rsid w:val="00CA7D5E"/>
    <w:rsid w:val="00CB0F5F"/>
    <w:rsid w:val="00CB2B9B"/>
    <w:rsid w:val="00CB46D8"/>
    <w:rsid w:val="00CB682A"/>
    <w:rsid w:val="00CB6959"/>
    <w:rsid w:val="00CC1039"/>
    <w:rsid w:val="00CC61C3"/>
    <w:rsid w:val="00CD09F0"/>
    <w:rsid w:val="00CD6546"/>
    <w:rsid w:val="00CD6D23"/>
    <w:rsid w:val="00CD72F0"/>
    <w:rsid w:val="00CE1654"/>
    <w:rsid w:val="00CE2989"/>
    <w:rsid w:val="00CE6C85"/>
    <w:rsid w:val="00CF0414"/>
    <w:rsid w:val="00CF20D0"/>
    <w:rsid w:val="00D044CF"/>
    <w:rsid w:val="00D04AC9"/>
    <w:rsid w:val="00D05A84"/>
    <w:rsid w:val="00D0730C"/>
    <w:rsid w:val="00D102F7"/>
    <w:rsid w:val="00D143FC"/>
    <w:rsid w:val="00D208F2"/>
    <w:rsid w:val="00D23C23"/>
    <w:rsid w:val="00D26A50"/>
    <w:rsid w:val="00D334B2"/>
    <w:rsid w:val="00D37A8F"/>
    <w:rsid w:val="00D42B30"/>
    <w:rsid w:val="00D46C91"/>
    <w:rsid w:val="00D54CB3"/>
    <w:rsid w:val="00D64351"/>
    <w:rsid w:val="00D7071A"/>
    <w:rsid w:val="00D7148E"/>
    <w:rsid w:val="00D722FD"/>
    <w:rsid w:val="00D7261F"/>
    <w:rsid w:val="00D72ED5"/>
    <w:rsid w:val="00D764B9"/>
    <w:rsid w:val="00D8346F"/>
    <w:rsid w:val="00D87E1F"/>
    <w:rsid w:val="00D91EDE"/>
    <w:rsid w:val="00D93BB7"/>
    <w:rsid w:val="00D97014"/>
    <w:rsid w:val="00DC6924"/>
    <w:rsid w:val="00DD3656"/>
    <w:rsid w:val="00DE1CDD"/>
    <w:rsid w:val="00DE70B2"/>
    <w:rsid w:val="00DF007D"/>
    <w:rsid w:val="00DF4507"/>
    <w:rsid w:val="00E019C5"/>
    <w:rsid w:val="00E120C9"/>
    <w:rsid w:val="00E168EE"/>
    <w:rsid w:val="00E173DE"/>
    <w:rsid w:val="00E17556"/>
    <w:rsid w:val="00E17E73"/>
    <w:rsid w:val="00E2304B"/>
    <w:rsid w:val="00E304FA"/>
    <w:rsid w:val="00E31F3F"/>
    <w:rsid w:val="00E400FB"/>
    <w:rsid w:val="00E40D13"/>
    <w:rsid w:val="00E43438"/>
    <w:rsid w:val="00E4377E"/>
    <w:rsid w:val="00E4495B"/>
    <w:rsid w:val="00E503CC"/>
    <w:rsid w:val="00E51297"/>
    <w:rsid w:val="00E55D1E"/>
    <w:rsid w:val="00E579E3"/>
    <w:rsid w:val="00E61F3C"/>
    <w:rsid w:val="00E6621C"/>
    <w:rsid w:val="00E742CB"/>
    <w:rsid w:val="00E7629B"/>
    <w:rsid w:val="00E775A0"/>
    <w:rsid w:val="00E87416"/>
    <w:rsid w:val="00E91101"/>
    <w:rsid w:val="00E91A77"/>
    <w:rsid w:val="00E925CD"/>
    <w:rsid w:val="00E93E63"/>
    <w:rsid w:val="00E94E8C"/>
    <w:rsid w:val="00EB0FCF"/>
    <w:rsid w:val="00EB1D80"/>
    <w:rsid w:val="00EB3C2E"/>
    <w:rsid w:val="00EB5A2E"/>
    <w:rsid w:val="00EC0628"/>
    <w:rsid w:val="00EC38A0"/>
    <w:rsid w:val="00EC5815"/>
    <w:rsid w:val="00ED13EA"/>
    <w:rsid w:val="00ED579A"/>
    <w:rsid w:val="00ED7435"/>
    <w:rsid w:val="00EE328B"/>
    <w:rsid w:val="00EE4CB3"/>
    <w:rsid w:val="00EF0518"/>
    <w:rsid w:val="00EF0D61"/>
    <w:rsid w:val="00EF5462"/>
    <w:rsid w:val="00EF72FF"/>
    <w:rsid w:val="00F05CEF"/>
    <w:rsid w:val="00F06DD8"/>
    <w:rsid w:val="00F07B4D"/>
    <w:rsid w:val="00F10ED5"/>
    <w:rsid w:val="00F1388E"/>
    <w:rsid w:val="00F22EC9"/>
    <w:rsid w:val="00F231FA"/>
    <w:rsid w:val="00F237B4"/>
    <w:rsid w:val="00F31CE9"/>
    <w:rsid w:val="00F3411C"/>
    <w:rsid w:val="00F356DC"/>
    <w:rsid w:val="00F36CC1"/>
    <w:rsid w:val="00F400EE"/>
    <w:rsid w:val="00F40B65"/>
    <w:rsid w:val="00F41702"/>
    <w:rsid w:val="00F50BF1"/>
    <w:rsid w:val="00F52399"/>
    <w:rsid w:val="00F5264F"/>
    <w:rsid w:val="00F54B84"/>
    <w:rsid w:val="00F55C24"/>
    <w:rsid w:val="00F568A4"/>
    <w:rsid w:val="00F6447E"/>
    <w:rsid w:val="00F71642"/>
    <w:rsid w:val="00F8741F"/>
    <w:rsid w:val="00F91C30"/>
    <w:rsid w:val="00F927E0"/>
    <w:rsid w:val="00FA125F"/>
    <w:rsid w:val="00FA1723"/>
    <w:rsid w:val="00FA298B"/>
    <w:rsid w:val="00FA34AF"/>
    <w:rsid w:val="00FA5F64"/>
    <w:rsid w:val="00FA6B95"/>
    <w:rsid w:val="00FA6CD5"/>
    <w:rsid w:val="00FA765A"/>
    <w:rsid w:val="00FB1BE5"/>
    <w:rsid w:val="00FB337C"/>
    <w:rsid w:val="00FB5CA5"/>
    <w:rsid w:val="00FB7194"/>
    <w:rsid w:val="00FC3C33"/>
    <w:rsid w:val="00FC790A"/>
    <w:rsid w:val="00FD0745"/>
    <w:rsid w:val="00FD27B1"/>
    <w:rsid w:val="00FD5C51"/>
    <w:rsid w:val="00FE199A"/>
    <w:rsid w:val="00FE2AAE"/>
    <w:rsid w:val="00FE5401"/>
    <w:rsid w:val="00FE6167"/>
    <w:rsid w:val="00FF1484"/>
    <w:rsid w:val="00FF3435"/>
    <w:rsid w:val="00FF6275"/>
    <w:rsid w:val="00FF6844"/>
    <w:rsid w:val="01AE77D7"/>
    <w:rsid w:val="04FD26C9"/>
    <w:rsid w:val="050C4459"/>
    <w:rsid w:val="07ED73C7"/>
    <w:rsid w:val="08F6354B"/>
    <w:rsid w:val="094F446B"/>
    <w:rsid w:val="09522173"/>
    <w:rsid w:val="09637400"/>
    <w:rsid w:val="0ACC63CA"/>
    <w:rsid w:val="0B671E71"/>
    <w:rsid w:val="0B7F3B85"/>
    <w:rsid w:val="0C6E1EF2"/>
    <w:rsid w:val="0CAC4143"/>
    <w:rsid w:val="0FF96752"/>
    <w:rsid w:val="120451A7"/>
    <w:rsid w:val="12144EED"/>
    <w:rsid w:val="123A74A5"/>
    <w:rsid w:val="12800E40"/>
    <w:rsid w:val="138F2013"/>
    <w:rsid w:val="1657757A"/>
    <w:rsid w:val="18073C5A"/>
    <w:rsid w:val="189D691C"/>
    <w:rsid w:val="18E5707C"/>
    <w:rsid w:val="19267F68"/>
    <w:rsid w:val="19772069"/>
    <w:rsid w:val="19795E6A"/>
    <w:rsid w:val="197E7699"/>
    <w:rsid w:val="1A272BEE"/>
    <w:rsid w:val="1AB0366C"/>
    <w:rsid w:val="1B5E4204"/>
    <w:rsid w:val="1BA17ECC"/>
    <w:rsid w:val="1C8C6EC7"/>
    <w:rsid w:val="1C9B7EC2"/>
    <w:rsid w:val="1D154D96"/>
    <w:rsid w:val="1D4646F4"/>
    <w:rsid w:val="1E9D1DAC"/>
    <w:rsid w:val="23D97E40"/>
    <w:rsid w:val="25D85E42"/>
    <w:rsid w:val="2683096E"/>
    <w:rsid w:val="26BD5697"/>
    <w:rsid w:val="273C279A"/>
    <w:rsid w:val="28817392"/>
    <w:rsid w:val="28EE52E1"/>
    <w:rsid w:val="29CB7CDB"/>
    <w:rsid w:val="2AB75ED0"/>
    <w:rsid w:val="2BA13D1A"/>
    <w:rsid w:val="2C9747FF"/>
    <w:rsid w:val="2C9F0872"/>
    <w:rsid w:val="2CB071DA"/>
    <w:rsid w:val="2CE6332B"/>
    <w:rsid w:val="2D484C06"/>
    <w:rsid w:val="30F256BF"/>
    <w:rsid w:val="31565047"/>
    <w:rsid w:val="334B5721"/>
    <w:rsid w:val="338E6E6D"/>
    <w:rsid w:val="3524170B"/>
    <w:rsid w:val="35AB5855"/>
    <w:rsid w:val="35CB4E03"/>
    <w:rsid w:val="35DE458A"/>
    <w:rsid w:val="36C515F9"/>
    <w:rsid w:val="370B678E"/>
    <w:rsid w:val="37983CB0"/>
    <w:rsid w:val="386303C1"/>
    <w:rsid w:val="3908696F"/>
    <w:rsid w:val="3AE5459D"/>
    <w:rsid w:val="3F7323C3"/>
    <w:rsid w:val="41D24D58"/>
    <w:rsid w:val="44503751"/>
    <w:rsid w:val="45254505"/>
    <w:rsid w:val="45374213"/>
    <w:rsid w:val="46995A29"/>
    <w:rsid w:val="471B6202"/>
    <w:rsid w:val="48BE4911"/>
    <w:rsid w:val="493842D0"/>
    <w:rsid w:val="4A325870"/>
    <w:rsid w:val="4A5435EB"/>
    <w:rsid w:val="4BE67868"/>
    <w:rsid w:val="4C9C68FD"/>
    <w:rsid w:val="4D04775B"/>
    <w:rsid w:val="4D3F6930"/>
    <w:rsid w:val="4E853BA3"/>
    <w:rsid w:val="5007270C"/>
    <w:rsid w:val="50C352EC"/>
    <w:rsid w:val="526648EA"/>
    <w:rsid w:val="52AE77D4"/>
    <w:rsid w:val="53DE50D6"/>
    <w:rsid w:val="549B3E26"/>
    <w:rsid w:val="576A3A7E"/>
    <w:rsid w:val="59A03B08"/>
    <w:rsid w:val="5BE8108A"/>
    <w:rsid w:val="5D270EEE"/>
    <w:rsid w:val="5DCE5881"/>
    <w:rsid w:val="5E6E1D30"/>
    <w:rsid w:val="60B64AED"/>
    <w:rsid w:val="64370B44"/>
    <w:rsid w:val="643B5E75"/>
    <w:rsid w:val="64560A58"/>
    <w:rsid w:val="64F60496"/>
    <w:rsid w:val="65DB388F"/>
    <w:rsid w:val="67DE16AA"/>
    <w:rsid w:val="67E65431"/>
    <w:rsid w:val="68F4307F"/>
    <w:rsid w:val="6A1D2868"/>
    <w:rsid w:val="6BA521CC"/>
    <w:rsid w:val="6EA4474A"/>
    <w:rsid w:val="6ECF73A1"/>
    <w:rsid w:val="6FF62316"/>
    <w:rsid w:val="70213E38"/>
    <w:rsid w:val="709B005D"/>
    <w:rsid w:val="72472138"/>
    <w:rsid w:val="72AE5864"/>
    <w:rsid w:val="75D15A2F"/>
    <w:rsid w:val="76103B6F"/>
    <w:rsid w:val="78B065A9"/>
    <w:rsid w:val="7A9C59E1"/>
    <w:rsid w:val="7B5013F2"/>
    <w:rsid w:val="7C4C14A0"/>
    <w:rsid w:val="7CF73852"/>
    <w:rsid w:val="7D6534BA"/>
    <w:rsid w:val="7DF2490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iPriority="99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after="330" w:line="360" w:lineRule="auto"/>
      <w:outlineLvl w:val="0"/>
    </w:pPr>
    <w:rPr>
      <w:rFonts w:eastAsia="黑体"/>
      <w:bCs/>
      <w:kern w:val="44"/>
      <w:sz w:val="44"/>
      <w:szCs w:val="44"/>
    </w:rPr>
  </w:style>
  <w:style w:type="character" w:default="1" w:styleId="18">
    <w:name w:val="Default Paragraph Font"/>
    <w:semiHidden/>
    <w:qFormat/>
    <w:uiPriority w:val="0"/>
  </w:style>
  <w:style w:type="table" w:default="1" w:styleId="1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line="360" w:lineRule="auto"/>
      <w:ind w:firstLine="200" w:firstLineChars="200"/>
    </w:pPr>
    <w:rPr>
      <w:rFonts w:ascii="宋体" w:hAnsi="宋体"/>
      <w:sz w:val="28"/>
    </w:rPr>
  </w:style>
  <w:style w:type="paragraph" w:styleId="4">
    <w:name w:val="Document Map"/>
    <w:basedOn w:val="1"/>
    <w:semiHidden/>
    <w:qFormat/>
    <w:uiPriority w:val="0"/>
    <w:pPr>
      <w:shd w:val="clear" w:color="auto" w:fill="000080"/>
    </w:pPr>
  </w:style>
  <w:style w:type="paragraph" w:styleId="5">
    <w:name w:val="Body Text"/>
    <w:basedOn w:val="1"/>
    <w:qFormat/>
    <w:uiPriority w:val="0"/>
    <w:pPr>
      <w:spacing w:after="120" w:line="360" w:lineRule="auto"/>
    </w:pPr>
  </w:style>
  <w:style w:type="paragraph" w:styleId="6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7">
    <w:name w:val="Date"/>
    <w:basedOn w:val="1"/>
    <w:next w:val="1"/>
    <w:qFormat/>
    <w:uiPriority w:val="0"/>
    <w:pPr>
      <w:ind w:left="100" w:leftChars="2500"/>
    </w:pPr>
  </w:style>
  <w:style w:type="paragraph" w:styleId="8">
    <w:name w:val="Body Text Indent 2"/>
    <w:basedOn w:val="1"/>
    <w:qFormat/>
    <w:uiPriority w:val="0"/>
    <w:pPr>
      <w:spacing w:after="120" w:line="480" w:lineRule="auto"/>
      <w:ind w:left="420" w:leftChars="200"/>
    </w:pPr>
  </w:style>
  <w:style w:type="paragraph" w:styleId="9">
    <w:name w:val="Balloon Text"/>
    <w:basedOn w:val="1"/>
    <w:semiHidden/>
    <w:qFormat/>
    <w:uiPriority w:val="0"/>
    <w:rPr>
      <w:sz w:val="18"/>
      <w:szCs w:val="18"/>
    </w:rPr>
  </w:style>
  <w:style w:type="paragraph" w:styleId="10">
    <w:name w:val="footer"/>
    <w:basedOn w:val="1"/>
    <w:link w:val="2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link w:val="22"/>
    <w:qFormat/>
    <w:uiPriority w:val="0"/>
    <w:pPr>
      <w:tabs>
        <w:tab w:val="center" w:pos="4153"/>
        <w:tab w:val="right" w:pos="8306"/>
      </w:tabs>
      <w:snapToGrid w:val="0"/>
      <w:jc w:val="center"/>
    </w:pPr>
    <w:rPr>
      <w:rFonts w:ascii="仿宋_GB2312" w:eastAsia="仿宋_GB2312"/>
      <w:sz w:val="10"/>
      <w:szCs w:val="18"/>
    </w:rPr>
  </w:style>
  <w:style w:type="paragraph" w:styleId="12">
    <w:name w:val="Body Text Indent 3"/>
    <w:basedOn w:val="1"/>
    <w:link w:val="23"/>
    <w:unhideWhenUsed/>
    <w:qFormat/>
    <w:uiPriority w:val="99"/>
    <w:pPr>
      <w:spacing w:after="120"/>
      <w:ind w:left="420" w:leftChars="200"/>
    </w:pPr>
    <w:rPr>
      <w:rFonts w:ascii="Calibri" w:hAnsi="Calibri"/>
      <w:sz w:val="16"/>
      <w:szCs w:val="16"/>
    </w:rPr>
  </w:style>
  <w:style w:type="paragraph" w:styleId="13">
    <w:name w:val="Body Text 2"/>
    <w:basedOn w:val="1"/>
    <w:qFormat/>
    <w:uiPriority w:val="0"/>
    <w:pPr>
      <w:spacing w:after="120" w:line="480" w:lineRule="auto"/>
    </w:pPr>
    <w:rPr>
      <w:rFonts w:ascii="仿宋_GB2312" w:eastAsia="仿宋_GB2312"/>
      <w:szCs w:val="20"/>
    </w:rPr>
  </w:style>
  <w:style w:type="paragraph" w:styleId="1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kern w:val="0"/>
      <w:sz w:val="24"/>
    </w:rPr>
  </w:style>
  <w:style w:type="paragraph" w:styleId="15">
    <w:name w:val="Title"/>
    <w:basedOn w:val="1"/>
    <w:next w:val="1"/>
    <w:link w:val="24"/>
    <w:qFormat/>
    <w:uiPriority w:val="0"/>
    <w:pPr>
      <w:suppressAutoHyphens/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table" w:styleId="17">
    <w:name w:val="Table Grid"/>
    <w:basedOn w:val="16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9">
    <w:name w:val="page number"/>
    <w:basedOn w:val="18"/>
    <w:qFormat/>
    <w:uiPriority w:val="0"/>
  </w:style>
  <w:style w:type="character" w:styleId="20">
    <w:name w:val="Hyperlink"/>
    <w:basedOn w:val="18"/>
    <w:qFormat/>
    <w:uiPriority w:val="0"/>
    <w:rPr>
      <w:color w:val="0000FF"/>
      <w:u w:val="single"/>
    </w:rPr>
  </w:style>
  <w:style w:type="character" w:customStyle="1" w:styleId="21">
    <w:name w:val="页脚 Char"/>
    <w:basedOn w:val="18"/>
    <w:link w:val="10"/>
    <w:qFormat/>
    <w:uiPriority w:val="99"/>
    <w:rPr>
      <w:kern w:val="2"/>
      <w:sz w:val="18"/>
      <w:szCs w:val="18"/>
    </w:rPr>
  </w:style>
  <w:style w:type="character" w:customStyle="1" w:styleId="22">
    <w:name w:val="页眉 Char"/>
    <w:basedOn w:val="18"/>
    <w:link w:val="11"/>
    <w:qFormat/>
    <w:uiPriority w:val="0"/>
    <w:rPr>
      <w:rFonts w:ascii="仿宋_GB2312" w:eastAsia="仿宋_GB2312"/>
      <w:kern w:val="2"/>
      <w:sz w:val="10"/>
      <w:szCs w:val="18"/>
    </w:rPr>
  </w:style>
  <w:style w:type="character" w:customStyle="1" w:styleId="23">
    <w:name w:val="正文文本缩进 3 Char"/>
    <w:basedOn w:val="18"/>
    <w:link w:val="12"/>
    <w:qFormat/>
    <w:uiPriority w:val="99"/>
    <w:rPr>
      <w:rFonts w:ascii="Calibri" w:hAnsi="Calibri"/>
      <w:kern w:val="2"/>
      <w:sz w:val="16"/>
      <w:szCs w:val="16"/>
    </w:rPr>
  </w:style>
  <w:style w:type="character" w:customStyle="1" w:styleId="24">
    <w:name w:val="标题 Char"/>
    <w:link w:val="15"/>
    <w:qFormat/>
    <w:locked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25">
    <w:name w:val="content"/>
    <w:basedOn w:val="18"/>
    <w:qFormat/>
    <w:uiPriority w:val="0"/>
  </w:style>
  <w:style w:type="paragraph" w:customStyle="1" w:styleId="26">
    <w:name w:val="p0"/>
    <w:basedOn w:val="1"/>
    <w:qFormat/>
    <w:uiPriority w:val="0"/>
    <w:pPr>
      <w:widowControl/>
    </w:pPr>
    <w:rPr>
      <w:rFonts w:ascii="仿宋_GB2312" w:hAnsi="宋体" w:eastAsia="仿宋_GB2312" w:cs="宋体"/>
      <w:kern w:val="0"/>
      <w:szCs w:val="21"/>
    </w:rPr>
  </w:style>
  <w:style w:type="paragraph" w:customStyle="1" w:styleId="27">
    <w:name w:val=" Char Char Char Char"/>
    <w:basedOn w:val="1"/>
    <w:qFormat/>
    <w:uiPriority w:val="0"/>
    <w:pPr>
      <w:widowControl/>
      <w:autoSpaceDE w:val="0"/>
      <w:autoSpaceDN w:val="0"/>
      <w:snapToGrid w:val="0"/>
      <w:spacing w:after="160" w:line="240" w:lineRule="exact"/>
      <w:ind w:firstLine="624"/>
      <w:jc w:val="left"/>
    </w:pPr>
    <w:rPr>
      <w:rFonts w:ascii="Verdana" w:hAnsi="Verdana" w:eastAsia="仿宋_GB2312"/>
      <w:kern w:val="0"/>
      <w:sz w:val="24"/>
      <w:szCs w:val="20"/>
      <w:lang w:eastAsia="en-US"/>
    </w:rPr>
  </w:style>
  <w:style w:type="paragraph" w:customStyle="1" w:styleId="28">
    <w:name w:val="密级"/>
    <w:basedOn w:val="1"/>
    <w:qFormat/>
    <w:uiPriority w:val="0"/>
    <w:pPr>
      <w:autoSpaceDE w:val="0"/>
      <w:autoSpaceDN w:val="0"/>
      <w:adjustRightInd w:val="0"/>
      <w:spacing w:line="425" w:lineRule="atLeast"/>
      <w:jc w:val="right"/>
    </w:pPr>
    <w:rPr>
      <w:rFonts w:ascii="黑体" w:eastAsia="黑体"/>
      <w:snapToGrid w:val="0"/>
      <w:kern w:val="0"/>
      <w:sz w:val="30"/>
      <w:szCs w:val="20"/>
    </w:rPr>
  </w:style>
  <w:style w:type="paragraph" w:customStyle="1" w:styleId="29">
    <w:name w:val="Char"/>
    <w:basedOn w:val="1"/>
    <w:qFormat/>
    <w:uiPriority w:val="0"/>
    <w:pPr>
      <w:numPr>
        <w:ilvl w:val="0"/>
        <w:numId w:val="1"/>
      </w:numPr>
    </w:pPr>
    <w:rPr>
      <w:sz w:val="24"/>
    </w:rPr>
  </w:style>
  <w:style w:type="paragraph" w:customStyle="1" w:styleId="30">
    <w:name w:val="主题词"/>
    <w:basedOn w:val="1"/>
    <w:qFormat/>
    <w:uiPriority w:val="0"/>
    <w:pPr>
      <w:autoSpaceDE w:val="0"/>
      <w:autoSpaceDN w:val="0"/>
      <w:adjustRightInd w:val="0"/>
      <w:spacing w:line="240" w:lineRule="atLeast"/>
      <w:jc w:val="left"/>
    </w:pPr>
    <w:rPr>
      <w:rFonts w:ascii="宋体"/>
      <w:b/>
      <w:snapToGrid w:val="0"/>
      <w:kern w:val="0"/>
      <w:sz w:val="32"/>
      <w:szCs w:val="20"/>
    </w:rPr>
  </w:style>
  <w:style w:type="paragraph" w:customStyle="1" w:styleId="31">
    <w:name w:val="红线"/>
    <w:basedOn w:val="1"/>
    <w:qFormat/>
    <w:uiPriority w:val="0"/>
    <w:pPr>
      <w:autoSpaceDE w:val="0"/>
      <w:autoSpaceDN w:val="0"/>
      <w:adjustRightInd w:val="0"/>
      <w:spacing w:after="170" w:line="227" w:lineRule="atLeast"/>
      <w:jc w:val="center"/>
    </w:pPr>
    <w:rPr>
      <w:rFonts w:ascii="汉鼎简仿宋" w:eastAsia="汉鼎简仿宋"/>
      <w:snapToGrid w:val="0"/>
      <w:kern w:val="0"/>
      <w:sz w:val="10"/>
      <w:szCs w:val="20"/>
    </w:rPr>
  </w:style>
  <w:style w:type="paragraph" w:customStyle="1" w:styleId="32">
    <w:name w:val=" Char Char Char Char1 Char Char Char"/>
    <w:basedOn w:val="4"/>
    <w:qFormat/>
    <w:uiPriority w:val="0"/>
    <w:pPr>
      <w:widowControl/>
      <w:ind w:firstLine="454"/>
      <w:jc w:val="left"/>
    </w:pPr>
    <w:rPr>
      <w:rFonts w:ascii="Tahoma" w:hAnsi="Tahoma" w:cs="宋体"/>
      <w:szCs w:val="20"/>
    </w:rPr>
  </w:style>
  <w:style w:type="paragraph" w:customStyle="1" w:styleId="33">
    <w:name w:val="Char Char1 Char Char Char Char Char Char"/>
    <w:basedOn w:val="1"/>
    <w:qFormat/>
    <w:uiPriority w:val="0"/>
    <w:pPr>
      <w:widowControl/>
      <w:spacing w:after="160" w:line="240" w:lineRule="exact"/>
      <w:jc w:val="left"/>
    </w:pPr>
    <w:rPr>
      <w:rFonts w:ascii="宋体" w:hAnsi="宋体"/>
      <w:kern w:val="0"/>
      <w:sz w:val="24"/>
      <w:szCs w:val="20"/>
      <w:lang w:eastAsia="en-US"/>
    </w:rPr>
  </w:style>
  <w:style w:type="paragraph" w:customStyle="1" w:styleId="34">
    <w:name w:val="Char Char Char Char"/>
    <w:basedOn w:val="1"/>
    <w:qFormat/>
    <w:uiPriority w:val="0"/>
  </w:style>
  <w:style w:type="paragraph" w:styleId="35">
    <w:name w:val="List Paragraph"/>
    <w:basedOn w:val="1"/>
    <w:qFormat/>
    <w:uiPriority w:val="34"/>
    <w:pPr>
      <w:ind w:firstLine="420" w:firstLineChars="200"/>
    </w:pPr>
    <w:rPr>
      <w:rFonts w:ascii="Calibri" w:hAnsi="Calibri" w:eastAsia="宋体" w:cs="Times New Roman"/>
      <w:szCs w:val="22"/>
    </w:rPr>
  </w:style>
  <w:style w:type="paragraph" w:customStyle="1" w:styleId="36">
    <w:name w:val="附件栏"/>
    <w:basedOn w:val="1"/>
    <w:qFormat/>
    <w:uiPriority w:val="0"/>
    <w:pPr>
      <w:autoSpaceDE w:val="0"/>
      <w:autoSpaceDN w:val="0"/>
      <w:snapToGrid w:val="0"/>
      <w:spacing w:line="590" w:lineRule="atLeast"/>
      <w:ind w:firstLine="624"/>
    </w:pPr>
    <w:rPr>
      <w:rFonts w:ascii="汉鼎简仿宋" w:eastAsia="汉鼎简仿宋"/>
      <w:snapToGrid w:val="0"/>
      <w:kern w:val="0"/>
      <w:sz w:val="32"/>
      <w:szCs w:val="20"/>
    </w:rPr>
  </w:style>
  <w:style w:type="paragraph" w:customStyle="1" w:styleId="37">
    <w:name w:val="List Paragraph1"/>
    <w:basedOn w:val="1"/>
    <w:qFormat/>
    <w:uiPriority w:val="0"/>
    <w:pPr>
      <w:ind w:firstLine="420" w:firstLineChars="200"/>
    </w:pPr>
  </w:style>
  <w:style w:type="paragraph" w:customStyle="1" w:styleId="38">
    <w:name w:val="文头"/>
    <w:basedOn w:val="1"/>
    <w:qFormat/>
    <w:uiPriority w:val="0"/>
    <w:pPr>
      <w:tabs>
        <w:tab w:val="left" w:pos="6663"/>
      </w:tabs>
      <w:autoSpaceDE w:val="0"/>
      <w:autoSpaceDN w:val="0"/>
      <w:snapToGrid w:val="0"/>
      <w:spacing w:after="800" w:line="1500" w:lineRule="atLeast"/>
      <w:ind w:left="511" w:right="227" w:hanging="284"/>
      <w:jc w:val="distribute"/>
    </w:pPr>
    <w:rPr>
      <w:rFonts w:ascii="汉鼎简大宋" w:eastAsia="汉鼎简大宋"/>
      <w:b/>
      <w:snapToGrid w:val="0"/>
      <w:color w:val="FF0000"/>
      <w:w w:val="62"/>
      <w:kern w:val="0"/>
      <w:sz w:val="140"/>
      <w:szCs w:val="20"/>
    </w:rPr>
  </w:style>
  <w:style w:type="paragraph" w:customStyle="1" w:styleId="39">
    <w:name w:val="紧急程度"/>
    <w:basedOn w:val="28"/>
    <w:qFormat/>
    <w:uiPriority w:val="0"/>
    <w:pPr>
      <w:spacing w:line="397" w:lineRule="atLeast"/>
    </w:pPr>
    <w:rPr>
      <w:rFonts w:ascii="汉鼎简黑体" w:hAnsi="汉鼎简黑体" w:eastAsia="汉鼎简黑体"/>
      <w:sz w:val="32"/>
    </w:rPr>
  </w:style>
  <w:style w:type="character" w:customStyle="1" w:styleId="40">
    <w:name w:val="articlemaintextwb1"/>
    <w:basedOn w:val="18"/>
    <w:qFormat/>
    <w:uiPriority w:val="0"/>
  </w:style>
  <w:style w:type="paragraph" w:customStyle="1" w:styleId="41">
    <w:name w:val="公文标题"/>
    <w:basedOn w:val="1"/>
    <w:qFormat/>
    <w:uiPriority w:val="0"/>
    <w:pPr>
      <w:spacing w:line="600" w:lineRule="exact"/>
      <w:jc w:val="center"/>
    </w:pPr>
    <w:rPr>
      <w:rFonts w:ascii="方正小标宋简体" w:eastAsia="方正小标宋简体"/>
      <w:kern w:val="0"/>
      <w:sz w:val="44"/>
      <w:szCs w:val="44"/>
    </w:rPr>
  </w:style>
  <w:style w:type="paragraph" w:customStyle="1" w:styleId="42">
    <w:name w:val="公文正文"/>
    <w:basedOn w:val="1"/>
    <w:qFormat/>
    <w:uiPriority w:val="0"/>
    <w:pPr>
      <w:ind w:firstLine="640" w:firstLineChars="200"/>
    </w:pPr>
    <w:rPr>
      <w:rFonts w:ascii="仿宋" w:hAnsi="仿宋" w:eastAsia="仿宋"/>
      <w:sz w:val="32"/>
      <w:szCs w:val="32"/>
    </w:rPr>
  </w:style>
  <w:style w:type="paragraph" w:customStyle="1" w:styleId="43">
    <w:name w:val="公文一级目录"/>
    <w:basedOn w:val="1"/>
    <w:qFormat/>
    <w:uiPriority w:val="0"/>
    <w:pPr>
      <w:ind w:firstLine="640" w:firstLineChars="200"/>
    </w:pPr>
    <w:rPr>
      <w:rFonts w:ascii="黑体" w:eastAsia="黑体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jyj</Company>
  <Pages>4</Pages>
  <Words>1836</Words>
  <Characters>1915</Characters>
  <Lines>29</Lines>
  <Paragraphs>8</Paragraphs>
  <TotalTime>44</TotalTime>
  <ScaleCrop>false</ScaleCrop>
  <LinksUpToDate>false</LinksUpToDate>
  <CharactersWithSpaces>1982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2019-11-13T01:33:00Z</dcterms:created>
  <dc:creator>微软用户</dc:creator>
  <cp:lastModifiedBy>Administrator</cp:lastModifiedBy>
  <cp:lastPrinted>2025-01-09T05:23:00Z</cp:lastPrinted>
  <dcterms:modified xsi:type="dcterms:W3CDTF">2025-01-14T08:52:31Z</dcterms:modified>
  <dc:title>关于转发市委浦荣皋书记重要批示的通知</dc:title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4909ABF883824D8CAC783495CBAB5A3B_13</vt:lpwstr>
  </property>
  <property fmtid="{D5CDD505-2E9C-101B-9397-08002B2CF9AE}" pid="4" name="KSOTemplateDocerSaveRecord">
    <vt:lpwstr>eyJoZGlkIjoiMzZmYmYyNDUyNGViNjU4YTBmYWQ2MWFhMmU5ZjY2NmQifQ==</vt:lpwstr>
  </property>
</Properties>
</file>