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>太仓市医疗保障局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20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>20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年政府信息公开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625" w:afterLines="200"/>
        <w:jc w:val="center"/>
        <w:textAlignment w:val="auto"/>
        <w:rPr>
          <w:rFonts w:hint="default" w:ascii="Times New Roman" w:hAnsi="Times New Roman" w:cs="Times New Roman"/>
          <w:b w:val="0"/>
          <w:bCs/>
          <w:color w:val="auto"/>
          <w:sz w:val="32"/>
          <w:szCs w:val="32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工作年度报告</w:t>
      </w:r>
    </w:p>
    <w:p>
      <w:pPr>
        <w:spacing w:line="560" w:lineRule="exact"/>
        <w:ind w:firstLine="64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本年报根据《中华人民共和国政府信息公开条例》规定和苏州市政府办公室《关于做好2020年政府信息公开年度报告编制发布工作的通知》、太仓市人民政府办公室《关于做好2020年信息公开年度报告编制工作的通知》要求，由太仓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医疗保障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局编制。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本年报由总体情况、主动公开政府信息情况、收到和处理政府信息公开申请情况、政府信息公开行政复议和行政诉讼情况、政府信息公开工作存在的主要问题及改进情况、其他需要报告的事项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六个部分组成，所列数据统计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时间</w:t>
      </w:r>
      <w:r>
        <w:rPr>
          <w:rFonts w:hint="eastAsia" w:ascii="Times New Roman" w:hAnsi="Times New Roman" w:eastAsia="仿宋_GB2312" w:cs="仿宋_GB2312"/>
          <w:sz w:val="32"/>
          <w:szCs w:val="32"/>
        </w:rPr>
        <w:t>自2020年1月1日起至2020年12月31日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截止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。如对年报有任何疑问，请与市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医保</w:t>
      </w:r>
      <w:r>
        <w:rPr>
          <w:rFonts w:hint="eastAsia" w:ascii="Times New Roman" w:hAnsi="Times New Roman" w:eastAsia="仿宋_GB2312" w:cs="仿宋_GB2312"/>
          <w:sz w:val="32"/>
          <w:szCs w:val="32"/>
        </w:rPr>
        <w:t>局办公室联系（地址：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太仓市柳州路38号社保大楼三楼303室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，电话：0512-535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20379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医保</w:t>
      </w:r>
      <w:r>
        <w:rPr>
          <w:rFonts w:hint="eastAsia" w:ascii="Times New Roman" w:hAnsi="Times New Roman" w:eastAsia="仿宋_GB2312" w:cs="仿宋_GB2312"/>
          <w:sz w:val="32"/>
          <w:szCs w:val="32"/>
        </w:rPr>
        <w:t>局深入贯彻落实《2020年政务公开工作要点》等决策部署，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积极做好政府信息主动公开工作。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及时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eastAsia="zh-CN"/>
        </w:rPr>
        <w:t>做好相关栏目政务信息发布，强化政府信息公开力度，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推动政府信息公开工作不断向规范化方向发展，更好地服务于全市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医保保障事业发展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和政府自身建设。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在政府信息公开网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主动发布信息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112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条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，“太仓市医疗保障局”微信公众号发布信息138条，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eastAsia="zh-CN"/>
        </w:rPr>
        <w:t>及时做好信息公开的维护和更新工作，提高了群众关注点的回应和解读，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处理太仓市社会治理联动中心指挥平台派件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551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件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。本年度我局未收到权利人申请公开政府信息的申请。未向申请人收取任何费用，公开信息均无偿提供。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eastAsia="zh-CN"/>
        </w:rPr>
        <w:t>未发生就政府信息公开提出复议、诉讼和申诉情况。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主动公开政府信息情况</w:t>
      </w:r>
    </w:p>
    <w:tbl>
      <w:tblPr>
        <w:tblStyle w:val="2"/>
        <w:tblW w:w="4902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2158"/>
        <w:gridCol w:w="1951"/>
        <w:gridCol w:w="197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信息内容</w:t>
            </w:r>
          </w:p>
        </w:tc>
        <w:tc>
          <w:tcPr>
            <w:tcW w:w="11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本年新</w:t>
            </w:r>
            <w:r>
              <w:rPr>
                <w:rFonts w:ascii="Times New Roman" w:hAnsi="Times New Roman" w:eastAsia="宋体" w:cs="宋体"/>
                <w:sz w:val="20"/>
                <w:szCs w:val="20"/>
              </w:rPr>
              <w:t>制作数量</w:t>
            </w:r>
          </w:p>
        </w:tc>
        <w:tc>
          <w:tcPr>
            <w:tcW w:w="107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本年新</w:t>
            </w:r>
            <w:r>
              <w:rPr>
                <w:rFonts w:ascii="Times New Roman" w:hAnsi="Times New Roman" w:eastAsia="宋体" w:cs="宋体"/>
                <w:sz w:val="20"/>
                <w:szCs w:val="20"/>
              </w:rPr>
              <w:t>公开数量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对外公开总数量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规章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规范性文件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4"/>
                <w:lang w:val="en-US" w:eastAsia="zh-CN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4"/>
                <w:lang w:val="en-US" w:eastAsia="zh-CN"/>
              </w:rPr>
              <w:t>0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信息内容</w:t>
            </w:r>
          </w:p>
        </w:tc>
        <w:tc>
          <w:tcPr>
            <w:tcW w:w="11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上一年项目数量</w:t>
            </w:r>
          </w:p>
        </w:tc>
        <w:tc>
          <w:tcPr>
            <w:tcW w:w="107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本年增/减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行政许可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其他对外管理服务事项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信息内容</w:t>
            </w:r>
          </w:p>
        </w:tc>
        <w:tc>
          <w:tcPr>
            <w:tcW w:w="11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上一年项目数量</w:t>
            </w:r>
          </w:p>
        </w:tc>
        <w:tc>
          <w:tcPr>
            <w:tcW w:w="107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本年增/减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行政处罚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4"/>
                <w:lang w:val="en-US" w:eastAsia="zh-CN"/>
              </w:rPr>
              <w:t>1（增）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行政强制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7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108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信息内容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上一年项目数量</w:t>
            </w:r>
          </w:p>
        </w:tc>
        <w:tc>
          <w:tcPr>
            <w:tcW w:w="2155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行政事业性收费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2155" w:type="pct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信息内容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采购项目数量</w:t>
            </w:r>
          </w:p>
        </w:tc>
        <w:tc>
          <w:tcPr>
            <w:tcW w:w="2155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65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政府集中采购</w:t>
            </w:r>
          </w:p>
        </w:tc>
        <w:tc>
          <w:tcPr>
            <w:tcW w:w="118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2155" w:type="pct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0万元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收到和处理政府信息公开申请情况</w:t>
      </w:r>
    </w:p>
    <w:tbl>
      <w:tblPr>
        <w:tblStyle w:val="2"/>
        <w:tblW w:w="90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855"/>
        <w:gridCol w:w="2130"/>
        <w:gridCol w:w="825"/>
        <w:gridCol w:w="765"/>
        <w:gridCol w:w="765"/>
        <w:gridCol w:w="825"/>
        <w:gridCol w:w="990"/>
        <w:gridCol w:w="720"/>
        <w:gridCol w:w="702"/>
      </w:tblGrid>
      <w:tr>
        <w:trPr>
          <w:tblHeader/>
          <w:jc w:val="center"/>
        </w:trPr>
        <w:tc>
          <w:tcPr>
            <w:tcW w:w="3479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92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  <w:jc w:val="center"/>
        </w:trPr>
        <w:tc>
          <w:tcPr>
            <w:tcW w:w="347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自然人</w:t>
            </w:r>
          </w:p>
        </w:tc>
        <w:tc>
          <w:tcPr>
            <w:tcW w:w="406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法人或其他组织</w:t>
            </w:r>
          </w:p>
        </w:tc>
        <w:tc>
          <w:tcPr>
            <w:tcW w:w="702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  <w:tblHeader/>
          <w:jc w:val="center"/>
        </w:trPr>
        <w:tc>
          <w:tcPr>
            <w:tcW w:w="347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商业企业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科研机构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社会公益组织</w:t>
            </w:r>
          </w:p>
        </w:tc>
        <w:tc>
          <w:tcPr>
            <w:tcW w:w="9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法律服务机构</w:t>
            </w:r>
          </w:p>
        </w:tc>
        <w:tc>
          <w:tcPr>
            <w:tcW w:w="7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其他</w:t>
            </w:r>
          </w:p>
        </w:tc>
        <w:tc>
          <w:tcPr>
            <w:tcW w:w="702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三、本年度办理结果</w:t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（一）予以公开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（三）不予公开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1.属于国家秘密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2.其他法律行政法规禁止公开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3.危及“三安全一稳定”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4.保护第三方合法权益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5.属于三类内部事务信息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6.属于四类过程性信息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7.属于行政执法案卷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8.属于行政查询事项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（四）无法提供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1.本机关不掌握相关政府信息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2.没有现成信息需要另行制作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3.补正后申请内容仍不明确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（五）不予处理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1.信访举报投诉类申请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2.重复申请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3.要求提供公开出版物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4.无正当理由大量反复申请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（六）其他处理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楷体" w:cs="宋体"/>
                <w:sz w:val="20"/>
                <w:szCs w:val="20"/>
              </w:rPr>
              <w:t>（七）总计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四、结转下年度继续办理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政府信息公开行政复议、行政诉讼情况</w:t>
      </w:r>
    </w:p>
    <w:tbl>
      <w:tblPr>
        <w:tblStyle w:val="2"/>
        <w:tblW w:w="90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宋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楷体_GB2312" w:cs="仿宋_GB2312"/>
          <w:sz w:val="32"/>
          <w:szCs w:val="32"/>
        </w:rPr>
        <w:t>信息员队伍建设方面：</w:t>
      </w:r>
      <w:r>
        <w:rPr>
          <w:rFonts w:hint="eastAsia" w:ascii="仿宋_GB2312" w:hAnsi="仿宋_GB2312" w:eastAsia="仿宋_GB2312" w:cs="仿宋_GB2312"/>
          <w:sz w:val="32"/>
          <w:szCs w:val="32"/>
        </w:rPr>
        <w:t>专业人才较为缺乏，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现有人员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缺乏经常化、制度化的培训，与当前工作要求不相适应。</w:t>
      </w:r>
      <w:r>
        <w:rPr>
          <w:rFonts w:hint="eastAsia" w:ascii="Times New Roman" w:hAnsi="Times New Roman" w:eastAsia="仿宋_GB2312" w:cs="仿宋_GB2312"/>
          <w:sz w:val="32"/>
          <w:szCs w:val="32"/>
        </w:rPr>
        <w:t>下一步将加强信息员队伍建设力度，</w:t>
      </w:r>
      <w:r>
        <w:rPr>
          <w:rFonts w:ascii="Times New Roman" w:hAnsi="Times New Roman" w:eastAsia="仿宋_GB2312" w:cs="仿宋_GB2312"/>
          <w:sz w:val="32"/>
          <w:szCs w:val="32"/>
        </w:rPr>
        <w:t>完善相关</w:t>
      </w:r>
      <w:r>
        <w:rPr>
          <w:rFonts w:hint="eastAsia" w:ascii="Times New Roman" w:hAnsi="Times New Roman" w:eastAsia="仿宋_GB2312" w:cs="仿宋_GB2312"/>
          <w:sz w:val="32"/>
          <w:szCs w:val="32"/>
        </w:rPr>
        <w:t>内部</w:t>
      </w:r>
      <w:r>
        <w:rPr>
          <w:rFonts w:ascii="Times New Roman" w:hAnsi="Times New Roman" w:eastAsia="仿宋_GB2312" w:cs="仿宋_GB2312"/>
          <w:sz w:val="32"/>
          <w:szCs w:val="32"/>
        </w:rPr>
        <w:t>制度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，进一步对新任、兼职信息员的培训，增强信息员的政府信息公开工作能力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不断拓展公开渠道，优化工作流程，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切实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发挥政府信息的服务作用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其他需要报告的事项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仿宋_GB2312"/>
          <w:sz w:val="32"/>
          <w:szCs w:val="32"/>
        </w:rPr>
      </w:pPr>
      <w:r>
        <w:rPr>
          <w:rFonts w:hint="eastAsia" w:ascii="Times New Roman" w:hAnsi="Times New Roman" w:eastAsia="楷体_GB2312" w:cs="仿宋_GB2312"/>
          <w:sz w:val="32"/>
          <w:szCs w:val="32"/>
        </w:rPr>
        <w:t>1.政务公开工作落实情况</w:t>
      </w:r>
      <w:r>
        <w:rPr>
          <w:rFonts w:hint="eastAsia" w:ascii="Times New Roman" w:hAnsi="Times New Roman" w:eastAsia="楷体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市医保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局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根据领导分工调整，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及时调整</w:t>
      </w:r>
      <w:r>
        <w:rPr>
          <w:rFonts w:ascii="Times New Roman" w:hAnsi="Times New Roman" w:eastAsia="仿宋_GB2312" w:cs="Times New Roman"/>
          <w:sz w:val="32"/>
          <w:szCs w:val="32"/>
        </w:rPr>
        <w:t>政务公开工作领导小组，明确由办公室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牵头</w:t>
      </w:r>
      <w:r>
        <w:rPr>
          <w:rFonts w:ascii="Times New Roman" w:hAnsi="Times New Roman" w:eastAsia="仿宋_GB2312" w:cs="Times New Roman"/>
          <w:sz w:val="32"/>
          <w:szCs w:val="32"/>
        </w:rPr>
        <w:t>，各项工作任务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分解</w:t>
      </w:r>
      <w:r>
        <w:rPr>
          <w:rFonts w:ascii="Times New Roman" w:hAnsi="Times New Roman" w:eastAsia="仿宋_GB2312" w:cs="Times New Roman"/>
          <w:sz w:val="32"/>
          <w:szCs w:val="32"/>
        </w:rPr>
        <w:t>到科室，并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指派</w:t>
      </w:r>
      <w:r>
        <w:rPr>
          <w:rFonts w:ascii="Times New Roman" w:hAnsi="Times New Roman" w:eastAsia="仿宋_GB2312" w:cs="Times New Roman"/>
          <w:sz w:val="32"/>
          <w:szCs w:val="32"/>
        </w:rPr>
        <w:t>专人负责政务公开及网站信息报送相关工作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积极开展信息收集工作，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形成</w:t>
      </w:r>
      <w:r>
        <w:rPr>
          <w:rFonts w:hint="eastAsia" w:ascii="仿宋_GB2312" w:hAnsi="仿宋_GB2312" w:eastAsia="仿宋_GB2312" w:cs="仿宋_GB2312"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科室</w:t>
      </w:r>
      <w:r>
        <w:rPr>
          <w:rFonts w:hint="eastAsia" w:ascii="仿宋_GB2312" w:hAnsi="仿宋_GB2312" w:eastAsia="仿宋_GB2312" w:cs="仿宋_GB2312"/>
          <w:sz w:val="32"/>
          <w:szCs w:val="32"/>
        </w:rPr>
        <w:t>分工负责、齐抓共管的工作格局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不断提高政务公开水平。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仿宋_GB2312"/>
          <w:sz w:val="32"/>
          <w:szCs w:val="32"/>
        </w:rPr>
      </w:pPr>
      <w:r>
        <w:rPr>
          <w:rFonts w:hint="eastAsia" w:ascii="Times New Roman" w:hAnsi="Times New Roman" w:eastAsia="楷体_GB2312" w:cs="仿宋_GB2312"/>
          <w:sz w:val="32"/>
          <w:szCs w:val="32"/>
        </w:rPr>
        <w:t>2.推进基层政务公开标准化规范化工作情况：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市医保</w:t>
      </w:r>
      <w:r>
        <w:rPr>
          <w:rFonts w:hint="eastAsia" w:ascii="Times New Roman" w:hAnsi="Times New Roman" w:eastAsia="仿宋_GB2312" w:cs="仿宋_GB2312"/>
          <w:sz w:val="32"/>
          <w:szCs w:val="32"/>
        </w:rPr>
        <w:t>局不断健全“一把手负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总</w:t>
      </w:r>
      <w:r>
        <w:rPr>
          <w:rFonts w:hint="eastAsia" w:ascii="Times New Roman" w:hAnsi="Times New Roman" w:eastAsia="仿宋_GB2312" w:cs="仿宋_GB2312"/>
          <w:sz w:val="32"/>
          <w:szCs w:val="32"/>
        </w:rPr>
        <w:t>责，分管领导亲自抓”的政府信息公开工作机制，制定发布《太仓市医疗保障局政务公开公示制度》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、《太仓市医疗保障局新闻发布会制度（试行）》、《太仓市医疗保障局行政机关公文类信息公开审核制度》、《太仓市医疗保障局政务公开责任追究制度》、《太仓市医疗保障局政务信息发布保密审查制度》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，并组织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学习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，确保信息公开过程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分</w:t>
      </w:r>
      <w:r>
        <w:rPr>
          <w:rFonts w:hint="eastAsia" w:ascii="Times New Roman" w:hAnsi="Times New Roman" w:eastAsia="仿宋_GB2312" w:cs="仿宋_GB2312"/>
          <w:sz w:val="32"/>
          <w:szCs w:val="32"/>
        </w:rPr>
        <w:t>级审核，层层把关，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确保准确无误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仿宋_GB2312"/>
          <w:sz w:val="32"/>
          <w:szCs w:val="32"/>
        </w:rPr>
        <w:t>3.人大代表建议和政协委员提案办理结果的公开情况：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全年主办人大建议3件，协办1件；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全年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主</w:t>
      </w:r>
      <w:r>
        <w:rPr>
          <w:rFonts w:hint="eastAsia" w:ascii="Times New Roman" w:hAnsi="Times New Roman" w:eastAsia="仿宋_GB2312" w:cs="仿宋_GB2312"/>
          <w:sz w:val="32"/>
          <w:szCs w:val="32"/>
        </w:rPr>
        <w:t>办政协提案交办件2件，无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协</w:t>
      </w:r>
      <w:r>
        <w:rPr>
          <w:rFonts w:hint="eastAsia" w:ascii="Times New Roman" w:hAnsi="Times New Roman" w:eastAsia="仿宋_GB2312" w:cs="仿宋_GB2312"/>
          <w:sz w:val="32"/>
          <w:szCs w:val="32"/>
        </w:rPr>
        <w:t>办件。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CC8EC9-CED1-41AE-AEED-28EC687F73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5F0503-25CB-44EC-AB94-4D93494633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D1EDF9-7963-4960-AB18-42A669A145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BECADD0-1B3F-4D00-A6FF-BAE69CEF8A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2B0736E-ADBB-444E-87BB-7B461E87FF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74452D1-DC03-4C95-BE20-961B3A22DFFC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0B109ED-D733-4B52-965F-34BC43415A4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BA32CEE8-4E71-485C-B887-22D9392FF4B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FD11DF1-47A2-4434-BC30-49E1B050E7D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D338BF78-1321-4669-9CB9-2E8C65E3EE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D0A97"/>
    <w:rsid w:val="00517993"/>
    <w:rsid w:val="008B7DF4"/>
    <w:rsid w:val="039B6088"/>
    <w:rsid w:val="04E52D42"/>
    <w:rsid w:val="04FD0A97"/>
    <w:rsid w:val="06552BE1"/>
    <w:rsid w:val="07031B0B"/>
    <w:rsid w:val="08B02233"/>
    <w:rsid w:val="0A51481A"/>
    <w:rsid w:val="0ABE6C2F"/>
    <w:rsid w:val="0AF6049F"/>
    <w:rsid w:val="0B6E67B5"/>
    <w:rsid w:val="0CC26FB9"/>
    <w:rsid w:val="0D8B5EA8"/>
    <w:rsid w:val="0EE17B7E"/>
    <w:rsid w:val="11860F49"/>
    <w:rsid w:val="1286010F"/>
    <w:rsid w:val="16706E69"/>
    <w:rsid w:val="1727715C"/>
    <w:rsid w:val="18244E06"/>
    <w:rsid w:val="1B184F0B"/>
    <w:rsid w:val="1C4578C9"/>
    <w:rsid w:val="22996B36"/>
    <w:rsid w:val="22B418B2"/>
    <w:rsid w:val="25382341"/>
    <w:rsid w:val="25680B86"/>
    <w:rsid w:val="2A2940FB"/>
    <w:rsid w:val="2BF174D6"/>
    <w:rsid w:val="352462C6"/>
    <w:rsid w:val="358034A8"/>
    <w:rsid w:val="377D1466"/>
    <w:rsid w:val="3BA173D4"/>
    <w:rsid w:val="3FEC2472"/>
    <w:rsid w:val="42B94378"/>
    <w:rsid w:val="44500C30"/>
    <w:rsid w:val="44C11AE7"/>
    <w:rsid w:val="45C573B4"/>
    <w:rsid w:val="4A620F3D"/>
    <w:rsid w:val="4A854A90"/>
    <w:rsid w:val="4B827F8A"/>
    <w:rsid w:val="4DA568FD"/>
    <w:rsid w:val="4EA859A3"/>
    <w:rsid w:val="4EFF0CD7"/>
    <w:rsid w:val="508B1BC8"/>
    <w:rsid w:val="52536121"/>
    <w:rsid w:val="536618D5"/>
    <w:rsid w:val="58754349"/>
    <w:rsid w:val="5A3A4D6F"/>
    <w:rsid w:val="5AE55AF2"/>
    <w:rsid w:val="5C5D110A"/>
    <w:rsid w:val="60F910CC"/>
    <w:rsid w:val="61431FF7"/>
    <w:rsid w:val="625C6BF0"/>
    <w:rsid w:val="62A92654"/>
    <w:rsid w:val="63C874B9"/>
    <w:rsid w:val="640B3B33"/>
    <w:rsid w:val="65D2065E"/>
    <w:rsid w:val="662C7C8C"/>
    <w:rsid w:val="66B42111"/>
    <w:rsid w:val="676D7AD2"/>
    <w:rsid w:val="6CE03709"/>
    <w:rsid w:val="6D8C7E5F"/>
    <w:rsid w:val="6EEA4237"/>
    <w:rsid w:val="77F40E47"/>
    <w:rsid w:val="79D02DCC"/>
    <w:rsid w:val="7B111598"/>
    <w:rsid w:val="7B7D7642"/>
    <w:rsid w:val="7BDE4833"/>
    <w:rsid w:val="7C7D78F0"/>
    <w:rsid w:val="7CD171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333333"/>
      <w:u w:val="none"/>
    </w:rPr>
  </w:style>
  <w:style w:type="character" w:styleId="5">
    <w:name w:val="Emphasis"/>
    <w:basedOn w:val="3"/>
    <w:qFormat/>
    <w:uiPriority w:val="0"/>
  </w:style>
  <w:style w:type="character" w:styleId="6">
    <w:name w:val="Hyperlink"/>
    <w:basedOn w:val="3"/>
    <w:qFormat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2020-01-22T02:44:00Z</dcterms:created>
  <dc:creator>yt_tcfgw</dc:creator>
  <cp:lastModifiedBy>Jiarui</cp:lastModifiedBy>
  <cp:lastPrinted>2020-01-22T06:28:00Z</cp:lastPrinted>
  <dcterms:modified xsi:type="dcterms:W3CDTF">2021-01-29T05:17:31Z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384519337_embed</vt:lpwstr>
  </property>
</Properties>
</file>