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rPr>
      </w:pPr>
      <w:bookmarkStart w:id="0" w:name="OLE_LINK2"/>
      <w:r>
        <w:rPr>
          <w:rFonts w:hint="eastAsia" w:ascii="宋体" w:hAnsi="宋体" w:eastAsia="宋体"/>
          <w:b/>
          <w:sz w:val="36"/>
        </w:rPr>
        <w:t>太仓市住房和城乡建设局</w:t>
      </w:r>
    </w:p>
    <w:p>
      <w:pPr>
        <w:jc w:val="center"/>
        <w:rPr>
          <w:rFonts w:ascii="宋体" w:hAnsi="宋体" w:eastAsia="宋体"/>
          <w:b/>
          <w:sz w:val="36"/>
        </w:rPr>
      </w:pPr>
      <w:r>
        <w:rPr>
          <w:rFonts w:hint="eastAsia" w:ascii="宋体" w:hAnsi="宋体" w:eastAsia="宋体"/>
          <w:b/>
          <w:sz w:val="36"/>
          <w:lang w:val="en-US" w:eastAsia="zh-CN"/>
        </w:rPr>
        <w:t>2020</w:t>
      </w:r>
      <w:r>
        <w:rPr>
          <w:rFonts w:hint="eastAsia" w:ascii="宋体" w:hAnsi="宋体" w:eastAsia="宋体"/>
          <w:b/>
          <w:sz w:val="36"/>
        </w:rPr>
        <w:t>年政府信息公开工作报告</w:t>
      </w:r>
    </w:p>
    <w:p>
      <w:pPr>
        <w:pStyle w:val="9"/>
        <w:jc w:val="center"/>
        <w:rPr>
          <w:rFonts w:ascii="仿宋" w:hAnsi="仿宋" w:eastAsia="仿宋"/>
          <w:sz w:val="30"/>
          <w:szCs w:val="30"/>
        </w:rPr>
      </w:pPr>
    </w:p>
    <w:p>
      <w:pPr>
        <w:spacing w:line="580" w:lineRule="exact"/>
        <w:ind w:firstLine="640" w:firstLineChars="200"/>
        <w:rPr>
          <w:rFonts w:ascii="仿宋" w:hAnsi="仿宋" w:eastAsia="仿宋"/>
          <w:sz w:val="32"/>
          <w:szCs w:val="32"/>
        </w:rPr>
      </w:pPr>
      <w:r>
        <w:rPr>
          <w:rFonts w:hint="eastAsia" w:ascii="仿宋" w:hAnsi="仿宋" w:eastAsia="仿宋"/>
          <w:sz w:val="32"/>
          <w:szCs w:val="32"/>
          <w:lang w:val="en-US" w:eastAsia="zh-CN"/>
        </w:rPr>
        <w:t>2020</w:t>
      </w:r>
      <w:r>
        <w:rPr>
          <w:rFonts w:hint="eastAsia" w:ascii="仿宋" w:hAnsi="仿宋" w:eastAsia="仿宋"/>
          <w:sz w:val="32"/>
          <w:szCs w:val="32"/>
        </w:rPr>
        <w:t>年，市住建局以习近平新时代中国特色社会主义思想为指导，在市委、市政府的正确领导下，不断规范信息公开内容，创新信息公开形式，突出信息公开重点，提高信息公开水平</w:t>
      </w:r>
      <w:r>
        <w:rPr>
          <w:rFonts w:ascii="仿宋" w:hAnsi="仿宋" w:eastAsia="仿宋"/>
          <w:sz w:val="32"/>
          <w:szCs w:val="32"/>
        </w:rPr>
        <w:t>，</w:t>
      </w:r>
      <w:r>
        <w:rPr>
          <w:rFonts w:hint="eastAsia" w:ascii="仿宋" w:hAnsi="仿宋" w:eastAsia="仿宋"/>
          <w:sz w:val="32"/>
          <w:szCs w:val="32"/>
        </w:rPr>
        <w:t>有效</w:t>
      </w:r>
      <w:r>
        <w:rPr>
          <w:rFonts w:ascii="仿宋" w:hAnsi="仿宋" w:eastAsia="仿宋"/>
          <w:sz w:val="32"/>
          <w:szCs w:val="32"/>
        </w:rPr>
        <w:t>提高</w:t>
      </w:r>
      <w:r>
        <w:rPr>
          <w:rFonts w:hint="eastAsia" w:ascii="仿宋" w:hAnsi="仿宋" w:eastAsia="仿宋"/>
          <w:sz w:val="32"/>
          <w:szCs w:val="32"/>
        </w:rPr>
        <w:t>了</w:t>
      </w:r>
      <w:r>
        <w:rPr>
          <w:rFonts w:ascii="仿宋" w:hAnsi="仿宋" w:eastAsia="仿宋"/>
          <w:sz w:val="32"/>
          <w:szCs w:val="32"/>
        </w:rPr>
        <w:t>办事和工作效率</w:t>
      </w:r>
      <w:r>
        <w:rPr>
          <w:rFonts w:hint="eastAsia" w:ascii="仿宋" w:hAnsi="仿宋" w:eastAsia="仿宋"/>
          <w:sz w:val="32"/>
          <w:szCs w:val="32"/>
        </w:rPr>
        <w:t>。</w:t>
      </w:r>
    </w:p>
    <w:p>
      <w:pPr>
        <w:spacing w:line="580" w:lineRule="exact"/>
        <w:ind w:firstLine="640" w:firstLineChars="200"/>
        <w:rPr>
          <w:rFonts w:ascii="黑体" w:hAnsi="黑体" w:eastAsia="黑体"/>
          <w:bCs/>
          <w:sz w:val="32"/>
          <w:szCs w:val="32"/>
          <w:shd w:val="clear" w:color="auto" w:fill="FFFFFF"/>
        </w:rPr>
      </w:pPr>
      <w:r>
        <w:rPr>
          <w:rFonts w:hint="eastAsia" w:ascii="黑体" w:hAnsi="黑体" w:eastAsia="黑体"/>
          <w:bCs/>
          <w:sz w:val="32"/>
          <w:szCs w:val="32"/>
          <w:shd w:val="clear" w:color="auto" w:fill="FFFFFF"/>
        </w:rPr>
        <w:t>一、总体情况</w:t>
      </w:r>
    </w:p>
    <w:p>
      <w:pPr>
        <w:spacing w:line="580" w:lineRule="exact"/>
        <w:ind w:firstLine="640" w:firstLineChars="200"/>
        <w:rPr>
          <w:rFonts w:ascii="楷体" w:hAnsi="楷体" w:eastAsia="楷体"/>
          <w:bCs/>
          <w:sz w:val="32"/>
          <w:szCs w:val="32"/>
          <w:shd w:val="clear" w:color="auto" w:fill="FFFFFF"/>
        </w:rPr>
      </w:pPr>
      <w:r>
        <w:rPr>
          <w:rFonts w:hint="eastAsia" w:ascii="楷体" w:hAnsi="楷体" w:eastAsia="楷体"/>
          <w:bCs/>
          <w:sz w:val="32"/>
          <w:szCs w:val="32"/>
          <w:shd w:val="clear" w:color="auto" w:fill="FFFFFF"/>
        </w:rPr>
        <w:t>（一）加强组织领导，落实工作责任</w:t>
      </w:r>
    </w:p>
    <w:p>
      <w:pPr>
        <w:spacing w:line="580" w:lineRule="exact"/>
        <w:ind w:firstLine="640" w:firstLineChars="200"/>
        <w:rPr>
          <w:rFonts w:ascii="仿宋_GB2312" w:hAnsi="仿宋_GB2312" w:eastAsia="仿宋_GB2312" w:cs="仿宋_GB2312"/>
          <w:kern w:val="0"/>
          <w:sz w:val="32"/>
          <w:szCs w:val="32"/>
        </w:rPr>
      </w:pPr>
      <w:r>
        <w:rPr>
          <w:rFonts w:hint="eastAsia" w:ascii="仿宋" w:hAnsi="仿宋" w:eastAsia="仿宋"/>
          <w:sz w:val="32"/>
          <w:szCs w:val="32"/>
        </w:rPr>
        <w:t>认真贯彻落实市委市</w:t>
      </w:r>
      <w:r>
        <w:rPr>
          <w:rFonts w:hint="eastAsia" w:ascii="仿宋" w:hAnsi="仿宋" w:eastAsia="仿宋"/>
          <w:sz w:val="32"/>
          <w:szCs w:val="32"/>
          <w:lang w:eastAsia="zh-CN"/>
        </w:rPr>
        <w:t>、</w:t>
      </w:r>
      <w:r>
        <w:rPr>
          <w:rFonts w:hint="eastAsia" w:ascii="仿宋" w:hAnsi="仿宋" w:eastAsia="仿宋"/>
          <w:sz w:val="32"/>
          <w:szCs w:val="32"/>
        </w:rPr>
        <w:t>政府关于政务公开工作的部署和要求，自始至终把推行政务公开工作作为落实党风廉政建设责任制、转变机关作风、提高行政效能、改善营商环境的一项重要工作来抓，切实加强对政务公开工作的组织领导。成立政务公开领导小组，组织协调、督促指导政务公开日常工作，形成主要领导亲自抓、分管领导具体抓、有关领导协同抓，领导小组统一指导、各科室单位分类负责的工作格局。编制发布《</w:t>
      </w:r>
      <w:r>
        <w:rPr>
          <w:rFonts w:hint="eastAsia" w:ascii="仿宋" w:hAnsi="仿宋" w:eastAsia="仿宋"/>
          <w:sz w:val="32"/>
          <w:szCs w:val="32"/>
          <w:lang w:val="en-US" w:eastAsia="zh-CN"/>
        </w:rPr>
        <w:t>2020</w:t>
      </w:r>
      <w:r>
        <w:rPr>
          <w:rFonts w:hint="eastAsia" w:ascii="仿宋" w:hAnsi="仿宋" w:eastAsia="仿宋"/>
          <w:sz w:val="32"/>
          <w:szCs w:val="32"/>
        </w:rPr>
        <w:t>年太仓市住房和城乡建设局政务信息公开制度》《</w:t>
      </w:r>
      <w:r>
        <w:rPr>
          <w:rFonts w:hint="eastAsia" w:ascii="仿宋" w:hAnsi="仿宋" w:eastAsia="仿宋"/>
          <w:sz w:val="32"/>
          <w:szCs w:val="32"/>
          <w:lang w:val="en-US" w:eastAsia="zh-CN"/>
        </w:rPr>
        <w:t>2020</w:t>
      </w:r>
      <w:r>
        <w:rPr>
          <w:rFonts w:hint="eastAsia" w:ascii="仿宋" w:hAnsi="仿宋" w:eastAsia="仿宋"/>
          <w:sz w:val="32"/>
          <w:szCs w:val="32"/>
        </w:rPr>
        <w:t>年太仓市住房和城乡建设局政府信息公开指南》等一系列文件，明确政务公开的内容、形式和制度，做到有章可循。对拟公开的政务信息严格把关，逐级审批，保证符合国家法律政策规定，保证公开内容真实有效，</w:t>
      </w:r>
      <w:r>
        <w:rPr>
          <w:rFonts w:ascii="仿宋" w:hAnsi="仿宋" w:eastAsia="仿宋"/>
          <w:sz w:val="32"/>
          <w:szCs w:val="32"/>
        </w:rPr>
        <w:t>确保政务公开工作走上制度化、规范化的轨道</w:t>
      </w:r>
      <w:r>
        <w:rPr>
          <w:rFonts w:hint="eastAsia" w:ascii="仿宋" w:hAnsi="仿宋" w:eastAsia="仿宋"/>
          <w:sz w:val="32"/>
          <w:szCs w:val="32"/>
        </w:rPr>
        <w:t>。</w:t>
      </w:r>
    </w:p>
    <w:p>
      <w:pPr>
        <w:spacing w:line="580" w:lineRule="exact"/>
        <w:ind w:firstLine="640" w:firstLineChars="200"/>
        <w:rPr>
          <w:rFonts w:ascii="楷体" w:hAnsi="楷体" w:eastAsia="楷体"/>
          <w:bCs/>
          <w:sz w:val="32"/>
          <w:szCs w:val="32"/>
          <w:shd w:val="clear" w:color="auto" w:fill="FFFFFF"/>
        </w:rPr>
      </w:pPr>
      <w:r>
        <w:rPr>
          <w:rFonts w:hint="eastAsia" w:ascii="楷体" w:hAnsi="楷体" w:eastAsia="楷体"/>
          <w:bCs/>
          <w:sz w:val="32"/>
          <w:szCs w:val="32"/>
          <w:shd w:val="clear" w:color="auto" w:fill="FFFFFF"/>
        </w:rPr>
        <w:t>（二）拓宽公开渠道，加大主动公开力度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本年度，通过不同渠道和方式公开涉及本单位各类信息近千条。</w:t>
      </w:r>
      <w:r>
        <w:rPr>
          <w:rFonts w:hint="eastAsia" w:ascii="仿宋" w:hAnsi="仿宋" w:eastAsia="仿宋"/>
          <w:b/>
          <w:sz w:val="32"/>
          <w:szCs w:val="32"/>
        </w:rPr>
        <w:t>1.加强政府门户网站信息输送。</w:t>
      </w:r>
      <w:r>
        <w:rPr>
          <w:rFonts w:hint="eastAsia" w:ascii="仿宋" w:hAnsi="仿宋" w:eastAsia="仿宋"/>
          <w:sz w:val="32"/>
          <w:szCs w:val="32"/>
        </w:rPr>
        <w:t>在“中国太仓”政府网站报送并发布各类住建要闻和涉及建工、绿化、房产、人防类的通知公告、公示信息、政策解读，包括政府信息公开目录中公开的文件数和其它栏目所公开的政府信息数324条。</w:t>
      </w:r>
      <w:r>
        <w:rPr>
          <w:rFonts w:hint="eastAsia" w:ascii="仿宋" w:hAnsi="仿宋" w:eastAsia="仿宋"/>
          <w:b/>
          <w:sz w:val="32"/>
          <w:szCs w:val="32"/>
        </w:rPr>
        <w:t>2.有效提升传统媒体的作用。</w:t>
      </w:r>
      <w:r>
        <w:rPr>
          <w:rFonts w:hint="eastAsia" w:ascii="仿宋" w:hAnsi="仿宋" w:eastAsia="仿宋"/>
          <w:sz w:val="32"/>
          <w:szCs w:val="32"/>
        </w:rPr>
        <w:t>加强与太仓日报、太仓电视台等宣传媒体开展信息公开合作，每年在太仓日报发布整版公开信息约30版，日常业务通讯每周不少于2篇，太仓电视台每月涉及住建工作新闻专题不少于2条。</w:t>
      </w:r>
      <w:r>
        <w:rPr>
          <w:rFonts w:hint="eastAsia" w:ascii="仿宋" w:hAnsi="仿宋" w:eastAsia="仿宋"/>
          <w:sz w:val="32"/>
          <w:szCs w:val="32"/>
          <w:lang w:eastAsia="zh-CN"/>
        </w:rPr>
        <w:t>加强</w:t>
      </w:r>
      <w:r>
        <w:rPr>
          <w:rFonts w:ascii="仿宋" w:hAnsi="仿宋" w:eastAsia="仿宋"/>
          <w:sz w:val="32"/>
          <w:szCs w:val="32"/>
        </w:rPr>
        <w:t>“住建三人谈”栏目</w:t>
      </w:r>
      <w:r>
        <w:rPr>
          <w:rFonts w:hint="eastAsia" w:ascii="仿宋" w:hAnsi="仿宋" w:eastAsia="仿宋"/>
          <w:sz w:val="32"/>
          <w:szCs w:val="32"/>
          <w:lang w:eastAsia="zh-CN"/>
        </w:rPr>
        <w:t>效能</w:t>
      </w:r>
      <w:r>
        <w:rPr>
          <w:rFonts w:ascii="仿宋" w:hAnsi="仿宋" w:eastAsia="仿宋"/>
          <w:sz w:val="32"/>
          <w:szCs w:val="32"/>
        </w:rPr>
        <w:t>，以通俗易懂的方式解读住建领域法律法规，增进市民对各项政策的了解。</w:t>
      </w:r>
      <w:r>
        <w:rPr>
          <w:rFonts w:hint="eastAsia" w:ascii="仿宋" w:hAnsi="仿宋" w:eastAsia="仿宋"/>
          <w:b/>
          <w:sz w:val="32"/>
          <w:szCs w:val="32"/>
        </w:rPr>
        <w:t>3.注重发挥政务公开新载体作用。</w:t>
      </w:r>
      <w:r>
        <w:rPr>
          <w:rFonts w:hint="eastAsia" w:ascii="仿宋" w:hAnsi="仿宋" w:eastAsia="仿宋"/>
          <w:sz w:val="32"/>
          <w:szCs w:val="32"/>
        </w:rPr>
        <w:t>用好</w:t>
      </w:r>
      <w:r>
        <w:rPr>
          <w:rFonts w:ascii="仿宋" w:hAnsi="仿宋" w:eastAsia="仿宋"/>
          <w:sz w:val="32"/>
          <w:szCs w:val="32"/>
        </w:rPr>
        <w:t>“太仓住建官微”</w:t>
      </w:r>
      <w:r>
        <w:rPr>
          <w:rFonts w:hint="eastAsia" w:ascii="仿宋" w:hAnsi="仿宋" w:eastAsia="仿宋"/>
          <w:sz w:val="32"/>
          <w:szCs w:val="32"/>
        </w:rPr>
        <w:t>，</w:t>
      </w:r>
      <w:r>
        <w:rPr>
          <w:rFonts w:ascii="仿宋" w:hAnsi="仿宋" w:eastAsia="仿宋"/>
          <w:sz w:val="32"/>
          <w:szCs w:val="32"/>
        </w:rPr>
        <w:t>本年度1-1</w:t>
      </w:r>
      <w:r>
        <w:rPr>
          <w:rFonts w:hint="eastAsia" w:ascii="仿宋" w:hAnsi="仿宋" w:eastAsia="仿宋"/>
          <w:sz w:val="32"/>
          <w:szCs w:val="32"/>
        </w:rPr>
        <w:t>2</w:t>
      </w:r>
      <w:r>
        <w:rPr>
          <w:rFonts w:ascii="仿宋" w:hAnsi="仿宋" w:eastAsia="仿宋"/>
          <w:sz w:val="32"/>
          <w:szCs w:val="32"/>
        </w:rPr>
        <w:t>月共推送实时信息</w:t>
      </w:r>
      <w:r>
        <w:rPr>
          <w:rFonts w:hint="eastAsia" w:ascii="仿宋" w:hAnsi="仿宋" w:eastAsia="仿宋"/>
          <w:sz w:val="32"/>
          <w:szCs w:val="32"/>
          <w:lang w:val="en-US" w:eastAsia="zh-CN"/>
        </w:rPr>
        <w:t>82期</w:t>
      </w:r>
      <w:r>
        <w:rPr>
          <w:rFonts w:hint="eastAsia" w:ascii="仿宋" w:hAnsi="仿宋" w:eastAsia="仿宋"/>
          <w:color w:val="auto"/>
          <w:sz w:val="32"/>
          <w:szCs w:val="32"/>
          <w:lang w:val="en-US" w:eastAsia="zh-CN"/>
        </w:rPr>
        <w:t>134</w:t>
      </w:r>
      <w:r>
        <w:rPr>
          <w:rFonts w:ascii="仿宋" w:hAnsi="仿宋" w:eastAsia="仿宋"/>
          <w:color w:val="auto"/>
          <w:sz w:val="32"/>
          <w:szCs w:val="32"/>
        </w:rPr>
        <w:t>篇，</w:t>
      </w:r>
      <w:r>
        <w:rPr>
          <w:rFonts w:hint="eastAsia" w:ascii="仿宋" w:hAnsi="仿宋" w:eastAsia="仿宋" w:cs="Times New Roman"/>
          <w:color w:val="auto"/>
          <w:sz w:val="32"/>
          <w:szCs w:val="32"/>
        </w:rPr>
        <w:t>关注用户数增长至</w:t>
      </w:r>
      <w:r>
        <w:rPr>
          <w:rFonts w:hint="eastAsia" w:ascii="仿宋" w:hAnsi="仿宋" w:eastAsia="仿宋" w:cs="Times New Roman"/>
          <w:color w:val="auto"/>
          <w:sz w:val="32"/>
          <w:szCs w:val="32"/>
          <w:lang w:val="en-US" w:eastAsia="zh-CN"/>
        </w:rPr>
        <w:t>9826</w:t>
      </w:r>
      <w:r>
        <w:rPr>
          <w:rFonts w:hint="eastAsia" w:ascii="仿宋" w:hAnsi="仿宋" w:eastAsia="仿宋" w:cs="Times New Roman"/>
          <w:sz w:val="32"/>
          <w:szCs w:val="32"/>
        </w:rPr>
        <w:t>人，</w:t>
      </w:r>
      <w:r>
        <w:rPr>
          <w:rFonts w:hint="eastAsia" w:ascii="仿宋" w:hAnsi="仿宋" w:eastAsia="仿宋"/>
          <w:sz w:val="32"/>
          <w:szCs w:val="32"/>
        </w:rPr>
        <w:t>并完成了服务号向订阅号的迁移变更。</w:t>
      </w:r>
      <w:r>
        <w:rPr>
          <w:rFonts w:hint="eastAsia" w:ascii="仿宋" w:hAnsi="仿宋" w:eastAsia="仿宋"/>
          <w:sz w:val="32"/>
          <w:szCs w:val="32"/>
          <w:lang w:eastAsia="zh-CN"/>
        </w:rPr>
        <w:t>进一步加强</w:t>
      </w:r>
      <w:r>
        <w:rPr>
          <w:rFonts w:ascii="仿宋" w:hAnsi="仿宋" w:eastAsia="仿宋"/>
          <w:sz w:val="32"/>
          <w:szCs w:val="32"/>
        </w:rPr>
        <w:t>《太仓住建信息》简报编研，精选住建系统重要工作动态、意见建议，以月刊形式上报上级领导和属地政府、相关部门，进一步加强上传下达和部门沟通。</w:t>
      </w:r>
    </w:p>
    <w:p>
      <w:pPr>
        <w:spacing w:line="580" w:lineRule="exact"/>
        <w:ind w:firstLine="640" w:firstLineChars="200"/>
        <w:rPr>
          <w:rFonts w:ascii="楷体" w:hAnsi="楷体" w:eastAsia="楷体"/>
          <w:bCs/>
          <w:sz w:val="32"/>
          <w:szCs w:val="32"/>
          <w:shd w:val="clear" w:color="auto" w:fill="FFFFFF"/>
        </w:rPr>
      </w:pPr>
      <w:r>
        <w:rPr>
          <w:rFonts w:hint="eastAsia" w:ascii="楷体" w:hAnsi="楷体" w:eastAsia="楷体"/>
          <w:bCs/>
          <w:sz w:val="32"/>
          <w:szCs w:val="32"/>
          <w:shd w:val="clear" w:color="auto" w:fill="FFFFFF"/>
        </w:rPr>
        <w:t>（三）围绕依法行政，提升依申请公开实效</w:t>
      </w:r>
    </w:p>
    <w:p>
      <w:pPr>
        <w:spacing w:line="580" w:lineRule="exact"/>
        <w:ind w:firstLine="643" w:firstLineChars="200"/>
        <w:rPr>
          <w:rFonts w:hint="eastAsia" w:ascii="黑体" w:hAnsi="黑体" w:eastAsia="黑体"/>
          <w:sz w:val="32"/>
          <w:szCs w:val="32"/>
        </w:rPr>
      </w:pPr>
      <w:r>
        <w:rPr>
          <w:rFonts w:hint="eastAsia" w:ascii="仿宋" w:hAnsi="仿宋" w:eastAsia="仿宋"/>
          <w:b/>
          <w:sz w:val="32"/>
          <w:szCs w:val="32"/>
        </w:rPr>
        <w:t>积极做好依申请公开政府信息工作。</w:t>
      </w:r>
      <w:r>
        <w:rPr>
          <w:rFonts w:hint="eastAsia" w:ascii="仿宋" w:hAnsi="仿宋" w:eastAsia="仿宋"/>
          <w:sz w:val="32"/>
          <w:szCs w:val="32"/>
          <w:lang w:val="en-US" w:eastAsia="zh-CN"/>
        </w:rPr>
        <w:t>2020</w:t>
      </w:r>
      <w:r>
        <w:rPr>
          <w:rFonts w:ascii="仿宋" w:hAnsi="仿宋" w:eastAsia="仿宋"/>
          <w:sz w:val="32"/>
          <w:szCs w:val="32"/>
        </w:rPr>
        <w:t>年，我局累计收到信息公开申请</w:t>
      </w:r>
      <w:r>
        <w:rPr>
          <w:rFonts w:hint="eastAsia" w:ascii="仿宋" w:hAnsi="仿宋" w:eastAsia="仿宋"/>
          <w:sz w:val="32"/>
          <w:szCs w:val="32"/>
          <w:lang w:val="en-US" w:eastAsia="zh-CN"/>
        </w:rPr>
        <w:t>20</w:t>
      </w:r>
      <w:r>
        <w:rPr>
          <w:rFonts w:ascii="仿宋" w:hAnsi="仿宋" w:eastAsia="仿宋"/>
          <w:sz w:val="32"/>
          <w:szCs w:val="32"/>
        </w:rPr>
        <w:t>件，我局均在《政府信息公开条例》规定的时限内予以了答复，未发生超期答复等情</w:t>
      </w:r>
      <w:r>
        <w:rPr>
          <w:rFonts w:hint="eastAsia" w:ascii="仿宋" w:hAnsi="仿宋" w:eastAsia="仿宋"/>
          <w:sz w:val="32"/>
          <w:szCs w:val="32"/>
          <w:lang w:eastAsia="zh-CN"/>
        </w:rPr>
        <w:t>况。</w:t>
      </w:r>
    </w:p>
    <w:p>
      <w:pPr>
        <w:spacing w:line="580" w:lineRule="exact"/>
        <w:ind w:firstLine="640" w:firstLineChars="200"/>
        <w:rPr>
          <w:rFonts w:ascii="黑体" w:hAnsi="黑体" w:eastAsia="黑体"/>
          <w:sz w:val="32"/>
          <w:szCs w:val="32"/>
        </w:rPr>
      </w:pPr>
      <w:bookmarkStart w:id="1" w:name="_GoBack"/>
      <w:bookmarkEnd w:id="1"/>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、主动公开政府信息情况</w:t>
      </w:r>
    </w:p>
    <w:bookmarkEnd w:id="0"/>
    <w:tbl>
      <w:tblPr>
        <w:tblStyle w:val="5"/>
        <w:tblW w:w="8140" w:type="dxa"/>
        <w:jc w:val="center"/>
        <w:tblLayout w:type="autofit"/>
        <w:tblCellMar>
          <w:top w:w="0" w:type="dxa"/>
          <w:left w:w="0" w:type="dxa"/>
          <w:bottom w:w="0" w:type="dxa"/>
          <w:right w:w="0" w:type="dxa"/>
        </w:tblCellMar>
      </w:tblPr>
      <w:tblGrid>
        <w:gridCol w:w="2650"/>
        <w:gridCol w:w="1896"/>
        <w:gridCol w:w="1713"/>
        <w:gridCol w:w="1881"/>
      </w:tblGrid>
      <w:tr>
        <w:tblPrEx>
          <w:tblCellMar>
            <w:top w:w="0" w:type="dxa"/>
            <w:left w:w="0" w:type="dxa"/>
            <w:bottom w:w="0" w:type="dxa"/>
            <w:right w:w="0" w:type="dxa"/>
          </w:tblCellMar>
        </w:tblPrEx>
        <w:trPr>
          <w:trHeight w:val="397" w:hRule="exac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第二十条第（一）项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本年新</w:t>
            </w:r>
            <w:r>
              <w:rPr>
                <w:rFonts w:ascii="宋体" w:hAnsi="宋体" w:eastAsia="宋体" w:cs="宋体"/>
                <w:sz w:val="20"/>
                <w:szCs w:val="20"/>
              </w:rPr>
              <w:t>制作数量</w:t>
            </w:r>
          </w:p>
        </w:tc>
        <w:tc>
          <w:tcPr>
            <w:tcW w:w="17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本年新</w:t>
            </w:r>
            <w:r>
              <w:rPr>
                <w:rFonts w:ascii="宋体" w:hAnsi="宋体" w:eastAsia="宋体" w:cs="宋体"/>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对外公开总数量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规章</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c>
          <w:tcPr>
            <w:tcW w:w="17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规范性文件</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7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第二十条第（五）项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上一年项目数量</w:t>
            </w:r>
          </w:p>
        </w:tc>
        <w:tc>
          <w:tcPr>
            <w:tcW w:w="17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行政许可</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274</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43</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231</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其他对外管理服务事项</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ascii="宋体" w:hAnsi="宋体" w:eastAsia="宋体" w:cs="宋体"/>
                <w:sz w:val="24"/>
                <w:szCs w:val="24"/>
              </w:rPr>
            </w:pP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21448</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第二十条第（六）项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上一年项目数量</w:t>
            </w:r>
          </w:p>
        </w:tc>
        <w:tc>
          <w:tcPr>
            <w:tcW w:w="17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处理决定数量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行政处罚</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rPr>
              <w:t>75</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5</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行政强制</w:t>
            </w:r>
          </w:p>
        </w:tc>
        <w:tc>
          <w:tcPr>
            <w:tcW w:w="1896" w:type="dxa"/>
            <w:tcBorders>
              <w:top w:val="nil"/>
              <w:left w:val="nil"/>
              <w:bottom w:val="single" w:color="auto" w:sz="8" w:space="0"/>
              <w:right w:val="single" w:color="auto" w:sz="8" w:space="0"/>
            </w:tcBorders>
            <w:noWrap/>
            <w:vAlign w:val="center"/>
          </w:tcPr>
          <w:p>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c>
          <w:tcPr>
            <w:tcW w:w="17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第二十条第（八）项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上一年项目数量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本年增/减</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行政事业性收费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eastAsia" w:ascii="宋体" w:hAnsi="宋体" w:eastAsia="宋体" w:cs="宋体"/>
                <w:sz w:val="24"/>
                <w:szCs w:val="24"/>
                <w:lang w:eastAsia="zh-CN"/>
              </w:rPr>
            </w:pPr>
            <w:r>
              <w:rPr>
                <w:rFonts w:hint="eastAsia" w:eastAsia="宋体"/>
                <w:lang w:val="en-US" w:eastAsia="zh-CN"/>
              </w:rPr>
              <w:t>0</w:t>
            </w:r>
          </w:p>
        </w:tc>
      </w:tr>
      <w:tr>
        <w:tblPrEx>
          <w:tblCellMar>
            <w:top w:w="0" w:type="dxa"/>
            <w:left w:w="0" w:type="dxa"/>
            <w:bottom w:w="0" w:type="dxa"/>
            <w:right w:w="0" w:type="dxa"/>
          </w:tblCellMar>
        </w:tblPrEx>
        <w:trPr>
          <w:trHeight w:val="397"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第二十条第（九）项</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信息内容</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采购项目数量</w:t>
            </w:r>
          </w:p>
        </w:tc>
        <w:tc>
          <w:tcPr>
            <w:tcW w:w="3594"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ascii="宋体" w:hAnsi="宋体" w:eastAsia="宋体" w:cs="宋体"/>
                <w:sz w:val="24"/>
                <w:szCs w:val="24"/>
              </w:rPr>
            </w:pPr>
            <w:r>
              <w:rPr>
                <w:rFonts w:hint="eastAsia" w:ascii="宋体" w:hAnsi="宋体" w:eastAsia="宋体" w:cs="宋体"/>
                <w:color w:val="000000"/>
                <w:sz w:val="20"/>
                <w:szCs w:val="20"/>
              </w:rPr>
              <w:t>采购总金额</w:t>
            </w:r>
          </w:p>
        </w:tc>
      </w:tr>
      <w:tr>
        <w:tblPrEx>
          <w:tblCellMar>
            <w:top w:w="0" w:type="dxa"/>
            <w:left w:w="0" w:type="dxa"/>
            <w:bottom w:w="0" w:type="dxa"/>
            <w:right w:w="0" w:type="dxa"/>
          </w:tblCellMar>
        </w:tblPrEx>
        <w:trPr>
          <w:trHeight w:val="397" w:hRule="exact"/>
          <w:jc w:val="center"/>
        </w:trPr>
        <w:tc>
          <w:tcPr>
            <w:tcW w:w="265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left"/>
              <w:rPr>
                <w:rFonts w:ascii="宋体" w:hAnsi="宋体" w:eastAsia="宋体" w:cs="宋体"/>
                <w:sz w:val="24"/>
                <w:szCs w:val="24"/>
              </w:rPr>
            </w:pPr>
            <w:r>
              <w:rPr>
                <w:rFonts w:hint="eastAsia" w:ascii="宋体" w:hAnsi="宋体" w:eastAsia="宋体" w:cs="宋体"/>
                <w:color w:val="000000"/>
                <w:sz w:val="20"/>
                <w:szCs w:val="20"/>
              </w:rPr>
              <w:t>政府集中采购</w:t>
            </w:r>
          </w:p>
        </w:tc>
        <w:tc>
          <w:tcPr>
            <w:tcW w:w="18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594"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2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379.5</w:t>
            </w:r>
          </w:p>
        </w:tc>
      </w:tr>
    </w:tbl>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三</w:t>
      </w:r>
      <w:r>
        <w:rPr>
          <w:rFonts w:hint="eastAsia" w:ascii="黑体" w:hAnsi="黑体" w:eastAsia="黑体"/>
          <w:sz w:val="32"/>
          <w:szCs w:val="32"/>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494"/>
        <w:gridCol w:w="855"/>
        <w:gridCol w:w="2130"/>
        <w:gridCol w:w="825"/>
        <w:gridCol w:w="765"/>
        <w:gridCol w:w="765"/>
        <w:gridCol w:w="825"/>
        <w:gridCol w:w="990"/>
        <w:gridCol w:w="720"/>
        <w:gridCol w:w="702"/>
      </w:tblGrid>
      <w:tr>
        <w:tblPrEx>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82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自然人</w:t>
            </w:r>
          </w:p>
        </w:tc>
        <w:tc>
          <w:tcPr>
            <w:tcW w:w="406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法人或其他组织</w:t>
            </w:r>
          </w:p>
        </w:tc>
        <w:tc>
          <w:tcPr>
            <w:tcW w:w="70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商业企业</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科研机构</w:t>
            </w:r>
          </w:p>
        </w:tc>
        <w:tc>
          <w:tcPr>
            <w:tcW w:w="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社会公益组织</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00" w:lineRule="exact"/>
              <w:jc w:val="center"/>
              <w:rPr>
                <w:rFonts w:ascii="宋体" w:hAnsi="宋体" w:eastAsia="宋体" w:cs="宋体"/>
                <w:sz w:val="24"/>
                <w:szCs w:val="24"/>
              </w:rPr>
            </w:pPr>
            <w:r>
              <w:rPr>
                <w:rFonts w:hint="eastAsia" w:ascii="宋体" w:hAnsi="宋体" w:eastAsia="宋体" w:cs="宋体"/>
                <w:sz w:val="20"/>
                <w:szCs w:val="20"/>
              </w:rPr>
              <w:t>法律服务机构</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宋体" w:hAnsi="宋体" w:eastAsia="宋体" w:cs="宋体"/>
                <w:sz w:val="20"/>
                <w:szCs w:val="20"/>
              </w:rPr>
              <w:t>一、本年新收政府信息公开申请数量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宋体" w:hAnsi="宋体" w:eastAsia="宋体" w:cs="宋体"/>
                <w:sz w:val="20"/>
                <w:szCs w:val="20"/>
              </w:rPr>
              <w:t>二、上年结转政府信息公开申请数量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default" w:ascii="宋体" w:hAnsi="宋体" w:eastAsia="宋体" w:cs="宋体"/>
                <w:sz w:val="24"/>
                <w:szCs w:val="24"/>
                <w:lang w:val="en-US" w:eastAsia="zh-CN"/>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0"/>
                <w:szCs w:val="20"/>
              </w:rPr>
              <w:t>三、本年度办理结果</w:t>
            </w:r>
          </w:p>
        </w:tc>
        <w:tc>
          <w:tcPr>
            <w:tcW w:w="2985"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（一）予以公开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985"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（二）部分公开（区分处理的，只计这一情形，不计其他情形）</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（三）不予公开</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1.属于国家秘密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2.其他法律行政法规禁止公开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3.危及“三安全一稳定”</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4.保护第三方合法权益</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5.属于三类内部事务信息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6.属于四类过程性信息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7.属于行政执法案卷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8.属于行政查询事项</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（四）无法提供</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1.本机关不掌握相关政府信息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2.没有现成信息需要另行制作</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3.补正后申请内容仍不明确</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（五）不予处理</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1.信访举报投诉类申请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1</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2.重复申请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3.要求提供公开出版物</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4.无正当理由大量反复申请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5.要求行政机关确认或重新出具已获取信息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985"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（六）其他处理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p>
        </w:tc>
        <w:tc>
          <w:tcPr>
            <w:tcW w:w="2985" w:type="dxa"/>
            <w:gridSpan w:val="2"/>
            <w:tcBorders>
              <w:top w:val="nil"/>
              <w:left w:val="nil"/>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楷体" w:hAnsi="楷体" w:eastAsia="楷体" w:cs="宋体"/>
                <w:sz w:val="20"/>
                <w:szCs w:val="20"/>
              </w:rPr>
              <w:t>（七）总计</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spacing w:line="260" w:lineRule="exact"/>
              <w:jc w:val="left"/>
              <w:rPr>
                <w:rFonts w:ascii="宋体" w:hAnsi="宋体" w:eastAsia="宋体" w:cs="宋体"/>
                <w:sz w:val="24"/>
                <w:szCs w:val="24"/>
              </w:rPr>
            </w:pPr>
            <w:r>
              <w:rPr>
                <w:rFonts w:hint="eastAsia" w:ascii="宋体" w:hAnsi="宋体" w:eastAsia="宋体" w:cs="宋体"/>
                <w:sz w:val="20"/>
                <w:szCs w:val="20"/>
              </w:rPr>
              <w:t>四、结转下年度继续办理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r>
              <w:rPr>
                <w:rFonts w:hint="eastAsia" w:ascii="宋体" w:hAnsi="宋体" w:eastAsia="宋体" w:cs="宋体"/>
                <w:sz w:val="24"/>
                <w:szCs w:val="24"/>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rFonts w:ascii="宋体" w:hAnsi="宋体" w:eastAsia="宋体" w:cs="宋体"/>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left"/>
              <w:rPr>
                <w:rFonts w:ascii="宋体" w:hAnsi="宋体" w:eastAsia="宋体" w:cs="宋体"/>
                <w:sz w:val="24"/>
                <w:szCs w:val="24"/>
              </w:rPr>
            </w:pPr>
            <w:r>
              <w:rPr>
                <w:rFonts w:hint="eastAsia" w:ascii="宋体" w:hAnsi="宋体" w:eastAsia="宋体" w:cs="宋体"/>
                <w:sz w:val="24"/>
                <w:szCs w:val="24"/>
              </w:rPr>
              <w:t xml:space="preserve">  0</w:t>
            </w:r>
          </w:p>
        </w:tc>
      </w:tr>
    </w:tbl>
    <w:p>
      <w:pPr>
        <w:spacing w:line="580" w:lineRule="exact"/>
        <w:ind w:firstLine="640" w:firstLineChars="200"/>
        <w:rPr>
          <w:rFonts w:hint="eastAsia" w:ascii="黑体" w:hAnsi="黑体" w:eastAsia="黑体"/>
          <w:sz w:val="32"/>
          <w:szCs w:val="32"/>
        </w:rPr>
      </w:pPr>
    </w:p>
    <w:p>
      <w:pPr>
        <w:spacing w:line="580" w:lineRule="exact"/>
        <w:rPr>
          <w:rFonts w:hint="eastAsia" w:ascii="黑体" w:hAnsi="黑体" w:eastAsia="黑体"/>
          <w:sz w:val="32"/>
          <w:szCs w:val="32"/>
        </w:rPr>
      </w:pPr>
    </w:p>
    <w:p>
      <w:pPr>
        <w:spacing w:line="580" w:lineRule="exact"/>
        <w:rPr>
          <w:rFonts w:hint="eastAsia" w:ascii="黑体" w:hAnsi="黑体" w:eastAsia="黑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color w:val="00000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color w:val="00000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color w:val="000000"/>
                <w:sz w:val="20"/>
                <w:szCs w:val="20"/>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bl>
    <w:p>
      <w:pPr>
        <w:spacing w:line="580"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、存在的主要问题及改进情况</w:t>
      </w:r>
    </w:p>
    <w:p>
      <w:pPr>
        <w:spacing w:line="580" w:lineRule="exact"/>
        <w:ind w:firstLine="640" w:firstLineChars="200"/>
        <w:rPr>
          <w:rFonts w:ascii="仿宋" w:hAnsi="仿宋" w:eastAsia="仿宋"/>
          <w:sz w:val="32"/>
          <w:szCs w:val="32"/>
        </w:rPr>
      </w:pPr>
      <w:r>
        <w:rPr>
          <w:rFonts w:ascii="仿宋" w:hAnsi="仿宋" w:eastAsia="仿宋"/>
          <w:sz w:val="32"/>
          <w:szCs w:val="32"/>
        </w:rPr>
        <w:t>具体表现在以下</w:t>
      </w:r>
      <w:r>
        <w:rPr>
          <w:rFonts w:hint="eastAsia" w:ascii="仿宋" w:hAnsi="仿宋" w:eastAsia="仿宋"/>
          <w:sz w:val="32"/>
          <w:szCs w:val="32"/>
        </w:rPr>
        <w:t>2</w:t>
      </w:r>
      <w:r>
        <w:rPr>
          <w:rFonts w:ascii="仿宋" w:hAnsi="仿宋" w:eastAsia="仿宋"/>
          <w:sz w:val="32"/>
          <w:szCs w:val="32"/>
        </w:rPr>
        <w:t>个方面：一是信息公开时间相对滞后，部分栏目存在</w:t>
      </w:r>
      <w:r>
        <w:rPr>
          <w:rFonts w:hint="eastAsia" w:ascii="仿宋" w:hAnsi="仿宋" w:eastAsia="仿宋"/>
          <w:sz w:val="32"/>
          <w:szCs w:val="32"/>
        </w:rPr>
        <w:t>未及时</w:t>
      </w:r>
      <w:r>
        <w:rPr>
          <w:rFonts w:ascii="仿宋" w:hAnsi="仿宋" w:eastAsia="仿宋"/>
          <w:sz w:val="32"/>
          <w:szCs w:val="32"/>
        </w:rPr>
        <w:t>更新的问题；</w:t>
      </w:r>
      <w:r>
        <w:rPr>
          <w:rFonts w:hint="eastAsia" w:ascii="仿宋" w:hAnsi="仿宋" w:eastAsia="仿宋"/>
          <w:sz w:val="32"/>
          <w:szCs w:val="32"/>
        </w:rPr>
        <w:t>二</w:t>
      </w:r>
      <w:r>
        <w:rPr>
          <w:rFonts w:ascii="仿宋" w:hAnsi="仿宋" w:eastAsia="仿宋"/>
          <w:sz w:val="32"/>
          <w:szCs w:val="32"/>
        </w:rPr>
        <w:t>是部分公开栏目内容不够全面。</w:t>
      </w:r>
    </w:p>
    <w:p>
      <w:pPr>
        <w:spacing w:line="580" w:lineRule="exact"/>
        <w:ind w:firstLine="640" w:firstLineChars="200"/>
        <w:rPr>
          <w:rFonts w:ascii="仿宋" w:hAnsi="仿宋" w:eastAsia="仿宋"/>
          <w:sz w:val="32"/>
          <w:szCs w:val="32"/>
        </w:rPr>
      </w:pPr>
      <w:r>
        <w:rPr>
          <w:rFonts w:ascii="仿宋" w:hAnsi="仿宋" w:eastAsia="仿宋"/>
          <w:sz w:val="32"/>
          <w:szCs w:val="32"/>
        </w:rPr>
        <w:t>下一步</w:t>
      </w:r>
      <w:r>
        <w:rPr>
          <w:rFonts w:hint="eastAsia" w:ascii="仿宋" w:hAnsi="仿宋" w:eastAsia="仿宋"/>
          <w:sz w:val="32"/>
          <w:szCs w:val="32"/>
        </w:rPr>
        <w:t>，</w:t>
      </w:r>
      <w:r>
        <w:rPr>
          <w:rFonts w:ascii="仿宋" w:hAnsi="仿宋" w:eastAsia="仿宋"/>
          <w:sz w:val="32"/>
          <w:szCs w:val="32"/>
        </w:rPr>
        <w:t>我局将进一步加强领导，不断加大政务信息的更新力度，进一步落实工作目标，坚持领导督查，力求更新的政务信息做到准确、及时、完整</w:t>
      </w:r>
      <w:r>
        <w:rPr>
          <w:rFonts w:hint="eastAsia" w:ascii="仿宋" w:hAnsi="仿宋" w:eastAsia="仿宋"/>
          <w:sz w:val="32"/>
          <w:szCs w:val="32"/>
        </w:rPr>
        <w:t>；</w:t>
      </w:r>
      <w:r>
        <w:rPr>
          <w:rFonts w:ascii="仿宋" w:hAnsi="仿宋" w:eastAsia="仿宋"/>
          <w:sz w:val="32"/>
          <w:szCs w:val="32"/>
        </w:rPr>
        <w:t>坚持把社会关注度高、公共利益大的政务信息作为突破口，不断拓展公开内容，努力推进政务信息公开，推进依法行政进程。</w:t>
      </w:r>
    </w:p>
    <w:p>
      <w:pPr>
        <w:spacing w:line="580" w:lineRule="exact"/>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D0"/>
    <w:rsid w:val="00012917"/>
    <w:rsid w:val="00022907"/>
    <w:rsid w:val="00030DA0"/>
    <w:rsid w:val="00031D51"/>
    <w:rsid w:val="00035D20"/>
    <w:rsid w:val="00055D7F"/>
    <w:rsid w:val="00067E48"/>
    <w:rsid w:val="00073026"/>
    <w:rsid w:val="000738A9"/>
    <w:rsid w:val="0008539A"/>
    <w:rsid w:val="00096850"/>
    <w:rsid w:val="000A104C"/>
    <w:rsid w:val="000A7F71"/>
    <w:rsid w:val="000B1414"/>
    <w:rsid w:val="000C6567"/>
    <w:rsid w:val="000C70C5"/>
    <w:rsid w:val="000E2572"/>
    <w:rsid w:val="000F0E21"/>
    <w:rsid w:val="00101577"/>
    <w:rsid w:val="001217D3"/>
    <w:rsid w:val="00127E38"/>
    <w:rsid w:val="00140F52"/>
    <w:rsid w:val="00144B6C"/>
    <w:rsid w:val="001477FF"/>
    <w:rsid w:val="001567BD"/>
    <w:rsid w:val="001610DE"/>
    <w:rsid w:val="00162D8E"/>
    <w:rsid w:val="001705DB"/>
    <w:rsid w:val="001805DD"/>
    <w:rsid w:val="00187D12"/>
    <w:rsid w:val="001A0DBC"/>
    <w:rsid w:val="001A10D7"/>
    <w:rsid w:val="001A7628"/>
    <w:rsid w:val="001B3491"/>
    <w:rsid w:val="001C2AE4"/>
    <w:rsid w:val="001C7C04"/>
    <w:rsid w:val="001D6B50"/>
    <w:rsid w:val="001E0617"/>
    <w:rsid w:val="001E3FCA"/>
    <w:rsid w:val="001F02A5"/>
    <w:rsid w:val="001F60E3"/>
    <w:rsid w:val="001F6DC9"/>
    <w:rsid w:val="001F79D8"/>
    <w:rsid w:val="002002CC"/>
    <w:rsid w:val="00205A74"/>
    <w:rsid w:val="002169B7"/>
    <w:rsid w:val="00222BEF"/>
    <w:rsid w:val="0024664D"/>
    <w:rsid w:val="00247EE1"/>
    <w:rsid w:val="00254480"/>
    <w:rsid w:val="00294B25"/>
    <w:rsid w:val="002D3E70"/>
    <w:rsid w:val="0031745B"/>
    <w:rsid w:val="0032150A"/>
    <w:rsid w:val="0032162D"/>
    <w:rsid w:val="00340493"/>
    <w:rsid w:val="00341704"/>
    <w:rsid w:val="003508A9"/>
    <w:rsid w:val="00371AFB"/>
    <w:rsid w:val="00374ABF"/>
    <w:rsid w:val="003779AE"/>
    <w:rsid w:val="003810DB"/>
    <w:rsid w:val="003A7944"/>
    <w:rsid w:val="003D3958"/>
    <w:rsid w:val="003D4D83"/>
    <w:rsid w:val="003F2959"/>
    <w:rsid w:val="003F7986"/>
    <w:rsid w:val="0041533D"/>
    <w:rsid w:val="004204C4"/>
    <w:rsid w:val="00422974"/>
    <w:rsid w:val="004410FD"/>
    <w:rsid w:val="00450870"/>
    <w:rsid w:val="004533ED"/>
    <w:rsid w:val="00475450"/>
    <w:rsid w:val="00480A31"/>
    <w:rsid w:val="00485233"/>
    <w:rsid w:val="004B26A0"/>
    <w:rsid w:val="004B4342"/>
    <w:rsid w:val="004C2567"/>
    <w:rsid w:val="004C66EF"/>
    <w:rsid w:val="004D4790"/>
    <w:rsid w:val="004E3F7C"/>
    <w:rsid w:val="004F0893"/>
    <w:rsid w:val="004F18B3"/>
    <w:rsid w:val="00502E71"/>
    <w:rsid w:val="00511712"/>
    <w:rsid w:val="00516DD8"/>
    <w:rsid w:val="0052236E"/>
    <w:rsid w:val="005350D2"/>
    <w:rsid w:val="005374EE"/>
    <w:rsid w:val="00537EA7"/>
    <w:rsid w:val="00557099"/>
    <w:rsid w:val="00567C43"/>
    <w:rsid w:val="00570CFC"/>
    <w:rsid w:val="00575FE5"/>
    <w:rsid w:val="0058072E"/>
    <w:rsid w:val="00580C0E"/>
    <w:rsid w:val="00585D2E"/>
    <w:rsid w:val="005C065D"/>
    <w:rsid w:val="005D51ED"/>
    <w:rsid w:val="005D7C2E"/>
    <w:rsid w:val="005F317F"/>
    <w:rsid w:val="005F39C2"/>
    <w:rsid w:val="005F3BF7"/>
    <w:rsid w:val="0060184D"/>
    <w:rsid w:val="00602E35"/>
    <w:rsid w:val="00604E73"/>
    <w:rsid w:val="00610B91"/>
    <w:rsid w:val="006229F8"/>
    <w:rsid w:val="00632168"/>
    <w:rsid w:val="00640A02"/>
    <w:rsid w:val="0064245B"/>
    <w:rsid w:val="00651528"/>
    <w:rsid w:val="00655008"/>
    <w:rsid w:val="00682BE8"/>
    <w:rsid w:val="00686F78"/>
    <w:rsid w:val="00687E2D"/>
    <w:rsid w:val="006951FD"/>
    <w:rsid w:val="006A1342"/>
    <w:rsid w:val="006A64C2"/>
    <w:rsid w:val="006B2773"/>
    <w:rsid w:val="006D4890"/>
    <w:rsid w:val="006D7D9B"/>
    <w:rsid w:val="006F4A0B"/>
    <w:rsid w:val="00707869"/>
    <w:rsid w:val="00722F44"/>
    <w:rsid w:val="007268EB"/>
    <w:rsid w:val="007405F1"/>
    <w:rsid w:val="0075630F"/>
    <w:rsid w:val="007718A6"/>
    <w:rsid w:val="0079444E"/>
    <w:rsid w:val="007952FE"/>
    <w:rsid w:val="007A3AE9"/>
    <w:rsid w:val="007A7205"/>
    <w:rsid w:val="007B5E6B"/>
    <w:rsid w:val="007B76D2"/>
    <w:rsid w:val="007C17B3"/>
    <w:rsid w:val="007C3949"/>
    <w:rsid w:val="007E6DF0"/>
    <w:rsid w:val="00804C6D"/>
    <w:rsid w:val="008077DF"/>
    <w:rsid w:val="00807D10"/>
    <w:rsid w:val="008130EE"/>
    <w:rsid w:val="00830348"/>
    <w:rsid w:val="00831B31"/>
    <w:rsid w:val="00834014"/>
    <w:rsid w:val="00835861"/>
    <w:rsid w:val="008463E8"/>
    <w:rsid w:val="00860FC6"/>
    <w:rsid w:val="0087136B"/>
    <w:rsid w:val="00874448"/>
    <w:rsid w:val="00882B23"/>
    <w:rsid w:val="00890C26"/>
    <w:rsid w:val="00896062"/>
    <w:rsid w:val="008962FF"/>
    <w:rsid w:val="008B2457"/>
    <w:rsid w:val="008B5317"/>
    <w:rsid w:val="008C595F"/>
    <w:rsid w:val="008D44C1"/>
    <w:rsid w:val="008D560B"/>
    <w:rsid w:val="00900961"/>
    <w:rsid w:val="009158FA"/>
    <w:rsid w:val="0093096E"/>
    <w:rsid w:val="00933B3A"/>
    <w:rsid w:val="00940010"/>
    <w:rsid w:val="00946E56"/>
    <w:rsid w:val="00946F3E"/>
    <w:rsid w:val="009513BE"/>
    <w:rsid w:val="00966CCD"/>
    <w:rsid w:val="00967F12"/>
    <w:rsid w:val="0097303F"/>
    <w:rsid w:val="009828CF"/>
    <w:rsid w:val="009A1C0F"/>
    <w:rsid w:val="009A7604"/>
    <w:rsid w:val="009C2703"/>
    <w:rsid w:val="009D19CB"/>
    <w:rsid w:val="009D6059"/>
    <w:rsid w:val="009E4B8A"/>
    <w:rsid w:val="009E5D69"/>
    <w:rsid w:val="009E7ADB"/>
    <w:rsid w:val="009F6C51"/>
    <w:rsid w:val="00A03807"/>
    <w:rsid w:val="00A141DE"/>
    <w:rsid w:val="00A30C2A"/>
    <w:rsid w:val="00A40C55"/>
    <w:rsid w:val="00A472FE"/>
    <w:rsid w:val="00A62344"/>
    <w:rsid w:val="00A665A4"/>
    <w:rsid w:val="00A76D6F"/>
    <w:rsid w:val="00A86191"/>
    <w:rsid w:val="00A96853"/>
    <w:rsid w:val="00AA192E"/>
    <w:rsid w:val="00AB53AF"/>
    <w:rsid w:val="00AC50B9"/>
    <w:rsid w:val="00AE2826"/>
    <w:rsid w:val="00AF1038"/>
    <w:rsid w:val="00B27993"/>
    <w:rsid w:val="00B33146"/>
    <w:rsid w:val="00B37585"/>
    <w:rsid w:val="00B80894"/>
    <w:rsid w:val="00B97013"/>
    <w:rsid w:val="00BA03DF"/>
    <w:rsid w:val="00BA6EDB"/>
    <w:rsid w:val="00BA7EF7"/>
    <w:rsid w:val="00BB4FCB"/>
    <w:rsid w:val="00BF6DF3"/>
    <w:rsid w:val="00C025AC"/>
    <w:rsid w:val="00C12F4C"/>
    <w:rsid w:val="00C153B2"/>
    <w:rsid w:val="00C16FFF"/>
    <w:rsid w:val="00C17EAD"/>
    <w:rsid w:val="00C21372"/>
    <w:rsid w:val="00C269CE"/>
    <w:rsid w:val="00C41F52"/>
    <w:rsid w:val="00C6199B"/>
    <w:rsid w:val="00C6199C"/>
    <w:rsid w:val="00C63148"/>
    <w:rsid w:val="00C6479C"/>
    <w:rsid w:val="00C71A53"/>
    <w:rsid w:val="00C73B87"/>
    <w:rsid w:val="00C86C70"/>
    <w:rsid w:val="00C92677"/>
    <w:rsid w:val="00C9533E"/>
    <w:rsid w:val="00CC42E8"/>
    <w:rsid w:val="00CD1D26"/>
    <w:rsid w:val="00CD1E95"/>
    <w:rsid w:val="00CD2F63"/>
    <w:rsid w:val="00CE2F53"/>
    <w:rsid w:val="00CF210C"/>
    <w:rsid w:val="00CF3A70"/>
    <w:rsid w:val="00D16363"/>
    <w:rsid w:val="00D25036"/>
    <w:rsid w:val="00D257FA"/>
    <w:rsid w:val="00D36269"/>
    <w:rsid w:val="00D37F0D"/>
    <w:rsid w:val="00D518D3"/>
    <w:rsid w:val="00D558B4"/>
    <w:rsid w:val="00D628A8"/>
    <w:rsid w:val="00D668E9"/>
    <w:rsid w:val="00D66971"/>
    <w:rsid w:val="00D70B77"/>
    <w:rsid w:val="00D72DF8"/>
    <w:rsid w:val="00DA6915"/>
    <w:rsid w:val="00DC4F11"/>
    <w:rsid w:val="00DD117C"/>
    <w:rsid w:val="00DD3122"/>
    <w:rsid w:val="00DF1565"/>
    <w:rsid w:val="00DF21E2"/>
    <w:rsid w:val="00DF515A"/>
    <w:rsid w:val="00E13989"/>
    <w:rsid w:val="00E23C82"/>
    <w:rsid w:val="00E24098"/>
    <w:rsid w:val="00E30C9E"/>
    <w:rsid w:val="00E31BB5"/>
    <w:rsid w:val="00E418E2"/>
    <w:rsid w:val="00E52BD3"/>
    <w:rsid w:val="00E5594A"/>
    <w:rsid w:val="00E56FBB"/>
    <w:rsid w:val="00E5710E"/>
    <w:rsid w:val="00E60F4A"/>
    <w:rsid w:val="00E70E80"/>
    <w:rsid w:val="00E74A02"/>
    <w:rsid w:val="00E87C4D"/>
    <w:rsid w:val="00E95A00"/>
    <w:rsid w:val="00EA70BE"/>
    <w:rsid w:val="00EB7DB0"/>
    <w:rsid w:val="00EC3D0F"/>
    <w:rsid w:val="00ED04AF"/>
    <w:rsid w:val="00ED45AD"/>
    <w:rsid w:val="00EF2FC6"/>
    <w:rsid w:val="00EF520E"/>
    <w:rsid w:val="00F019B7"/>
    <w:rsid w:val="00F0621F"/>
    <w:rsid w:val="00F069B4"/>
    <w:rsid w:val="00F13F2E"/>
    <w:rsid w:val="00F4049F"/>
    <w:rsid w:val="00F4467F"/>
    <w:rsid w:val="00F75CFB"/>
    <w:rsid w:val="00F80E84"/>
    <w:rsid w:val="00F86645"/>
    <w:rsid w:val="00F93F00"/>
    <w:rsid w:val="00FA02B2"/>
    <w:rsid w:val="00FA09C8"/>
    <w:rsid w:val="00FA7026"/>
    <w:rsid w:val="00FB1407"/>
    <w:rsid w:val="00FD18D0"/>
    <w:rsid w:val="00FD54F4"/>
    <w:rsid w:val="00FE373D"/>
    <w:rsid w:val="00FE5B42"/>
    <w:rsid w:val="00FF0DE6"/>
    <w:rsid w:val="02D16D7D"/>
    <w:rsid w:val="04A92A5B"/>
    <w:rsid w:val="0A9041E5"/>
    <w:rsid w:val="0A9361AC"/>
    <w:rsid w:val="1353669E"/>
    <w:rsid w:val="1A393EFA"/>
    <w:rsid w:val="21AD5495"/>
    <w:rsid w:val="31473C18"/>
    <w:rsid w:val="37F63C4F"/>
    <w:rsid w:val="38F56963"/>
    <w:rsid w:val="3C7F39F7"/>
    <w:rsid w:val="3CE432E2"/>
    <w:rsid w:val="434B30DC"/>
    <w:rsid w:val="499513EE"/>
    <w:rsid w:val="4E026EA8"/>
    <w:rsid w:val="4F697ABF"/>
    <w:rsid w:val="56741A41"/>
    <w:rsid w:val="693500B7"/>
    <w:rsid w:val="7E206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403</Words>
  <Characters>2300</Characters>
  <Lines>19</Lines>
  <Paragraphs>5</Paragraphs>
  <TotalTime>574</TotalTime>
  <ScaleCrop>false</ScaleCrop>
  <LinksUpToDate>false</LinksUpToDate>
  <CharactersWithSpaces>2698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2017-12-06T01:39:00Z</dcterms:created>
  <dc:creator>SkyUser</dc:creator>
  <cp:lastModifiedBy>Administrator</cp:lastModifiedBy>
  <cp:lastPrinted>2021-01-25T00:54:09Z</cp:lastPrinted>
  <dcterms:modified xsi:type="dcterms:W3CDTF">2021-01-25T03:28:59Z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