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太仓市</w:t>
      </w:r>
      <w:r>
        <w:rPr>
          <w:rFonts w:hint="default" w:ascii="Times New Roman" w:hAnsi="Times New Roman" w:eastAsia="方正小标宋简体" w:cs="Times New Roman"/>
          <w:sz w:val="44"/>
          <w:szCs w:val="44"/>
          <w:lang w:val="en-US" w:eastAsia="zh-CN"/>
        </w:rPr>
        <w:t>退役军人事务局202</w:t>
      </w:r>
      <w:r>
        <w:rPr>
          <w:rFonts w:hint="eastAsia" w:ascii="Times New Roman" w:hAnsi="Times New Roman" w:eastAsia="方正小标宋简体" w:cs="Times New Roman"/>
          <w:sz w:val="44"/>
          <w:szCs w:val="44"/>
          <w:lang w:val="en-US" w:eastAsia="zh-CN"/>
        </w:rPr>
        <w:t>2</w:t>
      </w:r>
      <w:r>
        <w:rPr>
          <w:rFonts w:hint="default" w:ascii="Times New Roman" w:hAnsi="Times New Roman" w:eastAsia="方正小标宋简体" w:cs="Times New Roman"/>
          <w:sz w:val="44"/>
          <w:szCs w:val="44"/>
        </w:rPr>
        <w:t>年</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政府信息公开工作年度报告</w:t>
      </w:r>
    </w:p>
    <w:bookmarkEnd w:id="0"/>
    <w:p>
      <w:pPr>
        <w:pStyle w:val="3"/>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i w:val="0"/>
          <w:iCs w:val="0"/>
          <w:caps w:val="0"/>
          <w:color w:val="000000"/>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本年报根据新修订《中华人民共和国政府信息公开条例》和国务院办公厅政府信息与政务公开办公室《关于政府信息公开工作年度报告有关事项的通知》（国办公开办函〔2019〕60号）有关要求，由太仓市</w:t>
      </w:r>
      <w:r>
        <w:rPr>
          <w:rFonts w:hint="default" w:ascii="Times New Roman" w:hAnsi="Times New Roman" w:eastAsia="仿宋_GB2312" w:cs="Times New Roman"/>
          <w:sz w:val="32"/>
          <w:szCs w:val="32"/>
          <w:lang w:val="en-US" w:eastAsia="zh-CN"/>
        </w:rPr>
        <w:t>退役军人事务</w:t>
      </w:r>
      <w:r>
        <w:rPr>
          <w:rFonts w:hint="default" w:ascii="Times New Roman" w:hAnsi="Times New Roman" w:eastAsia="仿宋_GB2312" w:cs="Times New Roman"/>
          <w:sz w:val="32"/>
          <w:szCs w:val="32"/>
        </w:rPr>
        <w:t>局编制。本年报所列数据的统计期限自20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年1月1日起至20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12月31日止。全文包括总体情况，主动公开政府信息情况，收到和处理政府信息公开申请情况，政府信息公开行政复议、行政诉讼情况，存在的主要问题及改进情况等方面。本年度报告的电子版可在太仓市人民政府网站www.taicang.gov.cn上下载。如有疑问请与</w:t>
      </w:r>
      <w:r>
        <w:rPr>
          <w:rFonts w:hint="default" w:ascii="Times New Roman" w:hAnsi="Times New Roman" w:eastAsia="仿宋_GB2312" w:cs="Times New Roman"/>
          <w:sz w:val="32"/>
          <w:szCs w:val="32"/>
          <w:lang w:val="en-US" w:eastAsia="zh-CN"/>
        </w:rPr>
        <w:t>太仓市退役军人事务局</w:t>
      </w:r>
      <w:r>
        <w:rPr>
          <w:rFonts w:hint="default" w:ascii="Times New Roman" w:hAnsi="Times New Roman" w:eastAsia="仿宋_GB2312" w:cs="Times New Roman"/>
          <w:sz w:val="32"/>
          <w:szCs w:val="32"/>
        </w:rPr>
        <w:t>办公室联系（太仓市</w:t>
      </w:r>
      <w:r>
        <w:rPr>
          <w:rFonts w:hint="default" w:ascii="Times New Roman" w:hAnsi="Times New Roman" w:eastAsia="仿宋_GB2312" w:cs="Times New Roman"/>
          <w:sz w:val="32"/>
          <w:szCs w:val="32"/>
          <w:lang w:val="en-US" w:eastAsia="zh-CN"/>
        </w:rPr>
        <w:t>上海东路66号</w:t>
      </w:r>
      <w:r>
        <w:rPr>
          <w:rFonts w:hint="default" w:ascii="Times New Roman" w:hAnsi="Times New Roman" w:eastAsia="仿宋_GB2312" w:cs="Times New Roman"/>
          <w:sz w:val="32"/>
          <w:szCs w:val="32"/>
        </w:rPr>
        <w:t>，邮编：215400，电话：0512-</w:t>
      </w:r>
      <w:r>
        <w:rPr>
          <w:rFonts w:hint="default" w:ascii="Times New Roman" w:hAnsi="Times New Roman" w:eastAsia="仿宋_GB2312" w:cs="Times New Roman"/>
          <w:sz w:val="32"/>
          <w:szCs w:val="32"/>
          <w:lang w:val="en-US" w:eastAsia="zh-CN"/>
        </w:rPr>
        <w:t>53655165</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黑体" w:cs="Times New Roman"/>
          <w:sz w:val="32"/>
          <w:szCs w:val="32"/>
        </w:rPr>
        <w:t>一、总体情况</w:t>
      </w:r>
    </w:p>
    <w:p>
      <w:pPr>
        <w:pStyle w:val="3"/>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202</w:t>
      </w:r>
      <w:r>
        <w:rPr>
          <w:rFonts w:hint="eastAsia" w:ascii="Times New Roman" w:hAnsi="Times New Roman" w:eastAsia="仿宋_GB2312" w:cs="Times New Roman"/>
          <w:i w:val="0"/>
          <w:iCs w:val="0"/>
          <w:caps w:val="0"/>
          <w:color w:val="000000"/>
          <w:spacing w:val="0"/>
          <w:sz w:val="32"/>
          <w:szCs w:val="32"/>
          <w:shd w:val="clear" w:fill="FFFFFF"/>
          <w:lang w:val="en-US" w:eastAsia="zh-CN"/>
        </w:rPr>
        <w:t>2</w:t>
      </w:r>
      <w:r>
        <w:rPr>
          <w:rFonts w:hint="default" w:ascii="Times New Roman" w:hAnsi="Times New Roman" w:eastAsia="仿宋_GB2312" w:cs="Times New Roman"/>
          <w:i w:val="0"/>
          <w:iCs w:val="0"/>
          <w:caps w:val="0"/>
          <w:color w:val="000000"/>
          <w:spacing w:val="0"/>
          <w:sz w:val="32"/>
          <w:szCs w:val="32"/>
          <w:shd w:val="clear" w:fill="FFFFFF"/>
        </w:rPr>
        <w:t>年，</w:t>
      </w:r>
      <w:r>
        <w:rPr>
          <w:rFonts w:hint="default" w:ascii="Times New Roman" w:hAnsi="Times New Roman" w:eastAsia="仿宋_GB2312" w:cs="Times New Roman"/>
          <w:i w:val="0"/>
          <w:iCs w:val="0"/>
          <w:caps w:val="0"/>
          <w:color w:val="000000"/>
          <w:spacing w:val="0"/>
          <w:sz w:val="32"/>
          <w:szCs w:val="32"/>
          <w:shd w:val="clear" w:fill="FFFFFF"/>
          <w:lang w:val="en-US" w:eastAsia="zh-CN"/>
        </w:rPr>
        <w:t>太仓市</w:t>
      </w:r>
      <w:r>
        <w:rPr>
          <w:rFonts w:hint="default" w:ascii="Times New Roman" w:hAnsi="Times New Roman" w:eastAsia="仿宋_GB2312" w:cs="Times New Roman"/>
          <w:i w:val="0"/>
          <w:iCs w:val="0"/>
          <w:caps w:val="0"/>
          <w:color w:val="000000"/>
          <w:spacing w:val="0"/>
          <w:sz w:val="32"/>
          <w:szCs w:val="32"/>
          <w:shd w:val="clear" w:fill="FFFFFF"/>
        </w:rPr>
        <w:t>退役军人事务</w:t>
      </w:r>
      <w:r>
        <w:rPr>
          <w:rFonts w:hint="default" w:ascii="Times New Roman" w:hAnsi="Times New Roman" w:eastAsia="仿宋_GB2312" w:cs="Times New Roman"/>
          <w:i w:val="0"/>
          <w:iCs w:val="0"/>
          <w:caps w:val="0"/>
          <w:color w:val="000000"/>
          <w:spacing w:val="0"/>
          <w:sz w:val="32"/>
          <w:szCs w:val="32"/>
          <w:shd w:val="clear" w:fill="FFFFFF"/>
          <w:lang w:val="en-US" w:eastAsia="zh-CN"/>
        </w:rPr>
        <w:t>局</w:t>
      </w:r>
      <w:r>
        <w:rPr>
          <w:rFonts w:hint="default" w:ascii="Times New Roman" w:hAnsi="Times New Roman" w:eastAsia="仿宋_GB2312" w:cs="Times New Roman"/>
          <w:i w:val="0"/>
          <w:iCs w:val="0"/>
          <w:caps w:val="0"/>
          <w:color w:val="000000"/>
          <w:spacing w:val="0"/>
          <w:sz w:val="32"/>
          <w:szCs w:val="32"/>
          <w:shd w:val="clear" w:fill="FFFFFF"/>
        </w:rPr>
        <w:t>坚持以习近平新时代中国特色社会主义思想为指导，全面贯彻党的</w:t>
      </w:r>
      <w:r>
        <w:rPr>
          <w:rFonts w:hint="eastAsia" w:ascii="Times New Roman" w:hAnsi="Times New Roman" w:eastAsia="仿宋_GB2312" w:cs="Times New Roman"/>
          <w:i w:val="0"/>
          <w:iCs w:val="0"/>
          <w:caps w:val="0"/>
          <w:color w:val="000000"/>
          <w:spacing w:val="0"/>
          <w:sz w:val="32"/>
          <w:szCs w:val="32"/>
          <w:shd w:val="clear" w:fill="FFFFFF"/>
          <w:lang w:val="en-US" w:eastAsia="zh-CN"/>
        </w:rPr>
        <w:t>二十大</w:t>
      </w:r>
      <w:r>
        <w:rPr>
          <w:rFonts w:hint="default" w:ascii="Times New Roman" w:hAnsi="Times New Roman" w:eastAsia="仿宋_GB2312" w:cs="Times New Roman"/>
          <w:i w:val="0"/>
          <w:iCs w:val="0"/>
          <w:caps w:val="0"/>
          <w:color w:val="000000"/>
          <w:spacing w:val="0"/>
          <w:sz w:val="32"/>
          <w:szCs w:val="32"/>
          <w:shd w:val="clear" w:fill="FFFFFF"/>
        </w:rPr>
        <w:t>和十九届二中、三中、四中、五中</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六中</w:t>
      </w:r>
      <w:r>
        <w:rPr>
          <w:rFonts w:hint="eastAsia" w:ascii="Times New Roman" w:hAnsi="Times New Roman" w:eastAsia="仿宋_GB2312" w:cs="Times New Roman"/>
          <w:i w:val="0"/>
          <w:iCs w:val="0"/>
          <w:caps w:val="0"/>
          <w:color w:val="000000"/>
          <w:spacing w:val="0"/>
          <w:sz w:val="32"/>
          <w:szCs w:val="32"/>
          <w:shd w:val="clear" w:fill="FFFFFF"/>
          <w:lang w:val="en-US" w:eastAsia="zh-CN"/>
        </w:rPr>
        <w:t>、七中</w:t>
      </w:r>
      <w:r>
        <w:rPr>
          <w:rFonts w:hint="default" w:ascii="Times New Roman" w:hAnsi="Times New Roman" w:eastAsia="仿宋_GB2312" w:cs="Times New Roman"/>
          <w:i w:val="0"/>
          <w:iCs w:val="0"/>
          <w:caps w:val="0"/>
          <w:color w:val="000000"/>
          <w:spacing w:val="0"/>
          <w:sz w:val="32"/>
          <w:szCs w:val="32"/>
          <w:shd w:val="clear" w:fill="FFFFFF"/>
        </w:rPr>
        <w:t>全会精神，深入学习贯彻习近平总书记关于退役军人工作重要论述，按照《条例》、《202</w:t>
      </w:r>
      <w:r>
        <w:rPr>
          <w:rFonts w:hint="eastAsia" w:ascii="Times New Roman" w:hAnsi="Times New Roman" w:eastAsia="仿宋_GB2312" w:cs="Times New Roman"/>
          <w:i w:val="0"/>
          <w:iCs w:val="0"/>
          <w:caps w:val="0"/>
          <w:color w:val="000000"/>
          <w:spacing w:val="0"/>
          <w:sz w:val="32"/>
          <w:szCs w:val="32"/>
          <w:shd w:val="clear" w:fill="FFFFFF"/>
          <w:lang w:val="en-US" w:eastAsia="zh-CN"/>
        </w:rPr>
        <w:t>2</w:t>
      </w:r>
      <w:r>
        <w:rPr>
          <w:rFonts w:hint="default" w:ascii="Times New Roman" w:hAnsi="Times New Roman" w:eastAsia="仿宋_GB2312" w:cs="Times New Roman"/>
          <w:i w:val="0"/>
          <w:iCs w:val="0"/>
          <w:caps w:val="0"/>
          <w:color w:val="000000"/>
          <w:spacing w:val="0"/>
          <w:sz w:val="32"/>
          <w:szCs w:val="32"/>
          <w:shd w:val="clear" w:fill="FFFFFF"/>
        </w:rPr>
        <w:t>年政务公开工作要点》、《关于全面推进政务公开工作的意见》及其实施细则要求，不断加大公开力度，提升政府信息公开工作水平。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（一）系统优化政务服务相关事项。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扎实推进基层政务公开标准化规范化，对我局承担的行政给付、行政处罚、行政确认等57个事项，逐项对办事服务指南及服务事项进行深度排查梳理，</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包括办理流程、受理条件、申请材料等内容</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严格按照行政审批局要求，</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及时进行规范整改32项，确保要素齐全，表达规范。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000000" w:themeColor="text1"/>
          <w14:textFill>
            <w14:solidFill>
              <w14:schemeClr w14:val="tx1"/>
            </w14:solidFill>
          </w14:textFill>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扎实推进数字退役军人平台建设。</w:t>
      </w:r>
      <w:r>
        <w:rPr>
          <w:rFonts w:eastAsia="仿宋_GB2312"/>
          <w:color w:val="000000" w:themeColor="text1"/>
          <w:sz w:val="32"/>
          <w:szCs w:val="32"/>
          <w14:textFill>
            <w14:solidFill>
              <w14:schemeClr w14:val="tx1"/>
            </w14:solidFill>
          </w14:textFill>
        </w:rPr>
        <w:t>率先打通组织、人社、医保等7家部门，</w:t>
      </w:r>
      <w:r>
        <w:rPr>
          <w:rFonts w:hint="eastAsia" w:eastAsia="仿宋_GB2312"/>
          <w:color w:val="000000" w:themeColor="text1"/>
          <w:sz w:val="32"/>
          <w:szCs w:val="32"/>
          <w14:textFill>
            <w14:solidFill>
              <w14:schemeClr w14:val="tx1"/>
            </w14:solidFill>
          </w14:textFill>
        </w:rPr>
        <w:t>创新</w:t>
      </w:r>
      <w:r>
        <w:rPr>
          <w:rFonts w:eastAsia="仿宋_GB2312"/>
          <w:color w:val="000000" w:themeColor="text1"/>
          <w:sz w:val="32"/>
          <w:szCs w:val="32"/>
          <w14:textFill>
            <w14:solidFill>
              <w14:schemeClr w14:val="tx1"/>
            </w14:solidFill>
          </w14:textFill>
        </w:rPr>
        <w:t>推出</w:t>
      </w:r>
      <w:r>
        <w:rPr>
          <w:rFonts w:hint="eastAsia" w:eastAsia="仿宋_GB2312"/>
          <w:color w:val="000000" w:themeColor="text1"/>
          <w:sz w:val="32"/>
          <w:szCs w:val="32"/>
          <w14:textFill>
            <w14:solidFill>
              <w14:schemeClr w14:val="tx1"/>
            </w14:solidFill>
          </w14:textFill>
        </w:rPr>
        <w:t>退役</w:t>
      </w:r>
      <w:r>
        <w:rPr>
          <w:rFonts w:eastAsia="仿宋_GB2312"/>
          <w:color w:val="000000" w:themeColor="text1"/>
          <w:sz w:val="32"/>
          <w:szCs w:val="32"/>
          <w14:textFill>
            <w14:solidFill>
              <w14:schemeClr w14:val="tx1"/>
            </w14:solidFill>
          </w14:textFill>
        </w:rPr>
        <w:t>返乡</w:t>
      </w:r>
      <w:r>
        <w:rPr>
          <w:rFonts w:hint="eastAsia" w:eastAsia="仿宋_GB2312"/>
          <w:color w:val="000000" w:themeColor="text1"/>
          <w:sz w:val="32"/>
          <w:szCs w:val="32"/>
          <w14:textFill>
            <w14:solidFill>
              <w14:schemeClr w14:val="tx1"/>
            </w14:solidFill>
          </w14:textFill>
        </w:rPr>
        <w:t>数据三级审核</w:t>
      </w:r>
      <w:r>
        <w:rPr>
          <w:rFonts w:eastAsia="仿宋_GB2312"/>
          <w:color w:val="000000" w:themeColor="text1"/>
          <w:sz w:val="32"/>
          <w:szCs w:val="32"/>
          <w14:textFill>
            <w14:solidFill>
              <w14:schemeClr w14:val="tx1"/>
            </w14:solidFill>
          </w14:textFill>
        </w:rPr>
        <w:t>流程，</w:t>
      </w:r>
      <w:r>
        <w:rPr>
          <w:rFonts w:hint="eastAsia" w:eastAsia="仿宋_GB2312"/>
          <w:color w:val="000000" w:themeColor="text1"/>
          <w:sz w:val="32"/>
          <w:szCs w:val="32"/>
          <w14:textFill>
            <w14:solidFill>
              <w14:schemeClr w14:val="tx1"/>
            </w14:solidFill>
          </w14:textFill>
        </w:rPr>
        <w:t>连续3年</w:t>
      </w:r>
      <w:r>
        <w:rPr>
          <w:rFonts w:eastAsia="仿宋_GB2312"/>
          <w:color w:val="000000" w:themeColor="text1"/>
          <w:sz w:val="32"/>
          <w:szCs w:val="32"/>
          <w14:textFill>
            <w14:solidFill>
              <w14:schemeClr w14:val="tx1"/>
            </w14:solidFill>
          </w14:textFill>
        </w:rPr>
        <w:t>实现“</w:t>
      </w:r>
      <w:r>
        <w:rPr>
          <w:rFonts w:hint="eastAsia" w:eastAsia="仿宋_GB2312"/>
          <w:color w:val="000000" w:themeColor="text1"/>
          <w:sz w:val="32"/>
          <w:szCs w:val="32"/>
          <w14:textFill>
            <w14:solidFill>
              <w14:schemeClr w14:val="tx1"/>
            </w14:solidFill>
          </w14:textFill>
        </w:rPr>
        <w:t>军人退役一件事</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全覆盖，真正实现“一次办”“掌上办”，让军人退役返乡享受更便捷的政务服务</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获2022年度全省退役军人创新创优项目。部省退役军人系统领导专题调研3次，</w:t>
      </w:r>
      <w:r>
        <w:rPr>
          <w:rFonts w:hint="eastAsia" w:eastAsia="仿宋_GB2312"/>
          <w:color w:val="000000" w:themeColor="text1"/>
          <w:sz w:val="32"/>
          <w:szCs w:val="32"/>
          <w:lang w:val="en-US" w:eastAsia="zh-CN"/>
          <w14:textFill>
            <w14:solidFill>
              <w14:schemeClr w14:val="tx1"/>
            </w14:solidFill>
          </w14:textFill>
        </w:rPr>
        <w:t>目前</w:t>
      </w:r>
      <w:r>
        <w:rPr>
          <w:rFonts w:hint="eastAsia" w:eastAsia="仿宋_GB2312"/>
          <w:color w:val="000000" w:themeColor="text1"/>
          <w:sz w:val="32"/>
          <w:szCs w:val="32"/>
          <w14:textFill>
            <w14:solidFill>
              <w14:schemeClr w14:val="tx1"/>
            </w14:solidFill>
          </w14:textFill>
        </w:rPr>
        <w:t>承担退役军人事务部数据集中统一整合试点，并承担全省退役军人事务领域首批信息化试点任务。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i w:val="0"/>
          <w:iCs w:val="0"/>
          <w:caps w:val="0"/>
          <w:color w:val="000000"/>
          <w:spacing w:val="0"/>
          <w:sz w:val="32"/>
          <w:szCs w:val="32"/>
          <w:shd w:val="clear" w:fill="FFFFFF"/>
          <w:vertAlign w:val="baseline"/>
        </w:rPr>
        <w:t>持续优化信息公开平台</w:t>
      </w:r>
      <w:r>
        <w:rPr>
          <w:rFonts w:hint="default" w:ascii="Times New Roman" w:hAnsi="Times New Roman" w:eastAsia="楷体_GB2312" w:cs="Times New Roman"/>
          <w:i w:val="0"/>
          <w:iCs w:val="0"/>
          <w:caps w:val="0"/>
          <w:color w:val="000000"/>
          <w:spacing w:val="0"/>
          <w:sz w:val="32"/>
          <w:szCs w:val="32"/>
          <w:shd w:val="clear" w:fill="FFFFFF"/>
          <w:vertAlign w:val="baseline"/>
          <w:lang w:eastAsia="zh-CN"/>
        </w:rPr>
        <w:t>。</w:t>
      </w:r>
      <w:r>
        <w:rPr>
          <w:rFonts w:hint="default" w:ascii="Times New Roman" w:hAnsi="Times New Roman" w:eastAsia="仿宋_GB2312" w:cs="Times New Roman"/>
          <w:sz w:val="32"/>
          <w:szCs w:val="32"/>
        </w:rPr>
        <w:t>全年</w:t>
      </w:r>
      <w:r>
        <w:rPr>
          <w:rFonts w:hint="default" w:ascii="Times New Roman" w:hAnsi="Times New Roman" w:eastAsia="仿宋_GB2312" w:cs="Times New Roman"/>
          <w:sz w:val="32"/>
          <w:szCs w:val="32"/>
        </w:rPr>
        <w:t>梳理“政务服务事项管理平台”权责清单57项，推动政务服务标准化规范化。</w:t>
      </w:r>
      <w:r>
        <w:rPr>
          <w:rFonts w:hint="default" w:ascii="Times New Roman" w:hAnsi="Times New Roman" w:eastAsia="仿宋_GB2312" w:cs="Times New Roman"/>
          <w:sz w:val="32"/>
          <w:szCs w:val="32"/>
        </w:rPr>
        <w:t>未收到政府信息公开申请、行政复议和行政诉讼等情况。</w:t>
      </w:r>
      <w:r>
        <w:rPr>
          <w:rFonts w:hint="default" w:ascii="Times New Roman" w:hAnsi="Times New Roman" w:eastAsia="仿宋_GB2312" w:cs="Times New Roman"/>
          <w:bCs/>
          <w:sz w:val="32"/>
          <w:szCs w:val="32"/>
        </w:rPr>
        <w:t>创新推出《全市军人军属、退役军人和其他优抚对象优抚服务清单》《全市基层退役军人服务站依法履职清单》“两份清单”</w:t>
      </w:r>
      <w:r>
        <w:rPr>
          <w:rFonts w:hint="default" w:ascii="Times New Roman" w:hAnsi="Times New Roman" w:eastAsia="楷体_GB2312" w:cs="Times New Roman"/>
          <w:bCs/>
          <w:sz w:val="32"/>
          <w:szCs w:val="32"/>
        </w:rPr>
        <w:t>，</w:t>
      </w:r>
      <w:r>
        <w:rPr>
          <w:rFonts w:hint="default" w:ascii="Times New Roman" w:hAnsi="Times New Roman" w:eastAsia="仿宋_GB2312" w:cs="Times New Roman"/>
          <w:sz w:val="32"/>
          <w:szCs w:val="32"/>
        </w:rPr>
        <w:t>以法治化、清单化明确</w:t>
      </w:r>
      <w:r>
        <w:rPr>
          <w:rFonts w:hint="default" w:ascii="Times New Roman" w:hAnsi="Times New Roman" w:eastAsia="仿宋_GB2312" w:cs="Times New Roman"/>
          <w:bCs/>
          <w:sz w:val="32"/>
          <w:szCs w:val="32"/>
        </w:rPr>
        <w:t>优待内容85项。</w:t>
      </w:r>
      <w:r>
        <w:rPr>
          <w:rFonts w:hint="eastAsia" w:ascii="Times New Roman" w:hAnsi="Times New Roman" w:eastAsia="仿宋_GB2312" w:cs="Times New Roman"/>
          <w:bCs/>
          <w:sz w:val="32"/>
          <w:szCs w:val="32"/>
          <w:lang w:val="en-US" w:eastAsia="zh-CN"/>
        </w:rPr>
        <w:t>局微信公众号</w:t>
      </w:r>
      <w:r>
        <w:rPr>
          <w:rFonts w:hint="default" w:ascii="Times New Roman" w:hAnsi="Times New Roman" w:eastAsia="仿宋_GB2312" w:cs="Times New Roman"/>
          <w:sz w:val="32"/>
          <w:szCs w:val="32"/>
          <w:shd w:val="clear" w:color="auto" w:fill="FFFFFF"/>
        </w:rPr>
        <w:t>做好市政府门户网站内容保障工作，全年发布政务信息24篇，宣传信息530篇</w:t>
      </w:r>
      <w:r>
        <w:rPr>
          <w:rFonts w:hint="default" w:ascii="Times New Roman" w:hAnsi="Times New Roman" w:eastAsia="楷体_GB2312" w:cs="Times New Roman"/>
          <w:sz w:val="32"/>
          <w:szCs w:val="32"/>
          <w:shd w:val="clear" w:color="auto" w:fill="FFFFFF"/>
        </w:rPr>
        <w:t>。</w:t>
      </w:r>
      <w:r>
        <w:rPr>
          <w:rFonts w:hint="default" w:ascii="Times New Roman" w:hAnsi="Times New Roman" w:eastAsia="仿宋_GB2312" w:cs="Times New Roman"/>
          <w:sz w:val="32"/>
          <w:szCs w:val="32"/>
          <w:lang w:val="en-US" w:eastAsia="zh-CN"/>
        </w:rPr>
        <w:t>通过太仓日报、新闻发布会等媒介宣传解读退役军人及其他优抚对象优待证申领工作相关文件政策；开展《相逢问策》栏目录制，宣传我市</w:t>
      </w:r>
      <w:r>
        <w:rPr>
          <w:rFonts w:hint="eastAsia" w:ascii="Times New Roman" w:hAnsi="Times New Roman" w:eastAsia="仿宋_GB2312" w:cs="Times New Roman"/>
          <w:sz w:val="32"/>
          <w:szCs w:val="32"/>
          <w:lang w:val="en-US" w:eastAsia="zh-CN"/>
        </w:rPr>
        <w:t>优待证发放相关内容</w:t>
      </w:r>
      <w:r>
        <w:rPr>
          <w:rFonts w:hint="default" w:ascii="Times New Roman" w:hAnsi="Times New Roman" w:eastAsia="仿宋_GB2312" w:cs="Times New Roman"/>
          <w:sz w:val="32"/>
          <w:szCs w:val="32"/>
          <w:lang w:val="en-US" w:eastAsia="zh-CN"/>
        </w:rPr>
        <w:t>，提升公众知晓度。</w:t>
      </w:r>
    </w:p>
    <w:p>
      <w:pPr>
        <w:pStyle w:val="3"/>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（四）强化信息管理。</w:t>
      </w:r>
      <w:r>
        <w:rPr>
          <w:rFonts w:hint="default" w:ascii="Times New Roman" w:hAnsi="Times New Roman" w:eastAsia="仿宋_GB2312" w:cs="Times New Roman"/>
          <w:kern w:val="2"/>
          <w:sz w:val="32"/>
          <w:szCs w:val="32"/>
          <w:lang w:val="en-US" w:eastAsia="zh-CN" w:bidi="ar-SA"/>
        </w:rPr>
        <w:t>加强政府信息源头管理，在公文制发过程中，设置“主动公开”“依申请公开”“不予公开”属性选项，明确公开属性。严格执行信息发布审核机制，切实履行好信息发布、把关等职责，确保信息公开规范化。</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主动公开政府信息情况</w:t>
      </w:r>
    </w:p>
    <w:tbl>
      <w:tblPr>
        <w:tblStyle w:val="7"/>
        <w:tblW w:w="8140" w:type="dxa"/>
        <w:jc w:val="center"/>
        <w:tblLayout w:type="autofit"/>
        <w:tblCellMar>
          <w:top w:w="0" w:type="dxa"/>
          <w:left w:w="0" w:type="dxa"/>
          <w:bottom w:w="0" w:type="dxa"/>
          <w:right w:w="0" w:type="dxa"/>
        </w:tblCellMar>
      </w:tblPr>
      <w:tblGrid>
        <w:gridCol w:w="2650"/>
        <w:gridCol w:w="1896"/>
        <w:gridCol w:w="1713"/>
        <w:gridCol w:w="1881"/>
      </w:tblGrid>
      <w:tr>
        <w:tblPrEx>
          <w:tblCellMar>
            <w:top w:w="0" w:type="dxa"/>
            <w:left w:w="0" w:type="dxa"/>
            <w:bottom w:w="0" w:type="dxa"/>
            <w:right w:w="0" w:type="dxa"/>
          </w:tblCellMar>
        </w:tblPrEx>
        <w:trPr>
          <w:trHeight w:val="397" w:hRule="exac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第二十条第（一）项</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信息内容</w:t>
            </w:r>
          </w:p>
        </w:tc>
        <w:tc>
          <w:tcPr>
            <w:tcW w:w="1896"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本年新</w:t>
            </w:r>
            <w:r>
              <w:rPr>
                <w:rFonts w:hint="default" w:ascii="Times New Roman" w:hAnsi="Times New Roman" w:eastAsia="宋体" w:cs="Times New Roman"/>
                <w:sz w:val="20"/>
                <w:szCs w:val="20"/>
              </w:rPr>
              <w:t>制作数量</w:t>
            </w:r>
          </w:p>
        </w:tc>
        <w:tc>
          <w:tcPr>
            <w:tcW w:w="171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本年新</w:t>
            </w:r>
            <w:r>
              <w:rPr>
                <w:rFonts w:hint="default" w:ascii="Times New Roman" w:hAnsi="Times New Roman" w:eastAsia="宋体" w:cs="Times New Roman"/>
                <w:sz w:val="20"/>
                <w:szCs w:val="20"/>
              </w:rPr>
              <w:t>公开数量</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对外公开总数量</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规章</w:t>
            </w:r>
          </w:p>
        </w:tc>
        <w:tc>
          <w:tcPr>
            <w:tcW w:w="18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17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规范性文件</w:t>
            </w:r>
          </w:p>
        </w:tc>
        <w:tc>
          <w:tcPr>
            <w:tcW w:w="18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17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trHeight w:val="397" w:hRule="exac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第二十条第（五）项</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信息内容</w:t>
            </w:r>
          </w:p>
        </w:tc>
        <w:tc>
          <w:tcPr>
            <w:tcW w:w="1896"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上一年项目数量</w:t>
            </w:r>
          </w:p>
        </w:tc>
        <w:tc>
          <w:tcPr>
            <w:tcW w:w="171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本年增/减</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处理决定数量</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vAlign w:val="center"/>
          </w:tcPr>
          <w:p>
            <w:pPr>
              <w:widowControl/>
              <w:spacing w:line="240" w:lineRule="exact"/>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行政许可</w:t>
            </w:r>
          </w:p>
        </w:tc>
        <w:tc>
          <w:tcPr>
            <w:tcW w:w="1896" w:type="dxa"/>
            <w:tcBorders>
              <w:top w:val="nil"/>
              <w:left w:val="nil"/>
              <w:bottom w:val="single" w:color="auto" w:sz="8" w:space="0"/>
              <w:right w:val="single" w:color="auto" w:sz="8" w:space="0"/>
            </w:tcBorders>
            <w:noWrap/>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171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vAlign w:val="center"/>
          </w:tcPr>
          <w:p>
            <w:pPr>
              <w:widowControl/>
              <w:spacing w:line="240" w:lineRule="exact"/>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其他对外管理服务事项</w:t>
            </w:r>
          </w:p>
        </w:tc>
        <w:tc>
          <w:tcPr>
            <w:tcW w:w="1896" w:type="dxa"/>
            <w:tcBorders>
              <w:top w:val="nil"/>
              <w:left w:val="nil"/>
              <w:bottom w:val="single" w:color="auto" w:sz="8" w:space="0"/>
              <w:right w:val="single" w:color="auto" w:sz="8" w:space="0"/>
            </w:tcBorders>
            <w:noWrap/>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171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trHeight w:val="397" w:hRule="exac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第二十条第（六）项</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信息内容</w:t>
            </w:r>
          </w:p>
        </w:tc>
        <w:tc>
          <w:tcPr>
            <w:tcW w:w="1896"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上一年项目数量</w:t>
            </w:r>
          </w:p>
        </w:tc>
        <w:tc>
          <w:tcPr>
            <w:tcW w:w="171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本年增/减</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处理决定数量</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vAlign w:val="center"/>
          </w:tcPr>
          <w:p>
            <w:pPr>
              <w:widowControl/>
              <w:spacing w:line="240" w:lineRule="exact"/>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行政处罚</w:t>
            </w:r>
          </w:p>
        </w:tc>
        <w:tc>
          <w:tcPr>
            <w:tcW w:w="1896" w:type="dxa"/>
            <w:tcBorders>
              <w:top w:val="nil"/>
              <w:left w:val="nil"/>
              <w:bottom w:val="single" w:color="auto" w:sz="8" w:space="0"/>
              <w:right w:val="single" w:color="auto" w:sz="8" w:space="0"/>
            </w:tcBorders>
            <w:noWrap/>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171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vAlign w:val="center"/>
          </w:tcPr>
          <w:p>
            <w:pPr>
              <w:widowControl/>
              <w:spacing w:line="240" w:lineRule="exact"/>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行政强制</w:t>
            </w:r>
          </w:p>
        </w:tc>
        <w:tc>
          <w:tcPr>
            <w:tcW w:w="1896" w:type="dxa"/>
            <w:tcBorders>
              <w:top w:val="nil"/>
              <w:left w:val="nil"/>
              <w:bottom w:val="single" w:color="auto" w:sz="8" w:space="0"/>
              <w:right w:val="single" w:color="auto" w:sz="8" w:space="0"/>
            </w:tcBorders>
            <w:noWrap/>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171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trHeight w:val="397" w:hRule="exac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第二十条第（八）项</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信息内容</w:t>
            </w:r>
          </w:p>
        </w:tc>
        <w:tc>
          <w:tcPr>
            <w:tcW w:w="18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上一年项目数量</w:t>
            </w:r>
          </w:p>
        </w:tc>
        <w:tc>
          <w:tcPr>
            <w:tcW w:w="3594"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本年增/减</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行政事业性收费</w:t>
            </w:r>
          </w:p>
        </w:tc>
        <w:tc>
          <w:tcPr>
            <w:tcW w:w="18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3594"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trHeight w:val="397" w:hRule="exac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第二十条第（九）项</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信息内容</w:t>
            </w:r>
          </w:p>
        </w:tc>
        <w:tc>
          <w:tcPr>
            <w:tcW w:w="18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采购项目数量</w:t>
            </w:r>
          </w:p>
        </w:tc>
        <w:tc>
          <w:tcPr>
            <w:tcW w:w="3594"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采购总金额</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政府集中采购</w:t>
            </w:r>
          </w:p>
        </w:tc>
        <w:tc>
          <w:tcPr>
            <w:tcW w:w="18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3594"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收到和处理政府信息公开申请情况</w:t>
      </w:r>
    </w:p>
    <w:tbl>
      <w:tblPr>
        <w:tblStyle w:val="7"/>
        <w:tblW w:w="9071" w:type="dxa"/>
        <w:jc w:val="center"/>
        <w:tblLayout w:type="autofit"/>
        <w:tblCellMar>
          <w:top w:w="0" w:type="dxa"/>
          <w:left w:w="0" w:type="dxa"/>
          <w:bottom w:w="0" w:type="dxa"/>
          <w:right w:w="0" w:type="dxa"/>
        </w:tblCellMar>
      </w:tblPr>
      <w:tblGrid>
        <w:gridCol w:w="494"/>
        <w:gridCol w:w="855"/>
        <w:gridCol w:w="2130"/>
        <w:gridCol w:w="825"/>
        <w:gridCol w:w="765"/>
        <w:gridCol w:w="765"/>
        <w:gridCol w:w="825"/>
        <w:gridCol w:w="990"/>
        <w:gridCol w:w="720"/>
        <w:gridCol w:w="702"/>
      </w:tblGrid>
      <w:tr>
        <w:tblPrEx>
          <w:tblCellMar>
            <w:top w:w="0" w:type="dxa"/>
            <w:left w:w="0" w:type="dxa"/>
            <w:bottom w:w="0" w:type="dxa"/>
            <w:right w:w="0" w:type="dxa"/>
          </w:tblCellMar>
        </w:tblPrEx>
        <w:trPr>
          <w:jc w:val="center"/>
        </w:trPr>
        <w:tc>
          <w:tcPr>
            <w:tcW w:w="3479" w:type="dxa"/>
            <w:gridSpan w:val="3"/>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（本列数据的勾稽关系为：第一项加第二项之和，等于第三项加第四项之和）</w:t>
            </w:r>
          </w:p>
        </w:tc>
        <w:tc>
          <w:tcPr>
            <w:tcW w:w="5592" w:type="dxa"/>
            <w:gridSpan w:val="7"/>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申请人情况</w:t>
            </w:r>
          </w:p>
        </w:tc>
      </w:tr>
      <w:tr>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825"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自然人</w:t>
            </w:r>
          </w:p>
        </w:tc>
        <w:tc>
          <w:tcPr>
            <w:tcW w:w="4065"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法人或其他组织</w:t>
            </w:r>
          </w:p>
        </w:tc>
        <w:tc>
          <w:tcPr>
            <w:tcW w:w="702"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总计</w:t>
            </w:r>
          </w:p>
        </w:tc>
      </w:tr>
      <w:tr>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0" w:type="auto"/>
            <w:vMerge w:val="continue"/>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商业企业</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科研机构</w:t>
            </w:r>
          </w:p>
        </w:tc>
        <w:tc>
          <w:tcPr>
            <w:tcW w:w="82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社会公益组织</w:t>
            </w:r>
          </w:p>
        </w:tc>
        <w:tc>
          <w:tcPr>
            <w:tcW w:w="99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法律服务机构</w:t>
            </w:r>
          </w:p>
        </w:tc>
        <w:tc>
          <w:tcPr>
            <w:tcW w:w="7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其他</w:t>
            </w:r>
          </w:p>
        </w:tc>
        <w:tc>
          <w:tcPr>
            <w:tcW w:w="0" w:type="auto"/>
            <w:vMerge w:val="continue"/>
            <w:tcBorders>
              <w:top w:val="single" w:color="auto" w:sz="8" w:space="0"/>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r>
      <w:tr>
        <w:tblPrEx>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0"/>
                <w:szCs w:val="20"/>
              </w:rPr>
              <w:t>一、本年新收政府信息公开申请数量</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0"/>
                <w:szCs w:val="20"/>
              </w:rPr>
              <w:t>二、上年结转政府信息公开申请数量</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494" w:type="dxa"/>
            <w:vMerge w:val="restart"/>
            <w:tcBorders>
              <w:top w:val="nil"/>
              <w:left w:val="single" w:color="auto" w:sz="8" w:space="0"/>
              <w:bottom w:val="single" w:color="auto" w:sz="8" w:space="0"/>
              <w:right w:val="single" w:color="auto" w:sz="8" w:space="0"/>
            </w:tcBorders>
            <w:noWrap w:val="0"/>
            <w:vAlign w:val="center"/>
          </w:tcPr>
          <w:p>
            <w:pPr>
              <w:widowControl/>
              <w:spacing w:line="2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三、本年度办理结果</w:t>
            </w:r>
          </w:p>
        </w:tc>
        <w:tc>
          <w:tcPr>
            <w:tcW w:w="2985" w:type="dxa"/>
            <w:gridSpan w:val="2"/>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（一）予以公开</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2985" w:type="dxa"/>
            <w:gridSpan w:val="2"/>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（二）部分公开（区分处理的，只计这一情形，不计其他情形）</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855"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（三）不予公开</w:t>
            </w:r>
          </w:p>
        </w:tc>
        <w:tc>
          <w:tcPr>
            <w:tcW w:w="21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1.属于国家秘密</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0" w:type="auto"/>
            <w:vMerge w:val="continue"/>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21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2.其他法律行政法规禁止公开</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0" w:type="auto"/>
            <w:vMerge w:val="continue"/>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21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3.危及“三安全一稳定”</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0" w:type="auto"/>
            <w:vMerge w:val="continue"/>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21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4.保护第三方合法权益</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0" w:type="auto"/>
            <w:vMerge w:val="continue"/>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21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5.属于三类内部事务信息</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0" w:type="auto"/>
            <w:vMerge w:val="continue"/>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21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6.属于四类过程性信息</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0" w:type="auto"/>
            <w:vMerge w:val="continue"/>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21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7.属于行政执法案卷</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0" w:type="auto"/>
            <w:vMerge w:val="continue"/>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21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8.属于行政查询事项</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855"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（四）无法提供</w:t>
            </w:r>
          </w:p>
        </w:tc>
        <w:tc>
          <w:tcPr>
            <w:tcW w:w="21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1.本机关不掌握相关政府信息</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0" w:type="auto"/>
            <w:vMerge w:val="continue"/>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21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2.没有现成信息需要另行制作</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0" w:type="auto"/>
            <w:vMerge w:val="continue"/>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21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3.补正后申请内容仍不明确</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855"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（五）不予处理</w:t>
            </w:r>
          </w:p>
        </w:tc>
        <w:tc>
          <w:tcPr>
            <w:tcW w:w="21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1.信访举报投诉类申请</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0" w:type="auto"/>
            <w:vMerge w:val="continue"/>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21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2.重复申请</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0" w:type="auto"/>
            <w:vMerge w:val="continue"/>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21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3.要求提供公开出版物</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0" w:type="auto"/>
            <w:vMerge w:val="continue"/>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21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4.无正当理由大量反复申请</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0" w:type="auto"/>
            <w:vMerge w:val="continue"/>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21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5.要求行政机关确认或重新出具已获取信息</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2985" w:type="dxa"/>
            <w:gridSpan w:val="2"/>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（六）其他处理</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2985" w:type="dxa"/>
            <w:gridSpan w:val="2"/>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（七）总计</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0"/>
                <w:szCs w:val="20"/>
              </w:rPr>
              <w:t>四、结转下年度继续办理</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四、政府信息公开行政复议、行政诉讼情况</w:t>
      </w:r>
    </w:p>
    <w:tbl>
      <w:tblPr>
        <w:tblStyle w:val="7"/>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行政诉讼</w:t>
            </w:r>
          </w:p>
        </w:tc>
      </w:tr>
      <w:tr>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结果维持</w:t>
            </w:r>
          </w:p>
        </w:tc>
        <w:tc>
          <w:tcPr>
            <w:tcW w:w="604"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尚未审结</w:t>
            </w:r>
          </w:p>
        </w:tc>
        <w:tc>
          <w:tcPr>
            <w:tcW w:w="658"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总计</w:t>
            </w:r>
          </w:p>
        </w:tc>
        <w:tc>
          <w:tcPr>
            <w:tcW w:w="2970"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宋体" w:cs="Times New Roman"/>
                <w:sz w:val="24"/>
                <w:szCs w:val="24"/>
              </w:rPr>
            </w:pPr>
          </w:p>
        </w:tc>
        <w:tc>
          <w:tcPr>
            <w:tcW w:w="0" w:type="auto"/>
            <w:vMerge w:val="continue"/>
            <w:tcBorders>
              <w:top w:val="nil"/>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sz w:val="24"/>
                <w:szCs w:val="24"/>
              </w:rPr>
            </w:pPr>
          </w:p>
        </w:tc>
        <w:tc>
          <w:tcPr>
            <w:tcW w:w="604" w:type="dxa"/>
            <w:vMerge w:val="continue"/>
            <w:tcBorders>
              <w:top w:val="single" w:color="auto" w:sz="8" w:space="0"/>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sz w:val="24"/>
                <w:szCs w:val="24"/>
              </w:rPr>
            </w:pPr>
          </w:p>
        </w:tc>
        <w:tc>
          <w:tcPr>
            <w:tcW w:w="604" w:type="dxa"/>
            <w:vMerge w:val="continue"/>
            <w:tcBorders>
              <w:top w:val="single" w:color="auto" w:sz="8" w:space="0"/>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sz w:val="24"/>
                <w:szCs w:val="24"/>
              </w:rPr>
            </w:pPr>
          </w:p>
        </w:tc>
        <w:tc>
          <w:tcPr>
            <w:tcW w:w="0" w:type="auto"/>
            <w:vMerge w:val="continue"/>
            <w:tcBorders>
              <w:top w:val="single" w:color="auto" w:sz="8" w:space="0"/>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sz w:val="24"/>
                <w:szCs w:val="24"/>
              </w:rPr>
            </w:pPr>
          </w:p>
        </w:tc>
        <w:tc>
          <w:tcPr>
            <w:tcW w:w="5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结果维持</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结果纠正</w:t>
            </w:r>
          </w:p>
        </w:tc>
        <w:tc>
          <w:tcPr>
            <w:tcW w:w="6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其他结果</w:t>
            </w:r>
          </w:p>
        </w:tc>
        <w:tc>
          <w:tcPr>
            <w:tcW w:w="6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尚未审结</w:t>
            </w:r>
          </w:p>
        </w:tc>
        <w:tc>
          <w:tcPr>
            <w:tcW w:w="6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总计</w:t>
            </w:r>
          </w:p>
        </w:tc>
        <w:tc>
          <w:tcPr>
            <w:tcW w:w="6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结果维持</w:t>
            </w:r>
          </w:p>
        </w:tc>
        <w:tc>
          <w:tcPr>
            <w:tcW w:w="6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结果纠正</w:t>
            </w:r>
          </w:p>
        </w:tc>
        <w:tc>
          <w:tcPr>
            <w:tcW w:w="6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其他结果</w:t>
            </w:r>
          </w:p>
        </w:tc>
        <w:tc>
          <w:tcPr>
            <w:tcW w:w="60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尚未审结</w:t>
            </w:r>
          </w:p>
        </w:tc>
        <w:tc>
          <w:tcPr>
            <w:tcW w:w="60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总计</w:t>
            </w:r>
          </w:p>
        </w:tc>
      </w:tr>
      <w:tr>
        <w:tblPrEx>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6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5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6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6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bl>
    <w:p>
      <w:pPr>
        <w:pStyle w:val="3"/>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五、存在的主要问题及改进情况</w:t>
      </w:r>
    </w:p>
    <w:p>
      <w:pPr>
        <w:keepNext w:val="0"/>
        <w:keepLines w:val="0"/>
        <w:pageBreakBefore w:val="0"/>
        <w:widowControl w:val="0"/>
        <w:tabs>
          <w:tab w:val="left" w:pos="1341"/>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w:t>
      </w: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年，市退役军人事务局信息公开工作取得了一定成效，但由于业务工作有较强政治敏感性，按照保密工作要求，大量工作内容无法公开，导致信息公开缺乏及时性和全面性，公开领域内容不够完善，公开范围不够广，与公众的需求还存在差距。下一步，我们将重点做好以下三个方面：一是根据上级要求，梳理完善基层政务公开事项目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持续优化“</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一件事</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”平台服务事项，将更多退役军人服务事项融入到平台管理中，切实提升服务质效。</w:t>
      </w:r>
      <w:r>
        <w:rPr>
          <w:rFonts w:hint="eastAsia" w:ascii="Times New Roman" w:hAnsi="Times New Roman" w:eastAsia="仿宋_GB2312" w:cs="Times New Roman"/>
          <w:kern w:val="2"/>
          <w:sz w:val="32"/>
          <w:szCs w:val="32"/>
          <w:lang w:val="en-US" w:eastAsia="zh-CN" w:bidi="ar-SA"/>
        </w:rPr>
        <w:t>二是结合</w:t>
      </w:r>
      <w:r>
        <w:rPr>
          <w:rFonts w:hint="default" w:ascii="Times New Roman" w:hAnsi="Times New Roman" w:eastAsia="仿宋_GB2312" w:cs="Times New Roman"/>
          <w:sz w:val="32"/>
          <w:szCs w:val="32"/>
          <w:lang w:val="en-US" w:eastAsia="zh-CN"/>
        </w:rPr>
        <w:t>优待证申领工作</w:t>
      </w:r>
      <w:r>
        <w:rPr>
          <w:rFonts w:hint="default" w:ascii="Times New Roman" w:hAnsi="Times New Roman" w:eastAsia="仿宋_GB2312" w:cs="Times New Roman"/>
          <w:kern w:val="2"/>
          <w:sz w:val="32"/>
          <w:szCs w:val="32"/>
          <w:lang w:val="en-US" w:eastAsia="zh-CN" w:bidi="ar-SA"/>
        </w:rPr>
        <w:t>，顺势推进退役军人相关政策、法规、制度的公开、宣传和解读，提升公众知晓度。三是探索微信公众号等新媒体的开发应用，围绕退役军人关注的就业创业服务、信息查询等需求进行功能开发，进一步加强与公众互动交流的实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其他需要报告的事项</w:t>
      </w:r>
    </w:p>
    <w:p>
      <w:pPr>
        <w:keepNext w:val="0"/>
        <w:keepLines w:val="0"/>
        <w:pageBreakBefore w:val="0"/>
        <w:widowControl w:val="0"/>
        <w:tabs>
          <w:tab w:val="left" w:pos="1341"/>
        </w:tabs>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pPr>
        <w:pStyle w:val="3"/>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ascii="Times New Roman" w:hAnsi="Times New Roman" w:eastAsia="仿宋_GB2312" w:cs="Times New Roman"/>
          <w:sz w:val="32"/>
          <w:szCs w:val="32"/>
        </w:rPr>
      </w:pPr>
    </w:p>
    <w:p>
      <w:pPr>
        <w:pStyle w:val="3"/>
        <w:ind w:left="0" w:leftChars="0" w:firstLine="0" w:firstLineChars="0"/>
        <w:rPr>
          <w:rFonts w:hint="eastAsia" w:ascii="仿宋_GB2312" w:hAnsi="仿宋_GB2312" w:eastAsia="仿宋_GB2312" w:cs="仿宋_GB2312"/>
          <w:i w:val="0"/>
          <w:iCs w:val="0"/>
          <w:caps w:val="0"/>
          <w:color w:val="000000"/>
          <w:spacing w:val="0"/>
          <w:sz w:val="32"/>
          <w:szCs w:val="32"/>
          <w:shd w:val="clear" w:fill="FFFFFF"/>
        </w:rPr>
      </w:pPr>
    </w:p>
    <w:sectPr>
      <w:footerReference r:id="rId3" w:type="default"/>
      <w:pgSz w:w="11906" w:h="16838"/>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52930C"/>
    <w:multiLevelType w:val="singleLevel"/>
    <w:tmpl w:val="CE52930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NzY5ZGQzM2Q0MDEzMDBjODQ4ZGExYmVjNjI1YzgifQ=="/>
  </w:docVars>
  <w:rsids>
    <w:rsidRoot w:val="4F755F1D"/>
    <w:rsid w:val="105E23FD"/>
    <w:rsid w:val="30ED7159"/>
    <w:rsid w:val="40800545"/>
    <w:rsid w:val="4F755F1D"/>
    <w:rsid w:val="56B5554E"/>
    <w:rsid w:val="5A144EA7"/>
    <w:rsid w:val="69935DE8"/>
    <w:rsid w:val="71F50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Indent"/>
    <w:basedOn w:val="1"/>
    <w:qFormat/>
    <w:uiPriority w:val="0"/>
    <w:pPr>
      <w:spacing w:line="300" w:lineRule="auto"/>
      <w:ind w:firstLine="560" w:firstLineChars="200"/>
      <w:jc w:val="left"/>
    </w:pPr>
    <w:rPr>
      <w:sz w:val="28"/>
    </w:rPr>
  </w:style>
  <w:style w:type="paragraph" w:styleId="3">
    <w:name w:val="Body Text Indent"/>
    <w:basedOn w:val="1"/>
    <w:qFormat/>
    <w:uiPriority w:val="0"/>
    <w:pPr>
      <w:spacing w:line="300" w:lineRule="auto"/>
      <w:ind w:firstLine="560" w:firstLineChars="200"/>
      <w:jc w:val="left"/>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2416</Words>
  <Characters>2515</Characters>
  <Lines>0</Lines>
  <Paragraphs>0</Paragraphs>
  <TotalTime>2</TotalTime>
  <ScaleCrop>false</ScaleCrop>
  <LinksUpToDate>false</LinksUpToDate>
  <CharactersWithSpaces>2515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2022-01-18T09:01:00Z</dcterms:created>
  <dc:creator>Mini Full.</dc:creator>
  <cp:lastModifiedBy>Mini Full.</cp:lastModifiedBy>
  <dcterms:modified xsi:type="dcterms:W3CDTF">2023-01-31T05:30:26Z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4978C5F504694005B84152A601650982</vt:lpwstr>
  </property>
</Properties>
</file>