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经典粗宋简"/>
          <w:snapToGrid w:val="0"/>
          <w:sz w:val="44"/>
          <w:szCs w:val="44"/>
        </w:rPr>
      </w:pPr>
      <w:r>
        <w:rPr>
          <w:rFonts w:ascii="Times New Roman" w:hAnsi="Times New Roman" w:eastAsia="经典粗宋简"/>
          <w:snapToGrid w:val="0"/>
          <w:sz w:val="44"/>
          <w:szCs w:val="44"/>
        </w:rPr>
        <w:t>关于太仓市2020年国民经济和</w:t>
      </w:r>
    </w:p>
    <w:p>
      <w:pPr>
        <w:spacing w:line="580" w:lineRule="exact"/>
        <w:jc w:val="center"/>
        <w:rPr>
          <w:rFonts w:ascii="Times New Roman" w:hAnsi="Times New Roman" w:eastAsia="经典粗宋简"/>
          <w:snapToGrid w:val="0"/>
          <w:sz w:val="44"/>
          <w:szCs w:val="44"/>
        </w:rPr>
      </w:pPr>
      <w:r>
        <w:rPr>
          <w:rFonts w:ascii="Times New Roman" w:hAnsi="Times New Roman" w:eastAsia="经典粗宋简"/>
          <w:snapToGrid w:val="0"/>
          <w:sz w:val="44"/>
          <w:szCs w:val="44"/>
        </w:rPr>
        <w:t>社会发展计划执行情况与2021年国民经济和</w:t>
      </w:r>
    </w:p>
    <w:p>
      <w:pPr>
        <w:spacing w:line="580" w:lineRule="exact"/>
        <w:jc w:val="center"/>
        <w:rPr>
          <w:rFonts w:ascii="Times New Roman" w:hAnsi="Times New Roman" w:eastAsia="经典粗宋简"/>
          <w:snapToGrid w:val="0"/>
          <w:sz w:val="44"/>
          <w:szCs w:val="44"/>
        </w:rPr>
      </w:pPr>
      <w:r>
        <w:rPr>
          <w:rFonts w:ascii="Times New Roman" w:hAnsi="Times New Roman" w:eastAsia="经典粗宋简"/>
          <w:snapToGrid w:val="0"/>
          <w:sz w:val="44"/>
          <w:szCs w:val="44"/>
        </w:rPr>
        <w:t>社会发展计划草案的报告</w:t>
      </w:r>
    </w:p>
    <w:p>
      <w:pPr>
        <w:spacing w:line="580" w:lineRule="exact"/>
        <w:jc w:val="center"/>
        <w:rPr>
          <w:rFonts w:ascii="Times New Roman" w:hAnsi="Times New Roman" w:eastAsiaTheme="minorEastAsia"/>
          <w:b/>
          <w:snapToGrid w:val="0"/>
          <w:sz w:val="44"/>
          <w:szCs w:val="44"/>
        </w:rPr>
      </w:pPr>
    </w:p>
    <w:p>
      <w:pPr>
        <w:spacing w:line="580" w:lineRule="exact"/>
        <w:jc w:val="center"/>
        <w:rPr>
          <w:rFonts w:ascii="Times New Roman" w:hAnsi="Times New Roman" w:eastAsia="楷体_GB2312"/>
          <w:snapToGrid w:val="0"/>
          <w:sz w:val="32"/>
          <w:szCs w:val="32"/>
        </w:rPr>
      </w:pPr>
      <w:r>
        <w:rPr>
          <w:rFonts w:ascii="Times New Roman" w:hAnsi="Times New Roman" w:eastAsia="楷体_GB2312"/>
          <w:snapToGrid w:val="0"/>
          <w:sz w:val="32"/>
          <w:szCs w:val="32"/>
        </w:rPr>
        <w:t>——2021年1月12日在太仓市第十六届</w:t>
      </w:r>
    </w:p>
    <w:p>
      <w:pPr>
        <w:spacing w:line="580" w:lineRule="exact"/>
        <w:jc w:val="center"/>
        <w:rPr>
          <w:rFonts w:ascii="Times New Roman" w:hAnsi="Times New Roman" w:eastAsia="楷体_GB2312"/>
          <w:snapToGrid w:val="0"/>
          <w:sz w:val="32"/>
          <w:szCs w:val="32"/>
        </w:rPr>
      </w:pPr>
      <w:r>
        <w:rPr>
          <w:rFonts w:ascii="Times New Roman" w:hAnsi="Times New Roman" w:eastAsia="楷体_GB2312"/>
          <w:snapToGrid w:val="0"/>
          <w:sz w:val="32"/>
          <w:szCs w:val="32"/>
        </w:rPr>
        <w:t>人民代表大会第五次会议上</w:t>
      </w:r>
    </w:p>
    <w:p>
      <w:pPr>
        <w:spacing w:line="580" w:lineRule="exact"/>
        <w:jc w:val="center"/>
        <w:rPr>
          <w:rFonts w:ascii="Times New Roman" w:hAnsi="Times New Roman" w:eastAsia="华文楷体"/>
          <w:snapToGrid w:val="0"/>
          <w:sz w:val="32"/>
          <w:szCs w:val="32"/>
        </w:rPr>
      </w:pPr>
    </w:p>
    <w:p>
      <w:pPr>
        <w:spacing w:line="580" w:lineRule="exact"/>
        <w:jc w:val="center"/>
        <w:rPr>
          <w:rFonts w:ascii="Times New Roman" w:hAnsi="Times New Roman" w:eastAsia="楷体_GB2312"/>
          <w:snapToGrid w:val="0"/>
          <w:sz w:val="32"/>
          <w:szCs w:val="32"/>
        </w:rPr>
      </w:pPr>
      <w:r>
        <w:rPr>
          <w:rFonts w:ascii="Times New Roman" w:hAnsi="Times New Roman" w:eastAsia="楷体_GB2312"/>
          <w:snapToGrid w:val="0"/>
          <w:sz w:val="32"/>
          <w:szCs w:val="32"/>
        </w:rPr>
        <w:t>市发展和改革委员会主任  王莉萍</w:t>
      </w:r>
    </w:p>
    <w:p>
      <w:pPr>
        <w:spacing w:line="580" w:lineRule="exact"/>
        <w:rPr>
          <w:rFonts w:ascii="Times New Roman" w:hAnsi="Times New Roman" w:eastAsia="仿宋_GB2312"/>
          <w:snapToGrid w:val="0"/>
          <w:sz w:val="32"/>
          <w:szCs w:val="32"/>
        </w:rPr>
      </w:pPr>
    </w:p>
    <w:p>
      <w:pPr>
        <w:spacing w:line="580" w:lineRule="exact"/>
        <w:rPr>
          <w:rFonts w:ascii="Times New Roman" w:hAnsi="Times New Roman" w:eastAsia="仿宋_GB2312"/>
          <w:snapToGrid w:val="0"/>
          <w:sz w:val="32"/>
          <w:szCs w:val="32"/>
        </w:rPr>
      </w:pPr>
    </w:p>
    <w:p>
      <w:pPr>
        <w:spacing w:line="580" w:lineRule="exact"/>
        <w:rPr>
          <w:rFonts w:ascii="Times New Roman" w:hAnsi="Times New Roman" w:eastAsia="仿宋_GB2312"/>
          <w:snapToGrid w:val="0"/>
          <w:sz w:val="32"/>
          <w:szCs w:val="32"/>
        </w:rPr>
      </w:pPr>
      <w:r>
        <w:rPr>
          <w:rFonts w:ascii="Times New Roman" w:hAnsi="Times New Roman" w:eastAsia="仿宋_GB2312"/>
          <w:snapToGrid w:val="0"/>
          <w:sz w:val="32"/>
          <w:szCs w:val="32"/>
        </w:rPr>
        <w:t>各位代表：</w:t>
      </w:r>
    </w:p>
    <w:p>
      <w:pPr>
        <w:spacing w:line="580" w:lineRule="exact"/>
        <w:ind w:firstLine="630"/>
        <w:rPr>
          <w:rFonts w:ascii="Times New Roman" w:hAnsi="Times New Roman" w:eastAsia="仿宋_GB2312"/>
          <w:snapToGrid w:val="0"/>
          <w:sz w:val="32"/>
          <w:szCs w:val="32"/>
        </w:rPr>
      </w:pPr>
      <w:r>
        <w:rPr>
          <w:rFonts w:ascii="Times New Roman" w:hAnsi="Times New Roman" w:eastAsia="仿宋_GB2312"/>
          <w:snapToGrid w:val="0"/>
          <w:sz w:val="32"/>
          <w:szCs w:val="32"/>
        </w:rPr>
        <w:t>我受市人民政府委托，向大会报告太仓市2020年国民经济和社会发展计划执行情况与2021年国民经济和社会发展计划草案，请予审议，并请市政协委员和其他列席人员提出意见。</w:t>
      </w:r>
    </w:p>
    <w:p>
      <w:pPr>
        <w:spacing w:line="580" w:lineRule="exact"/>
        <w:ind w:firstLine="630"/>
        <w:rPr>
          <w:rFonts w:ascii="Times New Roman" w:hAnsi="Times New Roman" w:eastAsia="黑体"/>
          <w:snapToGrid w:val="0"/>
          <w:sz w:val="32"/>
          <w:szCs w:val="32"/>
        </w:rPr>
      </w:pPr>
      <w:r>
        <w:rPr>
          <w:rFonts w:ascii="Times New Roman" w:hAnsi="Times New Roman" w:eastAsia="黑体"/>
          <w:snapToGrid w:val="0"/>
          <w:sz w:val="32"/>
          <w:szCs w:val="32"/>
        </w:rPr>
        <w:t>一、2020年全市国民经济和社会发展计划执行情况</w:t>
      </w:r>
    </w:p>
    <w:p>
      <w:pPr>
        <w:pStyle w:val="6"/>
        <w:widowControl/>
        <w:spacing w:line="580" w:lineRule="exact"/>
        <w:ind w:firstLine="640" w:firstLineChars="200"/>
        <w:jc w:val="both"/>
        <w:rPr>
          <w:rFonts w:ascii="Times New Roman" w:hAnsi="Times New Roman" w:eastAsia="仿宋_GB2312"/>
          <w:snapToGrid w:val="0"/>
          <w:sz w:val="32"/>
          <w:szCs w:val="32"/>
        </w:rPr>
      </w:pPr>
      <w:r>
        <w:rPr>
          <w:rFonts w:ascii="Times New Roman" w:hAnsi="Times New Roman" w:eastAsia="仿宋_GB2312"/>
          <w:snapToGrid w:val="0"/>
          <w:sz w:val="32"/>
          <w:szCs w:val="32"/>
        </w:rPr>
        <w:t>2020年，面对新冠肺炎疫情的严重冲击和复杂严峻的国内外环境，全市上下坚决贯彻落实上级决策部署，扎实做好“六稳”工作，全面落实“六保”任务，在危机中拼搏、在变局中奋进，全市</w:t>
      </w:r>
      <w:r>
        <w:rPr>
          <w:rFonts w:ascii="Times New Roman" w:hAnsi="Times New Roman" w:eastAsia="仿宋_GB2312"/>
          <w:sz w:val="32"/>
          <w:szCs w:val="32"/>
        </w:rPr>
        <w:t>经济快速复苏、稳中有进，社会大局和谐稳定，较好完成了人代会确定的主要目标。</w:t>
      </w:r>
      <w:r>
        <w:rPr>
          <w:rFonts w:ascii="Times New Roman" w:hAnsi="Times New Roman" w:eastAsia="仿宋_GB2312"/>
          <w:snapToGrid w:val="0"/>
          <w:sz w:val="32"/>
          <w:szCs w:val="32"/>
        </w:rPr>
        <w:t>位列全国县域经济综合竞争力百强县第六、</w:t>
      </w:r>
      <w:r>
        <w:rPr>
          <w:rFonts w:ascii="Times New Roman" w:hAnsi="Times New Roman" w:eastAsia="仿宋_GB2312"/>
          <w:sz w:val="32"/>
          <w:szCs w:val="32"/>
        </w:rPr>
        <w:t>中国县级市全面小康指数第三。成功创建全国文明城市。第九次获评中国最具幸福感城市，第五次位居县级市榜首。全年实现地</w:t>
      </w:r>
      <w:r>
        <w:rPr>
          <w:rFonts w:ascii="Times New Roman" w:hAnsi="Times New Roman" w:eastAsia="仿宋_GB2312"/>
          <w:snapToGrid w:val="0"/>
          <w:sz w:val="32"/>
          <w:szCs w:val="32"/>
        </w:rPr>
        <w:t>区生产总值1390亿元（预计数，下同），同比增长5%；完成一般公共预算</w:t>
      </w:r>
      <w:r>
        <w:rPr>
          <w:rFonts w:ascii="Times New Roman" w:hAnsi="Times New Roman" w:eastAsia="仿宋_GB2312"/>
          <w:snapToGrid w:val="0"/>
          <w:color w:val="000000" w:themeColor="text1"/>
          <w:sz w:val="32"/>
          <w:szCs w:val="32"/>
        </w:rPr>
        <w:t>收入171.12亿</w:t>
      </w:r>
      <w:r>
        <w:rPr>
          <w:rFonts w:ascii="Times New Roman" w:hAnsi="Times New Roman" w:eastAsia="仿宋_GB2312"/>
          <w:snapToGrid w:val="0"/>
          <w:sz w:val="32"/>
          <w:szCs w:val="32"/>
        </w:rPr>
        <w:t>元，同比增长5%。</w:t>
      </w:r>
    </w:p>
    <w:p>
      <w:pPr>
        <w:pStyle w:val="6"/>
        <w:widowControl/>
        <w:spacing w:line="580" w:lineRule="exact"/>
        <w:ind w:firstLine="640" w:firstLineChars="200"/>
        <w:jc w:val="both"/>
        <w:rPr>
          <w:rFonts w:ascii="Times New Roman" w:hAnsi="Times New Roman" w:eastAsia="仿宋_GB2312"/>
          <w:snapToGrid w:val="0"/>
          <w:sz w:val="32"/>
          <w:szCs w:val="32"/>
        </w:rPr>
      </w:pPr>
      <w:r>
        <w:rPr>
          <w:rFonts w:ascii="Times New Roman" w:hAnsi="Times New Roman" w:eastAsia="楷体_GB2312"/>
          <w:sz w:val="32"/>
          <w:szCs w:val="32"/>
        </w:rPr>
        <w:t>（一）坚持人民至上，疫情防控有力有效。</w:t>
      </w:r>
      <w:r>
        <w:rPr>
          <w:rFonts w:ascii="Times New Roman" w:hAnsi="Times New Roman" w:eastAsia="仿宋_GB2312"/>
          <w:b/>
          <w:sz w:val="32"/>
          <w:szCs w:val="32"/>
        </w:rPr>
        <w:t>疫情防控精准稳慎。</w:t>
      </w:r>
      <w:r>
        <w:rPr>
          <w:rFonts w:ascii="Times New Roman" w:hAnsi="Times New Roman" w:eastAsia="仿宋_GB2312"/>
          <w:snapToGrid w:val="0"/>
          <w:sz w:val="32"/>
          <w:szCs w:val="32"/>
        </w:rPr>
        <w:t>疫情发生以来，全市上下团结一心、严守防线，精准精细落实各项防控措施。</w:t>
      </w:r>
      <w:r>
        <w:rPr>
          <w:rFonts w:ascii="Times New Roman" w:hAnsi="Times New Roman" w:eastAsia="仿宋_GB2312"/>
          <w:snapToGrid w:val="0"/>
          <w:color w:val="000000" w:themeColor="text1"/>
          <w:sz w:val="32"/>
          <w:szCs w:val="32"/>
        </w:rPr>
        <w:t>实施集中隔离医学观察6000余人次，</w:t>
      </w:r>
      <w:r>
        <w:rPr>
          <w:rFonts w:ascii="Times New Roman" w:hAnsi="Times New Roman" w:eastAsia="仿宋_GB2312"/>
          <w:snapToGrid w:val="0"/>
          <w:sz w:val="32"/>
          <w:szCs w:val="32"/>
        </w:rPr>
        <w:t>除个别输入性病例外，无二代病例和聚集性疫情发生。</w:t>
      </w:r>
      <w:r>
        <w:rPr>
          <w:rFonts w:ascii="Times New Roman" w:hAnsi="Times New Roman" w:eastAsia="仿宋_GB2312"/>
          <w:sz w:val="32"/>
          <w:szCs w:val="32"/>
        </w:rPr>
        <w:t>42名医务人员圆满完成援鄂抗疫任务。</w:t>
      </w:r>
      <w:r>
        <w:rPr>
          <w:rFonts w:ascii="Times New Roman" w:hAnsi="Times New Roman" w:eastAsia="仿宋_GB2312"/>
          <w:b/>
          <w:sz w:val="32"/>
          <w:szCs w:val="32"/>
        </w:rPr>
        <w:t>物资保障高效有序。</w:t>
      </w:r>
      <w:r>
        <w:rPr>
          <w:rFonts w:ascii="Times New Roman" w:hAnsi="Times New Roman" w:eastAsia="仿宋_GB2312"/>
          <w:snapToGrid w:val="0"/>
          <w:sz w:val="32"/>
          <w:szCs w:val="32"/>
        </w:rPr>
        <w:t>强化产能动员和物资储备，累计发放口罩525万个、防护服6.8万套、测温仪3400个。肉禽蛋菜奶等食品市场供应和价格稳定。</w:t>
      </w:r>
      <w:r>
        <w:rPr>
          <w:rFonts w:ascii="Times New Roman" w:hAnsi="Times New Roman" w:eastAsia="仿宋_GB2312"/>
          <w:b/>
          <w:sz w:val="32"/>
          <w:szCs w:val="32"/>
        </w:rPr>
        <w:t>常态化防控紧抓不懈。</w:t>
      </w:r>
      <w:r>
        <w:rPr>
          <w:rFonts w:ascii="Times New Roman" w:hAnsi="Times New Roman" w:eastAsia="仿宋_GB2312"/>
          <w:snapToGrid w:val="0"/>
          <w:sz w:val="32"/>
          <w:szCs w:val="32"/>
        </w:rPr>
        <w:t>“苏城码（苏康码）”推广应用，“绿码+体温”测量通行制度严格执行。</w:t>
      </w:r>
      <w:r>
        <w:rPr>
          <w:rFonts w:ascii="Times New Roman" w:hAnsi="Times New Roman" w:eastAsia="仿宋_GB2312"/>
          <w:sz w:val="32"/>
          <w:szCs w:val="32"/>
        </w:rPr>
        <w:t>强化中、高风险地区来太人员管理，</w:t>
      </w:r>
      <w:r>
        <w:rPr>
          <w:rFonts w:ascii="Times New Roman" w:hAnsi="Times New Roman" w:eastAsia="仿宋_GB2312"/>
          <w:snapToGrid w:val="0"/>
          <w:sz w:val="32"/>
          <w:szCs w:val="32"/>
        </w:rPr>
        <w:t>秋冬季疫情防控措施严密落实</w:t>
      </w:r>
      <w:r>
        <w:rPr>
          <w:rFonts w:ascii="Times New Roman" w:hAnsi="Times New Roman" w:eastAsia="仿宋_GB2312"/>
          <w:sz w:val="32"/>
          <w:szCs w:val="32"/>
        </w:rPr>
        <w:t>。核酸检测能力持续提升，累计开展核酸检测15万余人次。</w:t>
      </w:r>
    </w:p>
    <w:p>
      <w:pPr>
        <w:spacing w:line="580" w:lineRule="exact"/>
        <w:ind w:firstLine="640"/>
        <w:rPr>
          <w:rFonts w:ascii="Times New Roman" w:hAnsi="Times New Roman" w:eastAsia="仿宋_GB2312"/>
          <w:sz w:val="32"/>
          <w:szCs w:val="32"/>
        </w:rPr>
      </w:pPr>
      <w:r>
        <w:rPr>
          <w:rFonts w:ascii="Times New Roman" w:hAnsi="Times New Roman" w:eastAsia="楷体_GB2312"/>
          <w:sz w:val="32"/>
          <w:szCs w:val="32"/>
        </w:rPr>
        <w:t>（二）坚持稳中求进，经济运行稳定向好。</w:t>
      </w:r>
      <w:r>
        <w:rPr>
          <w:rFonts w:ascii="Times New Roman" w:hAnsi="Times New Roman" w:eastAsia="仿宋_GB2312"/>
          <w:b/>
          <w:sz w:val="32"/>
          <w:szCs w:val="32"/>
        </w:rPr>
        <w:t>综合施策成效明显。</w:t>
      </w:r>
      <w:r>
        <w:rPr>
          <w:rFonts w:ascii="Times New Roman" w:hAnsi="Times New Roman" w:eastAsia="仿宋_GB2312"/>
          <w:sz w:val="32"/>
          <w:szCs w:val="32"/>
        </w:rPr>
        <w:t>第一时间出台实施太“惠”十二条等助企纾困系列政策，用战时手段调度经济运行，以非常之力落实“六稳”“六</w:t>
      </w:r>
      <w:r>
        <w:rPr>
          <w:rFonts w:ascii="Times New Roman" w:hAnsi="Times New Roman" w:eastAsia="仿宋_GB2312"/>
          <w:color w:val="000000" w:themeColor="text1"/>
          <w:sz w:val="32"/>
          <w:szCs w:val="32"/>
        </w:rPr>
        <w:t>保”，实施</w:t>
      </w:r>
      <w:r>
        <w:rPr>
          <w:rFonts w:ascii="Times New Roman" w:hAnsi="Times New Roman" w:eastAsia="仿宋_GB2312"/>
          <w:color w:val="000000" w:themeColor="text1"/>
          <w:spacing w:val="-4"/>
          <w:sz w:val="32"/>
          <w:szCs w:val="32"/>
        </w:rPr>
        <w:t>各类优惠和减税政策，</w:t>
      </w:r>
      <w:r>
        <w:rPr>
          <w:rFonts w:ascii="Times New Roman" w:hAnsi="Times New Roman" w:eastAsia="仿宋_GB2312"/>
          <w:color w:val="000000" w:themeColor="text1"/>
          <w:sz w:val="32"/>
          <w:szCs w:val="32"/>
        </w:rPr>
        <w:t>经济“基本</w:t>
      </w:r>
      <w:r>
        <w:rPr>
          <w:rFonts w:ascii="Times New Roman" w:hAnsi="Times New Roman" w:eastAsia="仿宋_GB2312"/>
          <w:sz w:val="32"/>
          <w:szCs w:val="32"/>
        </w:rPr>
        <w:t>盘”快速稳定</w:t>
      </w:r>
      <w:r>
        <w:rPr>
          <w:rFonts w:ascii="Times New Roman" w:hAnsi="Times New Roman" w:eastAsia="仿宋_GB2312"/>
          <w:color w:val="000000" w:themeColor="text1"/>
          <w:sz w:val="32"/>
          <w:szCs w:val="32"/>
        </w:rPr>
        <w:t>，主要经济指标实现恢复性增长。</w:t>
      </w:r>
      <w:r>
        <w:rPr>
          <w:rFonts w:ascii="Times New Roman" w:hAnsi="Times New Roman" w:eastAsia="仿宋_GB2312"/>
          <w:b/>
          <w:color w:val="000000" w:themeColor="text1"/>
          <w:sz w:val="32"/>
          <w:szCs w:val="32"/>
        </w:rPr>
        <w:t>工业经济加快复苏。</w:t>
      </w:r>
      <w:r>
        <w:rPr>
          <w:rFonts w:ascii="Times New Roman" w:hAnsi="Times New Roman" w:eastAsia="仿宋_GB2312"/>
          <w:color w:val="000000" w:themeColor="text1"/>
          <w:sz w:val="32"/>
          <w:szCs w:val="32"/>
        </w:rPr>
        <w:t>完成规模以上工业产值2505亿元，同比增长5.1%；其中高端装备制造、新材料、生物医药三大主导产业产值同比增长8.4%。</w:t>
      </w:r>
      <w:r>
        <w:rPr>
          <w:rFonts w:ascii="Times New Roman" w:hAnsi="Times New Roman" w:eastAsia="仿宋_GB2312"/>
          <w:color w:val="000000" w:themeColor="text1"/>
          <w:spacing w:val="-4"/>
          <w:sz w:val="32"/>
          <w:szCs w:val="32"/>
        </w:rPr>
        <w:t>新兴产业产值占规模</w:t>
      </w:r>
      <w:r>
        <w:rPr>
          <w:rFonts w:ascii="Times New Roman" w:hAnsi="Times New Roman" w:eastAsia="仿宋_GB2312"/>
          <w:spacing w:val="-4"/>
          <w:sz w:val="32"/>
          <w:szCs w:val="32"/>
        </w:rPr>
        <w:t>以上工业产值比重达58.2%。宝洁获评全球灯塔工厂，</w:t>
      </w:r>
      <w:r>
        <w:rPr>
          <w:rFonts w:ascii="Times New Roman" w:hAnsi="Times New Roman" w:eastAsia="仿宋_GB2312"/>
          <w:sz w:val="32"/>
          <w:szCs w:val="32"/>
        </w:rPr>
        <w:t>雅鹿入围中国民营企业500强。累计引进航空产业项目32个。航空航天产业发展峰会成功举办。新增省星级上云企业61家、示范智能车间7个。</w:t>
      </w:r>
      <w:r>
        <w:rPr>
          <w:rFonts w:ascii="Times New Roman" w:hAnsi="Times New Roman" w:eastAsia="仿宋_GB2312"/>
          <w:b/>
          <w:sz w:val="32"/>
          <w:szCs w:val="32"/>
        </w:rPr>
        <w:t>现代服务业提升发展。</w:t>
      </w:r>
      <w:r>
        <w:rPr>
          <w:rFonts w:ascii="Times New Roman" w:hAnsi="Times New Roman" w:eastAsia="仿宋_GB2312"/>
          <w:sz w:val="32"/>
          <w:szCs w:val="32"/>
        </w:rPr>
        <w:t>实现服务业增加值695亿元，占地区生产总值比重较上年提高1.6个百分点。完成社会消费品零售总额425亿元。物贸总部经济规模超1200亿元。新增总部企业3家。获评省级生产性服务业集聚示范区2家。举办旅游文化美食节、乡村旅游节等消费促进活动，“夜太美”品牌加快培育。</w:t>
      </w:r>
      <w:r>
        <w:rPr>
          <w:rFonts w:ascii="Times New Roman" w:hAnsi="Times New Roman" w:eastAsia="仿宋_GB2312"/>
          <w:b/>
          <w:sz w:val="32"/>
          <w:szCs w:val="32"/>
        </w:rPr>
        <w:t>现代农业提质增效。</w:t>
      </w:r>
      <w:r>
        <w:rPr>
          <w:rFonts w:ascii="Times New Roman" w:hAnsi="Times New Roman" w:eastAsia="仿宋_GB2312"/>
          <w:sz w:val="32"/>
          <w:szCs w:val="32"/>
        </w:rPr>
        <w:t>新增高标准农田4.2万亩，建成水稻绿色高质高效创建示范片6个。1.2万亩“菜篮子”工程蔬菜基地完成提档。新增国家级水产健康养殖示范场2家。万头规模猪场建成投运。收购稻谷6.6万吨、小麦4.1万吨。“太仓白蒜”“新毛芋艿”获评国家农产品地理标志。</w:t>
      </w:r>
      <w:r>
        <w:rPr>
          <w:rFonts w:ascii="Times New Roman" w:hAnsi="Times New Roman" w:eastAsia="仿宋_GB2312"/>
          <w:b/>
          <w:sz w:val="32"/>
          <w:szCs w:val="32"/>
        </w:rPr>
        <w:t>项目建设全面提速。</w:t>
      </w:r>
      <w:r>
        <w:rPr>
          <w:rFonts w:ascii="Times New Roman" w:hAnsi="Times New Roman" w:eastAsia="仿宋_GB2312"/>
          <w:sz w:val="32"/>
          <w:szCs w:val="32"/>
        </w:rPr>
        <w:t>完成全社会固定资产投资468亿元，同比增长16.2%；其中工业投资160亿元，同比增长25%。123个三级重点项目完成投资444.3亿元，其中省、苏州重点项目投资完成率分别达125%和128%。斯凯奇物流中心、沪工机器人等一批项目竣工投产。</w:t>
      </w:r>
    </w:p>
    <w:p>
      <w:pPr>
        <w:spacing w:line="580" w:lineRule="exact"/>
        <w:ind w:firstLine="640"/>
        <w:rPr>
          <w:rFonts w:ascii="Times New Roman" w:hAnsi="Times New Roman" w:eastAsia="仿宋_GB2312"/>
          <w:sz w:val="32"/>
          <w:szCs w:val="32"/>
        </w:rPr>
      </w:pPr>
      <w:r>
        <w:rPr>
          <w:rFonts w:ascii="Times New Roman" w:hAnsi="Times New Roman" w:eastAsia="楷体_GB2312"/>
          <w:sz w:val="32"/>
          <w:szCs w:val="32"/>
        </w:rPr>
        <w:t>（三）坚持改革创新，发展动力不断增强。</w:t>
      </w:r>
      <w:r>
        <w:rPr>
          <w:rFonts w:ascii="Times New Roman" w:hAnsi="Times New Roman" w:eastAsia="仿宋_GB2312"/>
          <w:b/>
          <w:sz w:val="32"/>
          <w:szCs w:val="32"/>
        </w:rPr>
        <w:t>重点改革持续深化。</w:t>
      </w:r>
      <w:r>
        <w:rPr>
          <w:rFonts w:ascii="Times New Roman" w:hAnsi="Times New Roman" w:eastAsia="仿宋_GB2312"/>
          <w:sz w:val="32"/>
          <w:szCs w:val="32"/>
        </w:rPr>
        <w:t>商事制度改革深入推进，基层整合审批服务执法力量改革顺利完成。改革城区城市管理领域财政事权。新增国家农业农村改革试验任务2项。推进</w:t>
      </w:r>
      <w:r>
        <w:rPr>
          <w:rFonts w:ascii="Times New Roman" w:hAnsi="Times New Roman" w:eastAsia="仿宋_GB2312"/>
          <w:spacing w:val="-4"/>
          <w:sz w:val="32"/>
          <w:szCs w:val="32"/>
        </w:rPr>
        <w:t>“三优三保”行动，盘活存量土地5875亩。40个重点地块完成拆迁“清零”，释放土地5000亩。</w:t>
      </w:r>
      <w:r>
        <w:rPr>
          <w:rFonts w:ascii="Times New Roman" w:hAnsi="Times New Roman" w:eastAsia="仿宋_GB2312"/>
          <w:b/>
          <w:sz w:val="32"/>
          <w:szCs w:val="32"/>
        </w:rPr>
        <w:t>营商环境持续优化。</w:t>
      </w:r>
      <w:r>
        <w:rPr>
          <w:rFonts w:ascii="Times New Roman" w:hAnsi="Times New Roman" w:eastAsia="仿宋_GB2312"/>
          <w:sz w:val="32"/>
          <w:szCs w:val="32"/>
        </w:rPr>
        <w:t>“太舒心”品牌影响力持续增强，</w:t>
      </w:r>
      <w:r>
        <w:rPr>
          <w:rFonts w:ascii="Times New Roman" w:hAnsi="Times New Roman" w:eastAsia="仿宋_GB2312"/>
          <w:spacing w:val="-4"/>
          <w:sz w:val="32"/>
          <w:szCs w:val="32"/>
        </w:rPr>
        <w:t>位列营商环境百强县第六、信用城市监测全国第五。</w:t>
      </w:r>
      <w:r>
        <w:rPr>
          <w:rFonts w:ascii="Times New Roman" w:hAnsi="Times New Roman" w:eastAsia="仿宋_GB2312"/>
          <w:sz w:val="32"/>
          <w:szCs w:val="32"/>
        </w:rPr>
        <w:t>“放管服”改革深入实施，“1120”改革实现常态化。全国首创土地出让“双信三即”模式，</w:t>
      </w:r>
      <w:r>
        <w:rPr>
          <w:rFonts w:ascii="Times New Roman" w:hAnsi="Times New Roman" w:eastAsia="仿宋_GB2312"/>
          <w:spacing w:val="-4"/>
          <w:sz w:val="32"/>
          <w:szCs w:val="32"/>
        </w:rPr>
        <w:t>工程建设项目审批“全链改革”获全国政务服务优秀案例奖。新增市场主体2.1万户。</w:t>
      </w:r>
      <w:r>
        <w:rPr>
          <w:rFonts w:ascii="Times New Roman" w:hAnsi="Times New Roman" w:eastAsia="仿宋_GB2312"/>
          <w:b/>
          <w:spacing w:val="-4"/>
          <w:sz w:val="32"/>
          <w:szCs w:val="32"/>
        </w:rPr>
        <w:t>创新能力持续增强。</w:t>
      </w:r>
      <w:r>
        <w:rPr>
          <w:rFonts w:ascii="Times New Roman" w:hAnsi="Times New Roman" w:eastAsia="仿宋_GB2312"/>
          <w:spacing w:val="-4"/>
          <w:sz w:val="32"/>
          <w:szCs w:val="32"/>
        </w:rPr>
        <w:t>全社会研发经费支出占地区生产总值比</w:t>
      </w:r>
      <w:r>
        <w:rPr>
          <w:rFonts w:ascii="Times New Roman" w:hAnsi="Times New Roman" w:eastAsia="仿宋_GB2312"/>
          <w:sz w:val="32"/>
          <w:szCs w:val="32"/>
        </w:rPr>
        <w:t>重3.34%。</w:t>
      </w:r>
      <w:r>
        <w:rPr>
          <w:rFonts w:ascii="Times New Roman" w:hAnsi="Times New Roman" w:eastAsia="仿宋_GB2312"/>
          <w:spacing w:val="-4"/>
          <w:sz w:val="32"/>
          <w:szCs w:val="32"/>
        </w:rPr>
        <w:t>净增高新技术企业240家，高新技术产业产值占规模以上工业产值比重达50%。新增省级企业研发机构11家。万人有效发明专利拥有量72件。</w:t>
      </w:r>
      <w:r>
        <w:rPr>
          <w:rFonts w:ascii="Times New Roman" w:hAnsi="Times New Roman" w:eastAsia="仿宋_GB2312"/>
          <w:sz w:val="32"/>
          <w:szCs w:val="32"/>
        </w:rPr>
        <w:t>贯龙获评国家级专精特新“小巨人”企业。康乃德入选苏州“独角兽”培育企业。</w:t>
      </w:r>
      <w:r>
        <w:rPr>
          <w:rFonts w:ascii="Times New Roman" w:hAnsi="Times New Roman" w:eastAsia="仿宋_GB2312"/>
          <w:spacing w:val="-4"/>
          <w:sz w:val="32"/>
          <w:szCs w:val="32"/>
        </w:rPr>
        <w:t>西北工业大学太仓长三角研究院获评省级新型研发机构。</w:t>
      </w:r>
      <w:r>
        <w:rPr>
          <w:rFonts w:ascii="Times New Roman" w:hAnsi="Times New Roman" w:eastAsia="仿宋_GB2312"/>
          <w:b/>
          <w:bCs/>
          <w:sz w:val="32"/>
          <w:szCs w:val="32"/>
        </w:rPr>
        <w:t>创新浓度持续提升。</w:t>
      </w:r>
      <w:r>
        <w:rPr>
          <w:rFonts w:ascii="Times New Roman" w:hAnsi="Times New Roman" w:eastAsia="仿宋_GB2312"/>
          <w:sz w:val="32"/>
          <w:szCs w:val="32"/>
        </w:rPr>
        <w:t>新增省级以上科创载体5个、省外国专家工作室3家。新增企业创新人才2.3万人，苏州市级以上领军人才35人。50亿元产业引导基金正式落地。高新区获批国家高新技术产业化基地、国家火炬汽车关键零部件特色产业基地。常态化举办民营企业家沙龙、“BEGI·N”金融沙龙等活动。</w:t>
      </w:r>
    </w:p>
    <w:p>
      <w:pPr>
        <w:spacing w:line="58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（四）坚持做亮特色，开放合作跨越发展。</w:t>
      </w:r>
      <w:r>
        <w:rPr>
          <w:rFonts w:ascii="Times New Roman" w:hAnsi="Times New Roman" w:eastAsia="仿宋_GB2312"/>
          <w:b/>
          <w:sz w:val="32"/>
          <w:szCs w:val="32"/>
        </w:rPr>
        <w:t>融入上海实现突破。</w:t>
      </w:r>
      <w:r>
        <w:rPr>
          <w:rFonts w:ascii="Times New Roman" w:hAnsi="Times New Roman" w:eastAsia="仿宋_GB2312"/>
          <w:sz w:val="32"/>
          <w:szCs w:val="32"/>
        </w:rPr>
        <w:t>沪苏通铁路一期正式通车，上海嘉闵线确定延伸至太仓。岳鹿路对接嘉定城北路全线贯通。引进上海项目182个，新增注册资本50亿元，同比增长13.8%。嘉昆太科技产业园核心园引进产业项目超40个。嘉昆太社会信用体系持续共建。与上海异地就医划卡结算范围实现新拓展。沪太协同发展推介会等活动成功举办。</w:t>
      </w:r>
      <w:r>
        <w:rPr>
          <w:rFonts w:ascii="Times New Roman" w:hAnsi="Times New Roman" w:eastAsia="仿宋_GB2312"/>
          <w:b/>
          <w:sz w:val="32"/>
          <w:szCs w:val="32"/>
        </w:rPr>
        <w:t>对德合作成效显著。</w:t>
      </w:r>
      <w:r>
        <w:rPr>
          <w:rFonts w:ascii="Times New Roman" w:hAnsi="Times New Roman" w:eastAsia="仿宋_GB2312"/>
          <w:sz w:val="32"/>
          <w:szCs w:val="32"/>
        </w:rPr>
        <w:t>引进德资项目32个，新增注册资本1.67亿美元，同比增长47.6%。德国中心二期、中德智能制造联合创新中心正式投用，太仓（斯图加特）海外离岸孵化创新中心揭牌运营。全国首个“双元制”职业教育领域标准正式发布。中德智能制造峰会、中德中小企业合作论坛等活动顺利举办。</w:t>
      </w:r>
      <w:r>
        <w:rPr>
          <w:rFonts w:ascii="Times New Roman" w:hAnsi="Times New Roman" w:eastAsia="仿宋_GB2312"/>
          <w:b/>
          <w:sz w:val="32"/>
          <w:szCs w:val="32"/>
        </w:rPr>
        <w:t>以港强市深入推进。</w:t>
      </w:r>
      <w:r>
        <w:rPr>
          <w:rFonts w:ascii="Times New Roman" w:hAnsi="Times New Roman" w:eastAsia="仿宋_GB2312"/>
          <w:sz w:val="32"/>
          <w:szCs w:val="32"/>
        </w:rPr>
        <w:t>太仓港完成集装箱吞吐量521万标箱、货物吞吐量2.16亿吨。获评全省唯一港口型国家物流枢纽。“沪太通关一体化”全面落地。太仓港综保区获批一般纳税人资格试点。集装箱码头四期工程交工验收，疏港铁路加快建设。</w:t>
      </w:r>
      <w:r>
        <w:rPr>
          <w:rFonts w:ascii="Times New Roman" w:hAnsi="Times New Roman" w:eastAsia="仿宋_GB2312"/>
          <w:b/>
          <w:sz w:val="32"/>
          <w:szCs w:val="32"/>
        </w:rPr>
        <w:t>开放型经济再上台阶。</w:t>
      </w:r>
      <w:r>
        <w:rPr>
          <w:rFonts w:ascii="Times New Roman" w:hAnsi="Times New Roman" w:eastAsia="仿宋_GB2312"/>
          <w:sz w:val="32"/>
          <w:szCs w:val="32"/>
        </w:rPr>
        <w:t>创新招商机制，上线投资热力图、云招商平台。新增内资注册资本290亿元，同比增长27.3%。完成注册外资19.46亿美元</w:t>
      </w:r>
      <w:r>
        <w:rPr>
          <w:rFonts w:hint="eastAsia" w:ascii="Times New Roman" w:hAnsi="Times New Roman" w:eastAsia="仿宋_GB2312"/>
          <w:sz w:val="32"/>
          <w:szCs w:val="32"/>
        </w:rPr>
        <w:t>、</w:t>
      </w:r>
      <w:r>
        <w:rPr>
          <w:rFonts w:ascii="Times New Roman" w:hAnsi="Times New Roman" w:eastAsia="仿宋_GB2312"/>
          <w:sz w:val="32"/>
          <w:szCs w:val="32"/>
        </w:rPr>
        <w:t>实际使用外资8.2亿美元，</w:t>
      </w:r>
      <w:r>
        <w:rPr>
          <w:rFonts w:hint="eastAsia" w:ascii="Times New Roman" w:hAnsi="Times New Roman" w:eastAsia="仿宋_GB2312"/>
          <w:sz w:val="32"/>
          <w:szCs w:val="32"/>
        </w:rPr>
        <w:t>均</w:t>
      </w:r>
      <w:r>
        <w:rPr>
          <w:rFonts w:ascii="Times New Roman" w:hAnsi="Times New Roman" w:eastAsia="仿宋_GB2312"/>
          <w:sz w:val="32"/>
          <w:szCs w:val="32"/>
        </w:rPr>
        <w:t>创历史新高。实现进出口总额132亿美元。固瑞特获评省级跨国公司地区总部。金秋经贸月等活动成功举办。</w:t>
      </w:r>
    </w:p>
    <w:p>
      <w:pPr>
        <w:adjustRightInd w:val="0"/>
        <w:snapToGrid w:val="0"/>
        <w:spacing w:line="580" w:lineRule="exact"/>
        <w:ind w:firstLine="640" w:firstLineChars="200"/>
        <w:rPr>
          <w:rFonts w:ascii="Times New Roman" w:hAnsi="Times New Roman" w:eastAsia="仿宋_GB2312"/>
          <w:b/>
          <w:sz w:val="32"/>
          <w:szCs w:val="32"/>
        </w:rPr>
      </w:pPr>
      <w:r>
        <w:rPr>
          <w:rFonts w:ascii="Times New Roman" w:hAnsi="Times New Roman" w:eastAsia="楷体_GB2312"/>
          <w:sz w:val="32"/>
          <w:szCs w:val="32"/>
        </w:rPr>
        <w:t>（五）坚持统筹发展，城市品质改善提升。</w:t>
      </w:r>
      <w:r>
        <w:rPr>
          <w:rFonts w:ascii="Times New Roman" w:hAnsi="Times New Roman" w:eastAsia="仿宋_GB2312"/>
          <w:b/>
          <w:sz w:val="32"/>
          <w:szCs w:val="32"/>
        </w:rPr>
        <w:t>城乡建设加快推进。</w:t>
      </w:r>
      <w:r>
        <w:rPr>
          <w:rFonts w:ascii="Times New Roman" w:hAnsi="Times New Roman" w:eastAsia="仿宋_GB2312"/>
          <w:sz w:val="32"/>
          <w:szCs w:val="32"/>
        </w:rPr>
        <w:t>2035国土空间总体规划、娄江新城“1+5+N”规划加快编制，片区控规实现全覆盖</w:t>
      </w:r>
      <w:r>
        <w:rPr>
          <w:rFonts w:ascii="Times New Roman" w:hAnsi="Times New Roman" w:eastAsia="仿宋_GB2312"/>
          <w:kern w:val="0"/>
          <w:sz w:val="32"/>
          <w:szCs w:val="32"/>
        </w:rPr>
        <w:t>。西工大太仓校区一期全面封顶，西交利物浦大学太仓校区宿舍区封顶、教学区开工建设。</w:t>
      </w:r>
      <w:r>
        <w:rPr>
          <w:rFonts w:ascii="Times New Roman" w:hAnsi="Times New Roman" w:eastAsia="仿宋_GB2312"/>
          <w:sz w:val="32"/>
          <w:szCs w:val="32"/>
        </w:rPr>
        <w:t>南沿江铁路加快建设，太浏快速路全线贯通。十八港北段治理工程完工，3座生活污水处理厂扩建及提标改造工程竣工。重大电力工程项目有序推进。</w:t>
      </w:r>
      <w:r>
        <w:rPr>
          <w:rFonts w:ascii="Times New Roman" w:hAnsi="Times New Roman" w:eastAsia="仿宋_GB2312"/>
          <w:b/>
          <w:sz w:val="32"/>
          <w:szCs w:val="32"/>
        </w:rPr>
        <w:t>城市管理更加精细。</w:t>
      </w:r>
      <w:r>
        <w:rPr>
          <w:rFonts w:ascii="Times New Roman" w:hAnsi="Times New Roman" w:eastAsia="仿宋_GB2312"/>
          <w:sz w:val="32"/>
          <w:szCs w:val="32"/>
        </w:rPr>
        <w:t>获评国家级节水型社会建设达标县。城区9条背街小巷提档升级，12个农贸市场完成改造。实施“百万”拆违攻坚行动。生活垃圾分类“三定一督”实现全覆盖，再生资源综合利用项目、建筑垃圾资源化利用项目开工建设。新改建公厕77座。建成5G基站1200个。新增停车泊位2.4万个、纯电动公交车55辆。</w:t>
      </w:r>
      <w:r>
        <w:rPr>
          <w:rFonts w:ascii="Times New Roman" w:hAnsi="Times New Roman" w:eastAsia="仿宋_GB2312"/>
          <w:b/>
          <w:sz w:val="32"/>
          <w:szCs w:val="32"/>
        </w:rPr>
        <w:t>环境质量持续改善。</w:t>
      </w:r>
      <w:r>
        <w:rPr>
          <w:rFonts w:ascii="Times New Roman" w:hAnsi="Times New Roman" w:eastAsia="仿宋_GB2312"/>
          <w:sz w:val="32"/>
          <w:szCs w:val="32"/>
        </w:rPr>
        <w:t>获评国家生态文明建设示范市。空气质量优良天数比例85.2%，PM</w:t>
      </w:r>
      <w:r>
        <w:rPr>
          <w:rFonts w:ascii="Times New Roman" w:hAnsi="Times New Roman" w:eastAsia="仿宋_GB2312"/>
          <w:sz w:val="32"/>
          <w:szCs w:val="32"/>
          <w:vertAlign w:val="subscript"/>
        </w:rPr>
        <w:t>2.5</w:t>
      </w:r>
      <w:r>
        <w:rPr>
          <w:rFonts w:ascii="Times New Roman" w:hAnsi="Times New Roman" w:eastAsia="仿宋_GB2312"/>
          <w:sz w:val="32"/>
          <w:szCs w:val="32"/>
        </w:rPr>
        <w:t>年均浓度26微克/立方米，地表水国省考断面达到或优于Ⅲ类比例100%。长江岸线清理整治任务全面完成，长江流域禁捕退捕工作全面落实。成片造林2205亩。新增省特色田园乡村4个、苏州康居特色村2个、三星级康居乡村68个。获评全国村庄清洁行动先进县。</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（六）坚持普惠共享，民生福祉持续增进。</w:t>
      </w:r>
      <w:r>
        <w:rPr>
          <w:rFonts w:ascii="Times New Roman" w:hAnsi="Times New Roman" w:eastAsia="仿宋_GB2312"/>
          <w:b/>
          <w:sz w:val="32"/>
          <w:szCs w:val="32"/>
        </w:rPr>
        <w:t>民生保障不断增强。</w:t>
      </w:r>
      <w:r>
        <w:rPr>
          <w:rFonts w:ascii="Times New Roman" w:hAnsi="Times New Roman" w:eastAsia="仿宋_GB2312"/>
          <w:sz w:val="32"/>
          <w:szCs w:val="32"/>
        </w:rPr>
        <w:t>居民人均可支配收入60150元，同比增长5.6%。城镇新增就业1.3万人，登记失业率1.77%。低保标准提高至每人每月1045元，发放各类生活救助金、慰问金（物资）7000万元。科教新城、双凤养老机构揭牌启用，新改建日间照料服务中心20家。新开工保障性安居工程1947套，基本建成1529套。助力玉屏、周至巩固脱贫攻坚成果。</w:t>
      </w:r>
      <w:r>
        <w:rPr>
          <w:rFonts w:ascii="Times New Roman" w:hAnsi="Times New Roman" w:eastAsia="仿宋_GB2312"/>
          <w:sz w:val="32"/>
          <w:szCs w:val="32"/>
          <w:lang w:val="zh-CN"/>
        </w:rPr>
        <w:t>蝉联全国双拥模范城。</w:t>
      </w:r>
      <w:r>
        <w:rPr>
          <w:rFonts w:ascii="Times New Roman" w:hAnsi="Times New Roman" w:eastAsia="仿宋_GB2312"/>
          <w:b/>
          <w:sz w:val="32"/>
          <w:szCs w:val="32"/>
        </w:rPr>
        <w:t>公共服务优质均衡。</w:t>
      </w:r>
      <w:r>
        <w:rPr>
          <w:rFonts w:ascii="Times New Roman" w:hAnsi="Times New Roman" w:eastAsia="仿宋_GB2312"/>
          <w:sz w:val="32"/>
          <w:szCs w:val="32"/>
        </w:rPr>
        <w:t>8大类22项政府实事工程有序推进。获评首批省义务教育优质均衡发展县（市、区）。8项学校新改扩建工程投用，16项学校新改扩建工程开工。</w:t>
      </w:r>
      <w:r>
        <w:rPr>
          <w:rFonts w:ascii="Times New Roman" w:hAnsi="Times New Roman" w:eastAsia="仿宋_GB2312"/>
          <w:spacing w:val="-4"/>
          <w:sz w:val="32"/>
          <w:szCs w:val="32"/>
        </w:rPr>
        <w:t>市美术馆新馆加快建设，</w:t>
      </w:r>
      <w:r>
        <w:rPr>
          <w:rFonts w:ascii="Times New Roman" w:hAnsi="Times New Roman" w:eastAsia="仿宋_GB2312"/>
          <w:sz w:val="32"/>
          <w:szCs w:val="32"/>
        </w:rPr>
        <w:t>娄东园林展示馆建成开放。位列全国健康城市建设示范市县级市第四位。建成市公共卫生中心，港区医院开工建设</w:t>
      </w:r>
      <w:r>
        <w:rPr>
          <w:rFonts w:ascii="Times New Roman" w:hAnsi="Times New Roman" w:eastAsia="仿宋_GB2312"/>
          <w:spacing w:val="-4"/>
          <w:sz w:val="32"/>
          <w:szCs w:val="32"/>
        </w:rPr>
        <w:t>。</w:t>
      </w:r>
      <w:r>
        <w:rPr>
          <w:rFonts w:ascii="Times New Roman" w:hAnsi="Times New Roman" w:eastAsia="仿宋_GB2312"/>
          <w:b/>
          <w:sz w:val="32"/>
          <w:szCs w:val="32"/>
        </w:rPr>
        <w:t>社会治理巩固提升。</w:t>
      </w:r>
      <w:r>
        <w:rPr>
          <w:rFonts w:ascii="Times New Roman" w:hAnsi="Times New Roman" w:eastAsia="仿宋_GB2312"/>
          <w:sz w:val="32"/>
          <w:szCs w:val="32"/>
        </w:rPr>
        <w:t>“发展型”幸福社区建设获评省基层社会治理创新成果奖。风险防控“四项机制”试点工作扎实开展，扫黑除恶工作长效机制健全完善。“大数据+网格化+铁脚板”工作模式全面推广。“1+26+1”</w:t>
      </w:r>
      <w:r>
        <w:rPr>
          <w:rFonts w:ascii="Times New Roman" w:hAnsi="Times New Roman" w:eastAsia="仿宋_GB2312"/>
          <w:sz w:val="32"/>
          <w:szCs w:val="36"/>
        </w:rPr>
        <w:t>安全生产专项整治行动深入开展，</w:t>
      </w:r>
      <w:r>
        <w:rPr>
          <w:rFonts w:ascii="Times New Roman" w:hAnsi="Times New Roman" w:eastAsia="仿宋_GB2312"/>
          <w:sz w:val="32"/>
          <w:szCs w:val="32"/>
        </w:rPr>
        <w:t>生产安全事故起数下降75.5%、死亡人数下降68.4%。</w:t>
      </w:r>
    </w:p>
    <w:p>
      <w:pPr>
        <w:spacing w:line="580" w:lineRule="exact"/>
        <w:ind w:firstLine="627" w:firstLineChars="196"/>
        <w:rPr>
          <w:rFonts w:ascii="Times New Roman" w:hAnsi="Times New Roman" w:eastAsia="仿宋_GB2312"/>
          <w:bCs/>
          <w:sz w:val="32"/>
          <w:szCs w:val="32"/>
        </w:rPr>
      </w:pPr>
      <w:r>
        <w:rPr>
          <w:rFonts w:ascii="Times New Roman" w:hAnsi="Times New Roman" w:eastAsia="仿宋_GB2312"/>
          <w:sz w:val="32"/>
          <w:szCs w:val="32"/>
        </w:rPr>
        <w:t>2020年我市经济社会发展经受住了严峻考验，主要指标完成或超额完成年度目标任务。但必须看到，</w:t>
      </w:r>
      <w:r>
        <w:rPr>
          <w:rFonts w:ascii="Times New Roman" w:hAnsi="Times New Roman" w:eastAsia="仿宋_GB2312"/>
          <w:bCs/>
          <w:sz w:val="32"/>
          <w:szCs w:val="32"/>
        </w:rPr>
        <w:t>疫情变化和外部环境存在诸多不确定性，常态化疫情防控任务仍然繁重，实体经济面临诸多挑战。此外，产业转型步伐有待加快，创新能力仍需加强；生态保护、安全生产的任务还很重；教育、医疗、养老等领域的优质公共服务供给与人民</w:t>
      </w:r>
      <w:r>
        <w:rPr>
          <w:rFonts w:ascii="Times New Roman" w:hAnsi="Times New Roman" w:eastAsia="仿宋_GB2312"/>
          <w:sz w:val="32"/>
          <w:szCs w:val="32"/>
        </w:rPr>
        <w:t>日益增长的美好生活需要</w:t>
      </w:r>
      <w:r>
        <w:rPr>
          <w:rFonts w:ascii="Times New Roman" w:hAnsi="Times New Roman" w:eastAsia="仿宋_GB2312"/>
          <w:bCs/>
          <w:sz w:val="32"/>
          <w:szCs w:val="32"/>
        </w:rPr>
        <w:t>还有差距。</w:t>
      </w:r>
      <w:r>
        <w:rPr>
          <w:rFonts w:ascii="Times New Roman" w:hAnsi="Times New Roman" w:eastAsia="仿宋_GB2312"/>
          <w:sz w:val="32"/>
          <w:szCs w:val="32"/>
        </w:rPr>
        <w:t>对此，我们必须采取有力措施切实加以解决。</w:t>
      </w:r>
    </w:p>
    <w:p>
      <w:pPr>
        <w:spacing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二、2021年国民经济和社会发展主要预期目标建议</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（一）2021年计划安排的指导思想和主要预期目标</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2021年是“十四五”的开局之年，是现代化建设进程中具有特殊重要性的一年，也是中国共产党建党一百周年，做好2021年工作意义尤其重大。</w:t>
      </w:r>
      <w:r>
        <w:rPr>
          <w:rFonts w:ascii="Times New Roman" w:hAnsi="Times New Roman" w:eastAsia="仿宋_GB2312"/>
          <w:b/>
          <w:sz w:val="32"/>
          <w:szCs w:val="32"/>
        </w:rPr>
        <w:t>我市国民经济和社会发展安排的指导思想是：</w:t>
      </w:r>
      <w:r>
        <w:rPr>
          <w:rFonts w:ascii="Times New Roman" w:hAnsi="Times New Roman" w:eastAsia="仿宋_GB2312"/>
          <w:sz w:val="32"/>
          <w:szCs w:val="32"/>
        </w:rPr>
        <w:t>以习近平新时代中国特色社会主义思想为指导，全面贯彻党的十九大和十九届二中、三中、四中、五中全会精神，着眼“争当表率、争做示范、走在前列”，紧扣“现代田园城、幸福金太仓”和高质量建设“两地两城”目标定位，坚持稳中求进工作总基调，立足新发展阶段，贯彻新发展理念，融入新发展格局，以推动高质量发展为主题，以深化供给侧结构性改革为主线，以改革创新为根本动力，以满足人民日益增长的美好生活需要为根本目的，巩固拓展疫情防控和经济社会发展成果，扎实做好“六稳”工作、全面落实“六保”任务，做优新时期对外开放“三篇文章”，统筹推进稳增长、抓创新、扩内需、惠民生、保安全等各项工作，聚力打造苏州对接上海重要枢纽门户城市，确保“十四五”开好局、全面建设社会主义现代化起好步。</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2021年国民经济和社会发展主要目标建议：</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地区生产总值增长6%以上</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一般公共预算收入增长6%左右</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全社会固定资产投资增长15%以上</w:t>
      </w:r>
    </w:p>
    <w:p>
      <w:pPr>
        <w:spacing w:line="580" w:lineRule="exact"/>
        <w:ind w:firstLine="640" w:firstLineChars="20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新兴产业产值占规模以上工业产值比重提高1个百分点</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ascii="Times New Roman" w:hAnsi="Times New Roman" w:eastAsia="仿宋_GB2312"/>
          <w:sz w:val="32"/>
          <w:szCs w:val="32"/>
        </w:rPr>
        <w:t>高新技术产业产值占规模以上工业产值比重提高1个百分点</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全社会研发经费支出占地区生产总值比重3.6%</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进出口总额保持稳定</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社会消费品零售总额增长8%左右</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居民人均可支配收入增速高于地区生产总值增速</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城镇登记失业率控制在2.5%以内</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PM</w:t>
      </w:r>
      <w:r>
        <w:rPr>
          <w:rFonts w:ascii="Times New Roman" w:hAnsi="Times New Roman" w:eastAsia="仿宋_GB2312"/>
          <w:sz w:val="32"/>
          <w:szCs w:val="32"/>
          <w:vertAlign w:val="subscript"/>
        </w:rPr>
        <w:t>2.5</w:t>
      </w:r>
      <w:r>
        <w:rPr>
          <w:rFonts w:ascii="Times New Roman" w:hAnsi="Times New Roman" w:eastAsia="仿宋_GB2312"/>
          <w:sz w:val="32"/>
          <w:szCs w:val="32"/>
        </w:rPr>
        <w:t>年均浓度完成苏州下达任务</w:t>
      </w:r>
    </w:p>
    <w:p>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——水域功能区达标率完成苏州下达任务</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单位地区生产总值能耗下降率完成苏州下达任务</w:t>
      </w:r>
    </w:p>
    <w:p>
      <w:pPr>
        <w:spacing w:line="580" w:lineRule="exact"/>
        <w:ind w:firstLine="640"/>
        <w:rPr>
          <w:rFonts w:ascii="Times New Roman" w:hAnsi="Times New Roman" w:eastAsia="仿宋_GB2312"/>
          <w:sz w:val="32"/>
          <w:szCs w:val="32"/>
        </w:rPr>
      </w:pPr>
      <w:r>
        <w:rPr>
          <w:rFonts w:ascii="Times New Roman" w:hAnsi="Times New Roman" w:eastAsia="方正仿宋简体"/>
          <w:sz w:val="32"/>
          <w:szCs w:val="32"/>
        </w:rPr>
        <w:t>——</w:t>
      </w:r>
      <w:r>
        <w:rPr>
          <w:rFonts w:ascii="Times New Roman" w:hAnsi="Times New Roman" w:eastAsia="仿宋_GB2312"/>
          <w:sz w:val="32"/>
          <w:szCs w:val="32"/>
        </w:rPr>
        <w:t>生产安全事故起数和死亡人数持续双下降</w:t>
      </w:r>
    </w:p>
    <w:p>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（二）2021年主要预期目标说明</w:t>
      </w:r>
    </w:p>
    <w:p>
      <w:pPr>
        <w:spacing w:line="580" w:lineRule="exact"/>
        <w:ind w:firstLine="630"/>
        <w:rPr>
          <w:rFonts w:ascii="Times New Roman" w:hAnsi="Times New Roman" w:eastAsia="仿宋_GB2312"/>
          <w:sz w:val="32"/>
          <w:szCs w:val="32"/>
        </w:rPr>
      </w:pPr>
      <w:r>
        <w:rPr>
          <w:rFonts w:ascii="Times New Roman" w:hAnsi="Times New Roman" w:eastAsiaTheme="minorEastAsia"/>
          <w:b/>
          <w:sz w:val="32"/>
          <w:szCs w:val="32"/>
        </w:rPr>
        <w:t>关于经济高质量发展。</w:t>
      </w:r>
      <w:r>
        <w:rPr>
          <w:rFonts w:ascii="Times New Roman" w:hAnsi="Times New Roman" w:eastAsia="仿宋_GB2312"/>
          <w:b/>
          <w:sz w:val="32"/>
          <w:szCs w:val="32"/>
        </w:rPr>
        <w:t>从国际看，</w:t>
      </w:r>
      <w:r>
        <w:rPr>
          <w:rFonts w:ascii="Times New Roman" w:hAnsi="Times New Roman" w:eastAsia="仿宋_GB2312"/>
          <w:sz w:val="32"/>
          <w:szCs w:val="32"/>
        </w:rPr>
        <w:t>世界经济复苏充满不确定性不稳定性，国际货币基金组织和经合组织预测2021年多数经济体产出仍将低于疫情前水平，美国对我国的打压手段向多领域延伸。但经济全球化趋势不可逆转，RCEP成功签署，中欧投资协定完成谈判，国际贸易投资关系重塑企稳。</w:t>
      </w:r>
      <w:r>
        <w:rPr>
          <w:rFonts w:ascii="Times New Roman" w:hAnsi="Times New Roman" w:eastAsia="仿宋_GB2312"/>
          <w:b/>
          <w:sz w:val="32"/>
          <w:szCs w:val="32"/>
        </w:rPr>
        <w:t>从国内看，</w:t>
      </w:r>
      <w:r>
        <w:rPr>
          <w:rFonts w:ascii="Times New Roman" w:hAnsi="Times New Roman" w:eastAsia="仿宋_GB2312"/>
          <w:sz w:val="32"/>
          <w:szCs w:val="32"/>
        </w:rPr>
        <w:t>我国经济持续复苏、形势向好，发展韧性强劲，社会大局稳定，加之我国独特的政治和制度优势，为保持经济稳定恢复、稳中向好创造了多方面的良好条件。习近平总书记赋予了长江经济带、长三角地区新的战略定位，对江苏提出了“</w:t>
      </w:r>
      <w:r>
        <w:rPr>
          <w:rFonts w:hint="eastAsia" w:ascii="Times New Roman" w:hAnsi="Times New Roman" w:eastAsia="仿宋_GB2312"/>
          <w:sz w:val="32"/>
          <w:szCs w:val="32"/>
        </w:rPr>
        <w:t>争当表率、争做示范、走在前列</w:t>
      </w:r>
      <w:bookmarkStart w:id="0" w:name="_GoBack"/>
      <w:bookmarkEnd w:id="0"/>
      <w:r>
        <w:rPr>
          <w:rFonts w:ascii="Times New Roman" w:hAnsi="Times New Roman" w:eastAsia="仿宋_GB2312"/>
          <w:sz w:val="32"/>
          <w:szCs w:val="32"/>
        </w:rPr>
        <w:t>”重要指示，必将引领我省高质量发展继续走在前列。</w:t>
      </w:r>
      <w:r>
        <w:rPr>
          <w:rFonts w:ascii="Times New Roman" w:hAnsi="Times New Roman" w:eastAsia="仿宋_GB2312"/>
          <w:b/>
          <w:sz w:val="32"/>
          <w:szCs w:val="32"/>
        </w:rPr>
        <w:t>从我市看，</w:t>
      </w:r>
      <w:r>
        <w:rPr>
          <w:rFonts w:ascii="Times New Roman" w:hAnsi="Times New Roman" w:eastAsia="仿宋_GB2312"/>
          <w:sz w:val="32"/>
          <w:szCs w:val="32"/>
        </w:rPr>
        <w:t>长三角一体化等国家战略机遇交汇叠加，“5+1”铁路网络构建完善，娄江新城建设全面推进，“两校两院”等创新要素加速集聚，太仓正处在势能变动能、优势变胜势的黄金发展期。我们要准确把握新任务新使命，抓住机遇，应对挑战，推动高质量发展继续走在全国全省前列。因此，拟将2021年地区生产总值目标定为增长6%以上，一般公共预算收入目标定为增长6%左右。为此，要坚持把经济发展的着力点放在实体经济上，紧扣“11155”产业发展目标，做大做优高端装备制造、新材料、物贸总部经济三个千亿级产业，重点培育生物医药、航空两个五百亿级产业。推动产业数字化智能化转型，加快培育一批智能化改造标杆企业，打造一批工业互联网示范企业。大力发展生产性服务业，推动企业从“生产型制造”向“服务型制造”转变，促进两业融合发展。</w:t>
      </w:r>
    </w:p>
    <w:p>
      <w:pPr>
        <w:spacing w:line="580" w:lineRule="exact"/>
        <w:ind w:firstLine="643" w:firstLineChars="200"/>
        <w:rPr>
          <w:rFonts w:ascii="Times New Roman" w:hAnsi="Times New Roman" w:eastAsia="仿宋_GB2312"/>
          <w:sz w:val="32"/>
          <w:szCs w:val="32"/>
        </w:rPr>
      </w:pPr>
      <w:r>
        <w:rPr>
          <w:rFonts w:ascii="Times New Roman" w:hAnsi="Times New Roman" w:eastAsiaTheme="minorEastAsia"/>
          <w:b/>
          <w:sz w:val="32"/>
          <w:szCs w:val="32"/>
        </w:rPr>
        <w:t>关于创新驱动。</w:t>
      </w:r>
      <w:r>
        <w:rPr>
          <w:rFonts w:ascii="Times New Roman" w:hAnsi="Times New Roman" w:eastAsia="仿宋_GB2312"/>
          <w:sz w:val="32"/>
          <w:szCs w:val="32"/>
        </w:rPr>
        <w:t>我市正迈入向“创新驱动”转型的关键时期，必须大力促进科技成果向现实生产力转化，显著提升经济社会发展的科技含量。拟将2021年全社会研发经费支出占地区生产总值比重目标定为3.6%，新兴产业产值占规模以上工业产值比重、高新技术产业产值占规模以上工业产值比重目标均定为较上年提高1个百分点。要强化企业创新主体地位，加快培育康乃德等独角兽企业、瞪羚企业，着力打造以高新技术企业为主体的创新型企业集群，力争净增高新技术企业200家。推进西北工业大学和西交利物浦大学太仓校区建设，提升西北工业大学太仓长三角研究院和中科院上海硅酸盐研究所苏州研究院等“大院大所”影响力。推动高新区创建国家级高新区，加快太仓港科创园等科创载体建设。积极对接上海科创中心建设，引进更多跨行业跨领域平台落户太仓。</w:t>
      </w:r>
    </w:p>
    <w:p>
      <w:pPr>
        <w:spacing w:line="580" w:lineRule="exact"/>
        <w:ind w:firstLine="630"/>
        <w:rPr>
          <w:rFonts w:ascii="Times New Roman" w:hAnsi="Times New Roman" w:eastAsia="仿宋_GB2312"/>
          <w:sz w:val="32"/>
          <w:szCs w:val="32"/>
        </w:rPr>
      </w:pPr>
      <w:r>
        <w:rPr>
          <w:rFonts w:ascii="Times New Roman" w:hAnsi="Times New Roman" w:eastAsiaTheme="minorEastAsia"/>
          <w:b/>
          <w:sz w:val="32"/>
          <w:szCs w:val="32"/>
        </w:rPr>
        <w:t>关于扩大内需。</w:t>
      </w:r>
      <w:r>
        <w:rPr>
          <w:rFonts w:ascii="Times New Roman" w:hAnsi="Times New Roman" w:eastAsia="仿宋_GB2312"/>
          <w:sz w:val="32"/>
          <w:szCs w:val="32"/>
        </w:rPr>
        <w:t>坚持扩大内需这个战略基点，必须注重需求侧管理，打通堵点，补齐短板，夯实畅通经济循环和增强经济韧性的基石。</w:t>
      </w:r>
      <w:r>
        <w:rPr>
          <w:rFonts w:ascii="Times New Roman" w:hAnsi="Times New Roman" w:eastAsia="仿宋_GB2312"/>
          <w:b/>
          <w:sz w:val="32"/>
          <w:szCs w:val="32"/>
        </w:rPr>
        <w:t>消费：</w:t>
      </w:r>
      <w:r>
        <w:rPr>
          <w:rFonts w:ascii="Times New Roman" w:hAnsi="Times New Roman" w:eastAsia="仿宋_GB2312"/>
          <w:sz w:val="32"/>
          <w:szCs w:val="32"/>
        </w:rPr>
        <w:t>进一步增强消费对经济发展的基础性作用，促进消费扩容提质。拟将2021年社会消费品零售总额目标定为增长8%左右。要大力发展新型消费，探索电子商务线上线下融合发展。优化消费业态布局，推进人民路商圈提档升级，做亮海运堤特色商业街品牌。加快恒大、复星两大文旅项目建设，打造长三角休闲旅游目的地。持续优化“夜太美”夜间经济品牌，举办旅游文化美食节、乡村旅游节、旅游迎新贺年会等消费促进活动。</w:t>
      </w:r>
      <w:r>
        <w:rPr>
          <w:rFonts w:ascii="Times New Roman" w:hAnsi="Times New Roman" w:eastAsia="仿宋_GB2312"/>
          <w:b/>
          <w:sz w:val="32"/>
          <w:szCs w:val="32"/>
        </w:rPr>
        <w:t>投资：</w:t>
      </w:r>
      <w:r>
        <w:rPr>
          <w:rFonts w:ascii="Times New Roman" w:hAnsi="Times New Roman" w:eastAsia="仿宋_GB2312"/>
          <w:sz w:val="32"/>
          <w:szCs w:val="32"/>
        </w:rPr>
        <w:t>发挥投资对经济增长的促进作用，持续扩大有效投入。拟将2021年全社会固定资产投资目标定为增长15%以上。计划安排市级重点项目171个；其中拟报省重大项目7个，苏州市级重点项目58个。加快启动长三角人工智能超算中心、海通汽车物流基地、博泽微电机、康乃德生物医药、聪明制药等新建项目，着力推进舍弗勒太仓新基地、苏宁环沪电商产业园等续建项目。全力推动上海嘉闵线北延至太仓段与上海段同步开工。围绕“两新一重”等重点领域，积极谋划和推动一批重点项目。深化项目全生命周期管理，强化土地、资金等要素保障。做好土地征收成片开发方案编制等工作。</w:t>
      </w:r>
    </w:p>
    <w:p>
      <w:pPr>
        <w:spacing w:line="580" w:lineRule="exact"/>
        <w:ind w:firstLine="630"/>
        <w:rPr>
          <w:rFonts w:ascii="Times New Roman" w:hAnsi="Times New Roman" w:eastAsia="仿宋_GB2312"/>
          <w:sz w:val="32"/>
          <w:szCs w:val="32"/>
        </w:rPr>
      </w:pPr>
      <w:r>
        <w:rPr>
          <w:rFonts w:ascii="Times New Roman" w:hAnsi="Times New Roman" w:eastAsiaTheme="minorEastAsia"/>
          <w:b/>
          <w:sz w:val="32"/>
          <w:szCs w:val="32"/>
        </w:rPr>
        <w:t>关于高水平开放。</w:t>
      </w:r>
      <w:r>
        <w:rPr>
          <w:rFonts w:ascii="Times New Roman" w:hAnsi="Times New Roman" w:eastAsia="仿宋_GB2312"/>
          <w:sz w:val="32"/>
          <w:szCs w:val="32"/>
        </w:rPr>
        <w:t>近年来，我市持续做好对外开放“三篇文章”，以高水平开放推动高质量发展。立足新发展阶段，必须稳外资稳外贸，实行更高水平开放，融入双循环新发展格局，努力建设新时代对外开放示范区。因此，拟将2021年进出口总额目标定为保持稳定。要加大重点外贸企业招引力度，扩大对外贸易规模。加快太仓港综合保税区建设，大力发展数字贸易、离岸贸易等新型贸易。主动对接江苏自贸试验区苏州片区和上海自贸区，深化跨境电商、服务贸易试点工作。积极推进港口型国家物流枢纽建设，推动港口流量转变为经济流量。聚焦战略性新兴产业和现代服务业等重点领域，引进更多外资总部项目和功能性机构，力争全年完成实际使用外资8.5亿美元。高质量建设中德（太仓）创新合作园，力争全年引进德企40家。</w:t>
      </w:r>
    </w:p>
    <w:p>
      <w:pPr>
        <w:spacing w:line="580" w:lineRule="exact"/>
        <w:ind w:firstLine="643" w:firstLineChars="200"/>
        <w:rPr>
          <w:rFonts w:ascii="Times New Roman" w:hAnsi="Times New Roman" w:eastAsia="仿宋_GB2312"/>
          <w:sz w:val="32"/>
          <w:szCs w:val="32"/>
        </w:rPr>
      </w:pPr>
      <w:r>
        <w:rPr>
          <w:rFonts w:ascii="Times New Roman" w:hAnsi="Times New Roman" w:eastAsiaTheme="minorEastAsia"/>
          <w:b/>
          <w:sz w:val="32"/>
          <w:szCs w:val="32"/>
        </w:rPr>
        <w:t>关于绿色发展。</w:t>
      </w:r>
      <w:r>
        <w:rPr>
          <w:rFonts w:ascii="Times New Roman" w:hAnsi="Times New Roman" w:eastAsia="仿宋_GB2312"/>
          <w:sz w:val="32"/>
          <w:szCs w:val="32"/>
        </w:rPr>
        <w:t>近年来，我市“现代田园城”建设可观可感、深入人心。必须巩固扩大生态文明建设成果，将生态优势转化为发展优势。因此，拟将2021年PM</w:t>
      </w:r>
      <w:r>
        <w:rPr>
          <w:rFonts w:ascii="Times New Roman" w:hAnsi="Times New Roman" w:eastAsia="仿宋_GB2312"/>
          <w:sz w:val="32"/>
          <w:szCs w:val="32"/>
          <w:vertAlign w:val="subscript"/>
        </w:rPr>
        <w:t>2.5</w:t>
      </w:r>
      <w:r>
        <w:rPr>
          <w:rFonts w:ascii="Times New Roman" w:hAnsi="Times New Roman" w:eastAsia="仿宋_GB2312"/>
          <w:sz w:val="32"/>
          <w:szCs w:val="32"/>
        </w:rPr>
        <w:t>年均浓度、水域功能区达标率和单位地区生产总值能耗下降率目标定为完成苏州下达任务。要坚决打好污染防治攻坚战和生态文明建设持久战，推进“美丽太仓”建设。加大大气污染防治力度，实现PM</w:t>
      </w:r>
      <w:r>
        <w:rPr>
          <w:rFonts w:ascii="Times New Roman" w:hAnsi="Times New Roman" w:eastAsia="仿宋_GB2312"/>
          <w:sz w:val="32"/>
          <w:szCs w:val="32"/>
          <w:vertAlign w:val="subscript"/>
        </w:rPr>
        <w:t>2.5</w:t>
      </w:r>
      <w:r>
        <w:rPr>
          <w:rFonts w:ascii="Times New Roman" w:hAnsi="Times New Roman" w:eastAsia="仿宋_GB2312"/>
          <w:sz w:val="32"/>
          <w:szCs w:val="32"/>
        </w:rPr>
        <w:t>和臭氧浓度“双控双减”。系统推进长江大保护，全面落实长江流域禁捕退捕任务，强化沿江湿地资源保护，扎实推进生态美丽河湖建设。加强水污染治理，建设城东水质净化</w:t>
      </w:r>
      <w:r>
        <w:rPr>
          <w:rFonts w:ascii="Times New Roman" w:hAnsi="Times New Roman" w:eastAsia="仿宋_GB2312"/>
          <w:sz w:val="32"/>
          <w:szCs w:val="32"/>
          <w:lang w:val="zh-CN"/>
        </w:rPr>
        <w:t>厂，提标改造</w:t>
      </w:r>
      <w:r>
        <w:rPr>
          <w:rFonts w:ascii="Times New Roman" w:hAnsi="Times New Roman" w:eastAsia="仿宋_GB2312"/>
          <w:sz w:val="32"/>
          <w:szCs w:val="32"/>
        </w:rPr>
        <w:t>璜泾、江城污水处理厂，优化完善城镇污水管网。深化土壤污染防治，建立健全土壤环境治理监管体系。</w:t>
      </w:r>
      <w:r>
        <w:rPr>
          <w:rFonts w:ascii="Times New Roman" w:hAnsi="Times New Roman" w:eastAsia="仿宋_GB2312"/>
          <w:bCs/>
          <w:sz w:val="32"/>
          <w:szCs w:val="32"/>
        </w:rPr>
        <w:t>强化生活垃圾分类收</w:t>
      </w:r>
      <w:r>
        <w:rPr>
          <w:rFonts w:ascii="Times New Roman" w:hAnsi="Times New Roman" w:eastAsia="仿宋_GB2312"/>
          <w:sz w:val="32"/>
          <w:szCs w:val="32"/>
        </w:rPr>
        <w:t>集处置，加快再生资源综合利用项目建设，持续提升垃圾处理能力。大力实施节能降耗，深入开展工业企业资源集约利用综合评价，推动化工产业安全环保整治提升。</w:t>
      </w:r>
    </w:p>
    <w:p>
      <w:pPr>
        <w:spacing w:line="580" w:lineRule="exact"/>
        <w:ind w:firstLine="643" w:firstLineChars="200"/>
        <w:rPr>
          <w:rFonts w:ascii="Times New Roman" w:hAnsi="Times New Roman" w:eastAsia="仿宋_GB2312"/>
          <w:sz w:val="32"/>
          <w:szCs w:val="32"/>
        </w:rPr>
      </w:pPr>
      <w:r>
        <w:rPr>
          <w:rFonts w:ascii="Times New Roman" w:hAnsi="Times New Roman" w:eastAsiaTheme="minorEastAsia"/>
          <w:b/>
          <w:sz w:val="32"/>
          <w:szCs w:val="32"/>
        </w:rPr>
        <w:t>关于民生保障。</w:t>
      </w:r>
      <w:r>
        <w:rPr>
          <w:rFonts w:ascii="Times New Roman" w:hAnsi="Times New Roman" w:eastAsia="仿宋_GB2312"/>
          <w:sz w:val="32"/>
          <w:szCs w:val="32"/>
        </w:rPr>
        <w:t>提高保障和改善民生水平，是高质量发展的出发点和落脚点。必须深入实施各项富民惠民安民新举措，不断增强人民群众的获得感、幸福感、安全感。因此，拟将2021年居民人均可支配收入目标定为增速高于地区生产总值增速，城镇登记失业率目标定为控制在2.5%以内。坚持统筹发展和安全的原则，确保2021年生产安全事故起数和死亡人数持续双下降。要多渠道增加城乡居民收入，着力提高低收入群体收入，扩大中等收入群体。积极扩大就业容量，提升就业质量，充分保障劳动者待遇和权益。突出重点人群就业帮扶，落实落细稳岗返还、社保费减免等重点政策。加大民生兜底保障，健全多层次社会保障体系，全力办好民生实事。维护市场价格秩序，确保物价稳定。把保护人民生命安全摆在首位，全面提高公共安全保障能力。深化金融等重点领域风险防控机制，常态化推进扫黑除恶专项斗争。筑牢粮食安全底线，全力保障能源安全。完善和落实安全生产责任制，深入开展安全生产专项整治三年行动，构建综合性、全方位、系统性的城市安全发展体系，争创省级安全发展示范城市。</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w:t>
      </w:r>
      <w:r>
        <w:rPr>
          <w:rFonts w:ascii="Times New Roman" w:hAnsi="Times New Roman" w:eastAsia="仿宋_GB2312"/>
          <w:spacing w:val="-4"/>
          <w:sz w:val="32"/>
          <w:szCs w:val="32"/>
        </w:rPr>
        <w:t>宏图凝众志，重任催奋进。</w:t>
      </w:r>
      <w:r>
        <w:rPr>
          <w:rFonts w:ascii="Times New Roman" w:hAnsi="Times New Roman" w:eastAsia="仿宋_GB2312"/>
          <w:sz w:val="32"/>
          <w:szCs w:val="32"/>
        </w:rPr>
        <w:t>让我们在中共太仓市委的坚强领导下，</w:t>
      </w:r>
      <w:r>
        <w:rPr>
          <w:rFonts w:ascii="Times New Roman" w:hAnsi="Times New Roman" w:eastAsia="仿宋_GB2312"/>
          <w:spacing w:val="-4"/>
          <w:sz w:val="32"/>
          <w:szCs w:val="32"/>
        </w:rPr>
        <w:t>牢牢把握发展机遇，以敢为人先的勇气，敢谋新篇的魄力，敢于担当的作风，坚定信心、锐意进取，只争朝夕、扎实工作，</w:t>
      </w:r>
      <w:r>
        <w:rPr>
          <w:rFonts w:ascii="Times New Roman" w:hAnsi="Times New Roman" w:eastAsia="仿宋_GB2312"/>
          <w:sz w:val="32"/>
          <w:szCs w:val="32"/>
        </w:rPr>
        <w:t>以优异成绩庆祝中国共产党成立100周年！</w:t>
      </w:r>
    </w:p>
    <w:p>
      <w:pPr>
        <w:widowControl/>
        <w:jc w:val="left"/>
        <w:rPr>
          <w:rFonts w:ascii="Times New Roman" w:hAnsi="Times New Roman" w:eastAsia="黑体"/>
          <w:sz w:val="28"/>
          <w:szCs w:val="28"/>
        </w:rPr>
      </w:pPr>
      <w:r>
        <w:rPr>
          <w:rFonts w:ascii="Times New Roman" w:hAnsi="Times New Roman" w:eastAsia="黑体"/>
          <w:sz w:val="28"/>
          <w:szCs w:val="28"/>
        </w:rPr>
        <w:br w:type="page"/>
      </w:r>
    </w:p>
    <w:p>
      <w:pPr>
        <w:spacing w:line="580" w:lineRule="exact"/>
        <w:rPr>
          <w:rFonts w:ascii="Times New Roman" w:hAnsi="Times New Roman" w:eastAsia="经典粗宋简"/>
          <w:sz w:val="28"/>
          <w:szCs w:val="28"/>
        </w:rPr>
      </w:pPr>
      <w:r>
        <w:rPr>
          <w:rFonts w:ascii="Times New Roman" w:hAnsi="Times New Roman" w:eastAsia="经典粗宋简"/>
          <w:sz w:val="28"/>
          <w:szCs w:val="28"/>
        </w:rPr>
        <w:t>附件</w:t>
      </w:r>
    </w:p>
    <w:p>
      <w:pPr>
        <w:spacing w:line="580" w:lineRule="exact"/>
        <w:rPr>
          <w:rFonts w:ascii="Times New Roman" w:hAnsi="Times New Roman" w:eastAsia="黑体"/>
          <w:sz w:val="28"/>
          <w:szCs w:val="28"/>
        </w:rPr>
      </w:pPr>
    </w:p>
    <w:p>
      <w:pPr>
        <w:spacing w:line="580" w:lineRule="exact"/>
        <w:jc w:val="center"/>
        <w:rPr>
          <w:rFonts w:ascii="Times New Roman" w:hAnsi="Times New Roman" w:eastAsia="经典粗宋简"/>
          <w:sz w:val="36"/>
          <w:szCs w:val="36"/>
        </w:rPr>
      </w:pPr>
      <w:r>
        <w:rPr>
          <w:rFonts w:ascii="Times New Roman" w:hAnsi="Times New Roman" w:eastAsia="经典粗宋简"/>
          <w:spacing w:val="-20"/>
          <w:sz w:val="36"/>
          <w:szCs w:val="36"/>
        </w:rPr>
        <w:t>太仓市2020年国民经济和社会发展主要指标计划执行情况</w:t>
      </w:r>
    </w:p>
    <w:p>
      <w:pPr>
        <w:spacing w:line="480" w:lineRule="exact"/>
        <w:jc w:val="center"/>
        <w:rPr>
          <w:rFonts w:ascii="Times New Roman" w:hAnsi="Times New Roman" w:eastAsia="经典粗宋简"/>
          <w:spacing w:val="-20"/>
          <w:sz w:val="36"/>
          <w:szCs w:val="36"/>
        </w:rPr>
      </w:pPr>
      <w:r>
        <w:rPr>
          <w:rFonts w:ascii="Times New Roman" w:hAnsi="Times New Roman" w:eastAsia="经典粗宋简"/>
          <w:spacing w:val="-20"/>
          <w:sz w:val="36"/>
          <w:szCs w:val="36"/>
        </w:rPr>
        <w:t>和2021年建议目标</w:t>
      </w:r>
    </w:p>
    <w:p>
      <w:pPr>
        <w:spacing w:line="480" w:lineRule="exact"/>
        <w:jc w:val="center"/>
        <w:rPr>
          <w:rFonts w:ascii="Times New Roman" w:hAnsi="Times New Roman"/>
          <w:b/>
          <w:spacing w:val="-20"/>
          <w:sz w:val="36"/>
          <w:szCs w:val="36"/>
        </w:rPr>
      </w:pPr>
    </w:p>
    <w:tbl>
      <w:tblPr>
        <w:tblStyle w:val="7"/>
        <w:tblW w:w="9498" w:type="dxa"/>
        <w:tblInd w:w="-269" w:type="dxa"/>
        <w:tblLayout w:type="fixed"/>
        <w:tblCellMar>
          <w:top w:w="15" w:type="dxa"/>
          <w:left w:w="15" w:type="dxa"/>
          <w:bottom w:w="15" w:type="dxa"/>
          <w:right w:w="15" w:type="dxa"/>
        </w:tblCellMar>
      </w:tblPr>
      <w:tblGrid>
        <w:gridCol w:w="4253"/>
        <w:gridCol w:w="1560"/>
        <w:gridCol w:w="1876"/>
        <w:gridCol w:w="1809"/>
      </w:tblGrid>
      <w:tr>
        <w:tblPrEx>
          <w:tblCellMar>
            <w:top w:w="15" w:type="dxa"/>
            <w:left w:w="15" w:type="dxa"/>
            <w:bottom w:w="15" w:type="dxa"/>
            <w:right w:w="15" w:type="dxa"/>
          </w:tblCellMar>
        </w:tblPrEx>
        <w:trPr>
          <w:trHeight w:val="879" w:hRule="atLeas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300" w:lineRule="exact"/>
              <w:ind w:firstLine="422"/>
              <w:jc w:val="center"/>
              <w:textAlignment w:val="center"/>
              <w:rPr>
                <w:rFonts w:ascii="Times New Roman" w:hAnsi="Times New Roman" w:eastAsia="仿宋_GB2312"/>
                <w:b/>
                <w:szCs w:val="21"/>
              </w:rPr>
            </w:pPr>
            <w:r>
              <w:rPr>
                <w:rFonts w:ascii="Times New Roman" w:hAnsi="Times New Roman" w:eastAsia="仿宋_GB2312"/>
                <w:b/>
                <w:szCs w:val="21"/>
              </w:rPr>
              <w:t>指      标</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2020</w:t>
            </w:r>
            <w:r>
              <w:rPr>
                <w:rStyle w:val="16"/>
                <w:rFonts w:ascii="Times New Roman" w:hAnsi="Times New Roman" w:cs="Times New Roman"/>
                <w:b/>
                <w:color w:val="auto"/>
              </w:rPr>
              <w:t>年</w:t>
            </w:r>
          </w:p>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年度预期目标</w:t>
            </w:r>
          </w:p>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（比上年）</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300" w:lineRule="exact"/>
              <w:ind w:leftChars="-6" w:hanging="13" w:hangingChars="6"/>
              <w:jc w:val="center"/>
              <w:textAlignment w:val="center"/>
              <w:rPr>
                <w:rFonts w:ascii="Times New Roman" w:hAnsi="Times New Roman" w:eastAsia="仿宋_GB2312"/>
                <w:b/>
                <w:szCs w:val="21"/>
              </w:rPr>
            </w:pPr>
            <w:r>
              <w:rPr>
                <w:rFonts w:ascii="Times New Roman" w:hAnsi="Times New Roman" w:eastAsia="仿宋_GB2312"/>
                <w:b/>
                <w:szCs w:val="21"/>
              </w:rPr>
              <w:t>2020年</w:t>
            </w:r>
          </w:p>
          <w:p>
            <w:pPr>
              <w:spacing w:line="300" w:lineRule="exact"/>
              <w:ind w:leftChars="-6" w:hanging="13" w:hangingChars="6"/>
              <w:jc w:val="center"/>
              <w:textAlignment w:val="center"/>
              <w:rPr>
                <w:rFonts w:ascii="Times New Roman" w:hAnsi="Times New Roman" w:eastAsia="仿宋_GB2312"/>
                <w:b/>
                <w:szCs w:val="21"/>
              </w:rPr>
            </w:pPr>
            <w:r>
              <w:rPr>
                <w:rFonts w:ascii="Times New Roman" w:hAnsi="Times New Roman" w:eastAsia="仿宋_GB2312"/>
                <w:b/>
                <w:szCs w:val="21"/>
              </w:rPr>
              <w:t>预计完成情况</w:t>
            </w:r>
          </w:p>
          <w:p>
            <w:pPr>
              <w:spacing w:line="300" w:lineRule="exact"/>
              <w:ind w:leftChars="-6" w:hanging="13" w:hangingChars="6"/>
              <w:jc w:val="center"/>
              <w:textAlignment w:val="center"/>
              <w:rPr>
                <w:rFonts w:ascii="Times New Roman" w:hAnsi="Times New Roman" w:eastAsia="仿宋_GB2312"/>
                <w:b/>
                <w:szCs w:val="21"/>
              </w:rPr>
            </w:pPr>
            <w:r>
              <w:rPr>
                <w:rFonts w:ascii="Times New Roman" w:hAnsi="Times New Roman" w:eastAsia="仿宋_GB2312"/>
                <w:b/>
                <w:szCs w:val="21"/>
              </w:rPr>
              <w:t>（比上年）</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2021年</w:t>
            </w:r>
          </w:p>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年度预期目标</w:t>
            </w:r>
          </w:p>
          <w:p>
            <w:pPr>
              <w:spacing w:line="300" w:lineRule="exact"/>
              <w:jc w:val="center"/>
              <w:textAlignment w:val="center"/>
              <w:rPr>
                <w:rFonts w:ascii="Times New Roman" w:hAnsi="Times New Roman" w:eastAsia="仿宋_GB2312"/>
                <w:b/>
                <w:szCs w:val="21"/>
              </w:rPr>
            </w:pPr>
            <w:r>
              <w:rPr>
                <w:rFonts w:ascii="Times New Roman" w:hAnsi="Times New Roman" w:eastAsia="仿宋_GB2312"/>
                <w:b/>
                <w:szCs w:val="21"/>
              </w:rPr>
              <w:t>（比上年）</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Fonts w:ascii="Times New Roman" w:hAnsi="Times New Roman" w:eastAsia="仿宋_GB2312"/>
                <w:szCs w:val="21"/>
              </w:rPr>
              <w:t>1.地区生产总值</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+6%左右</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1390亿元</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+6%以上</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Fonts w:ascii="Times New Roman" w:hAnsi="Times New Roman" w:eastAsia="仿宋_GB2312"/>
                <w:szCs w:val="21"/>
              </w:rPr>
              <w:t>2.</w:t>
            </w:r>
            <w:r>
              <w:rPr>
                <w:rStyle w:val="15"/>
                <w:rFonts w:hint="default" w:ascii="Times New Roman" w:hAnsi="Times New Roman" w:cs="Times New Roman"/>
                <w:color w:val="auto"/>
              </w:rPr>
              <w:t>一般公共预算收入</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+5%左右</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171.12亿元</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+6%左右</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Fonts w:ascii="Times New Roman" w:hAnsi="Times New Roman" w:eastAsia="仿宋_GB2312"/>
                <w:szCs w:val="21"/>
              </w:rPr>
              <w:t>3.全社会固定资产投资</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+10%</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468亿元</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（+16.2%）</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+15%以上</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Fonts w:ascii="Times New Roman" w:hAnsi="Times New Roman" w:eastAsia="仿宋_GB2312"/>
                <w:szCs w:val="21"/>
              </w:rPr>
              <w:t>4.</w:t>
            </w:r>
            <w:r>
              <w:rPr>
                <w:rStyle w:val="15"/>
                <w:rFonts w:hint="default" w:ascii="Times New Roman" w:hAnsi="Times New Roman" w:cs="Times New Roman"/>
                <w:color w:val="auto"/>
              </w:rPr>
              <w:t>新兴产业产值占规模以上工业产值比重</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保持稳定</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58.2%</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（+2.4个百分点）</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+1个百分点</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Fonts w:ascii="Times New Roman" w:hAnsi="Times New Roman" w:eastAsia="仿宋_GB2312"/>
                <w:szCs w:val="21"/>
              </w:rPr>
              <w:t>5.</w:t>
            </w:r>
            <w:r>
              <w:rPr>
                <w:rStyle w:val="15"/>
                <w:rFonts w:hint="default" w:ascii="Times New Roman" w:hAnsi="Times New Roman" w:cs="Times New Roman"/>
                <w:color w:val="auto"/>
              </w:rPr>
              <w:t>高新技术产业产值占规模以上工业产值比重</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与上年持平</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50%</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（+3.5个百分点）</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+1个百分点</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6.全社会研发</w:t>
            </w:r>
            <w:r>
              <w:rPr>
                <w:rStyle w:val="16"/>
                <w:rFonts w:ascii="Times New Roman" w:hAnsi="Times New Roman" w:cs="Times New Roman"/>
                <w:color w:val="auto"/>
              </w:rPr>
              <w:t>经费支出占</w:t>
            </w:r>
            <w:r>
              <w:rPr>
                <w:rStyle w:val="15"/>
                <w:rFonts w:hint="default" w:ascii="Times New Roman" w:hAnsi="Times New Roman" w:cs="Times New Roman"/>
                <w:color w:val="auto"/>
              </w:rPr>
              <w:t>地区生产总值</w:t>
            </w:r>
            <w:r>
              <w:rPr>
                <w:rStyle w:val="16"/>
                <w:rFonts w:ascii="Times New Roman" w:hAnsi="Times New Roman" w:cs="Times New Roman"/>
                <w:color w:val="auto"/>
              </w:rPr>
              <w:t>比重</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3%左右</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3.34%</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（+0.53个百分点）</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3.6%</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7.</w:t>
            </w:r>
            <w:r>
              <w:rPr>
                <w:rStyle w:val="16"/>
                <w:rFonts w:ascii="Times New Roman" w:hAnsi="Times New Roman" w:cs="Times New Roman"/>
                <w:color w:val="auto"/>
              </w:rPr>
              <w:t>进出口总额</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总体稳定</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132亿美元</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（基本持平）</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保持稳定</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8.</w:t>
            </w:r>
            <w:r>
              <w:rPr>
                <w:rStyle w:val="16"/>
                <w:rFonts w:ascii="Times New Roman" w:hAnsi="Times New Roman" w:cs="Times New Roman"/>
                <w:color w:val="auto"/>
              </w:rPr>
              <w:t>社会消费品零售总额</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+8%左右</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425亿元</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（正增长）</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+8%左右</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9.</w:t>
            </w:r>
            <w:r>
              <w:rPr>
                <w:rStyle w:val="16"/>
                <w:rFonts w:ascii="Times New Roman" w:hAnsi="Times New Roman" w:cs="Times New Roman"/>
                <w:color w:val="auto"/>
              </w:rPr>
              <w:t>居民人均可支配收入</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增速高于地区生产总值增速</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60150</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（+5.6%）</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增速高于地区生产总值增速</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10.</w:t>
            </w:r>
            <w:r>
              <w:rPr>
                <w:rStyle w:val="16"/>
                <w:rFonts w:ascii="Times New Roman" w:hAnsi="Times New Roman" w:cs="Times New Roman"/>
                <w:color w:val="auto"/>
              </w:rPr>
              <w:t>城镇登记失业率</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控制在2.5%</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以内</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1.77%</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控制在2.5%</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以内</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jc w:val="left"/>
              <w:textAlignment w:val="center"/>
              <w:rPr>
                <w:rStyle w:val="15"/>
                <w:rFonts w:hint="default" w:ascii="Times New Roman" w:hAnsi="Times New Roman" w:eastAsia="宋体" w:cs="Times New Roman"/>
                <w:b/>
                <w:color w:val="auto"/>
                <w:szCs w:val="24"/>
              </w:rPr>
            </w:pPr>
            <w:r>
              <w:rPr>
                <w:rStyle w:val="16"/>
                <w:rFonts w:ascii="Times New Roman" w:hAnsi="Times New Roman" w:cs="Times New Roman"/>
                <w:color w:val="auto"/>
              </w:rPr>
              <w:t>11.</w:t>
            </w:r>
            <w:r>
              <w:rPr>
                <w:rFonts w:ascii="Times New Roman" w:hAnsi="Times New Roman" w:eastAsia="仿宋_GB2312"/>
                <w:szCs w:val="21"/>
              </w:rPr>
              <w:t>PM</w:t>
            </w:r>
            <w:r>
              <w:rPr>
                <w:rFonts w:ascii="Times New Roman" w:hAnsi="Times New Roman" w:eastAsia="仿宋_GB2312"/>
                <w:szCs w:val="21"/>
                <w:vertAlign w:val="subscript"/>
              </w:rPr>
              <w:t>2.5</w:t>
            </w:r>
            <w:r>
              <w:rPr>
                <w:rStyle w:val="16"/>
                <w:rFonts w:ascii="Times New Roman" w:hAnsi="Times New Roman" w:cs="Times New Roman"/>
                <w:color w:val="auto"/>
              </w:rPr>
              <w:t>年均浓度</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26微克/立方米</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Style w:val="15"/>
                <w:rFonts w:hint="default" w:ascii="Times New Roman" w:hAnsi="Times New Roman" w:cs="Times New Roman"/>
                <w:color w:val="auto"/>
              </w:rPr>
            </w:pPr>
            <w:r>
              <w:rPr>
                <w:rStyle w:val="15"/>
                <w:rFonts w:hint="default" w:ascii="Times New Roman" w:hAnsi="Times New Roman" w:cs="Times New Roman"/>
                <w:color w:val="auto"/>
              </w:rPr>
              <w:t>12.水域功能区达标率</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100%</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100%</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5"/>
                <w:rFonts w:hint="default" w:ascii="Times New Roman" w:hAnsi="Times New Roman" w:cs="Times New Roman"/>
                <w:color w:val="auto"/>
              </w:rPr>
              <w:t>13.</w:t>
            </w:r>
            <w:r>
              <w:rPr>
                <w:rStyle w:val="16"/>
                <w:rFonts w:ascii="Times New Roman" w:hAnsi="Times New Roman" w:cs="Times New Roman"/>
                <w:color w:val="auto"/>
              </w:rPr>
              <w:t>单位地区生产总值能耗下降率</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c>
          <w:tcPr>
            <w:tcW w:w="1876" w:type="dxa"/>
            <w:tcBorders>
              <w:top w:val="single" w:color="000000" w:sz="6" w:space="0"/>
              <w:left w:val="single" w:color="000000" w:sz="6" w:space="0"/>
              <w:right w:val="single" w:color="000000" w:sz="6" w:space="0"/>
            </w:tcBorders>
            <w:vAlign w:val="center"/>
          </w:tcPr>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c>
          <w:tcPr>
            <w:tcW w:w="1809" w:type="dxa"/>
            <w:tcBorders>
              <w:top w:val="single" w:color="000000" w:sz="6" w:space="0"/>
              <w:left w:val="single" w:color="000000" w:sz="6" w:space="0"/>
              <w:right w:val="single" w:color="000000" w:sz="6" w:space="0"/>
            </w:tcBorders>
            <w:vAlign w:val="center"/>
          </w:tcPr>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完成苏州下达</w:t>
            </w:r>
          </w:p>
          <w:p>
            <w:pPr>
              <w:spacing w:line="260" w:lineRule="exact"/>
              <w:ind w:left="13" w:hanging="12" w:hangingChars="6"/>
              <w:jc w:val="center"/>
              <w:textAlignment w:val="center"/>
              <w:rPr>
                <w:rFonts w:ascii="Times New Roman" w:hAnsi="Times New Roman" w:eastAsia="仿宋_GB2312"/>
                <w:szCs w:val="21"/>
              </w:rPr>
            </w:pPr>
            <w:r>
              <w:rPr>
                <w:rFonts w:ascii="Times New Roman" w:hAnsi="Times New Roman" w:eastAsia="仿宋_GB2312"/>
                <w:szCs w:val="21"/>
              </w:rPr>
              <w:t>任务</w:t>
            </w:r>
          </w:p>
        </w:tc>
      </w:tr>
      <w:tr>
        <w:tblPrEx>
          <w:tblCellMar>
            <w:top w:w="15" w:type="dxa"/>
            <w:left w:w="15" w:type="dxa"/>
            <w:bottom w:w="15" w:type="dxa"/>
            <w:right w:w="15" w:type="dxa"/>
          </w:tblCellMar>
        </w:tblPrEx>
        <w:trPr>
          <w:trHeight w:val="624" w:hRule="exact"/>
        </w:trPr>
        <w:tc>
          <w:tcPr>
            <w:tcW w:w="4253" w:type="dxa"/>
            <w:tcBorders>
              <w:top w:val="single" w:color="000000" w:sz="6" w:space="0"/>
              <w:left w:val="single" w:color="000000" w:sz="6" w:space="0"/>
              <w:bottom w:val="single" w:color="000000" w:sz="6" w:space="0"/>
              <w:right w:val="single" w:color="000000" w:sz="6" w:space="0"/>
            </w:tcBorders>
            <w:vAlign w:val="center"/>
          </w:tcPr>
          <w:p>
            <w:pPr>
              <w:spacing w:line="260" w:lineRule="exact"/>
              <w:textAlignment w:val="center"/>
              <w:rPr>
                <w:rFonts w:ascii="Times New Roman" w:hAnsi="Times New Roman" w:eastAsia="仿宋_GB2312"/>
                <w:szCs w:val="21"/>
              </w:rPr>
            </w:pPr>
            <w:r>
              <w:rPr>
                <w:rStyle w:val="16"/>
                <w:rFonts w:ascii="Times New Roman" w:hAnsi="Times New Roman" w:cs="Times New Roman"/>
                <w:color w:val="auto"/>
              </w:rPr>
              <w:t>14.生产安全事故起数和死亡人数</w:t>
            </w:r>
          </w:p>
        </w:tc>
        <w:tc>
          <w:tcPr>
            <w:tcW w:w="1560"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Style w:val="16"/>
                <w:rFonts w:ascii="Times New Roman" w:hAnsi="Times New Roman" w:cs="Times New Roman"/>
                <w:color w:val="auto"/>
              </w:rPr>
              <w:t>持续下降</w:t>
            </w:r>
          </w:p>
        </w:tc>
        <w:tc>
          <w:tcPr>
            <w:tcW w:w="1876"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Fonts w:ascii="Times New Roman" w:hAnsi="Times New Roman" w:eastAsia="仿宋_GB2312"/>
                <w:szCs w:val="21"/>
              </w:rPr>
              <w:t>分别下降75.5%、68.4%</w:t>
            </w:r>
          </w:p>
        </w:tc>
        <w:tc>
          <w:tcPr>
            <w:tcW w:w="1809" w:type="dxa"/>
            <w:tcBorders>
              <w:top w:val="single" w:color="000000" w:sz="6" w:space="0"/>
              <w:left w:val="single" w:color="000000" w:sz="6" w:space="0"/>
              <w:bottom w:val="single" w:color="000000" w:sz="6" w:space="0"/>
              <w:right w:val="single" w:color="000000" w:sz="6" w:space="0"/>
            </w:tcBorders>
            <w:vAlign w:val="center"/>
          </w:tcPr>
          <w:p>
            <w:pPr>
              <w:spacing w:line="260" w:lineRule="exact"/>
              <w:ind w:leftChars="-6" w:hanging="12" w:hangingChars="6"/>
              <w:jc w:val="center"/>
              <w:textAlignment w:val="center"/>
              <w:rPr>
                <w:rFonts w:ascii="Times New Roman" w:hAnsi="Times New Roman" w:eastAsia="仿宋_GB2312"/>
                <w:szCs w:val="21"/>
              </w:rPr>
            </w:pPr>
            <w:r>
              <w:rPr>
                <w:rStyle w:val="16"/>
                <w:rFonts w:ascii="Times New Roman" w:hAnsi="Times New Roman" w:cs="Times New Roman"/>
                <w:color w:val="auto"/>
              </w:rPr>
              <w:t>持续双下降</w:t>
            </w:r>
          </w:p>
        </w:tc>
      </w:tr>
    </w:tbl>
    <w:p>
      <w:pPr>
        <w:spacing w:line="20" w:lineRule="exact"/>
        <w:rPr>
          <w:rFonts w:ascii="Times New Roman" w:hAnsi="Times New Roman"/>
        </w:rPr>
      </w:pPr>
    </w:p>
    <w:sectPr>
      <w:footerReference r:id="rId3" w:type="default"/>
      <w:pgSz w:w="11906" w:h="16838"/>
      <w:pgMar w:top="1814"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经典粗宋简">
    <w:altName w:val="宋体"/>
    <w:panose1 w:val="02010609000101010101"/>
    <w:charset w:val="86"/>
    <w:family w:val="modern"/>
    <w:pitch w:val="default"/>
    <w:sig w:usb0="00000000" w:usb1="00000000" w:usb2="0000001E"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82922"/>
    </w:sdtPr>
    <w:sdtContent>
      <w:p>
        <w:pPr>
          <w:pStyle w:val="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zZjg4Y2NhMGFmMWYzZTE3MDY3MTM2YzlmMGU0MDIifQ=="/>
  </w:docVars>
  <w:rsids>
    <w:rsidRoot w:val="050C7DB0"/>
    <w:rsid w:val="00000B4F"/>
    <w:rsid w:val="00001650"/>
    <w:rsid w:val="000056C4"/>
    <w:rsid w:val="00007F54"/>
    <w:rsid w:val="0001194C"/>
    <w:rsid w:val="00012F82"/>
    <w:rsid w:val="000141A8"/>
    <w:rsid w:val="00016E47"/>
    <w:rsid w:val="00017B3F"/>
    <w:rsid w:val="000213B0"/>
    <w:rsid w:val="0002580C"/>
    <w:rsid w:val="00030A1B"/>
    <w:rsid w:val="00031AC1"/>
    <w:rsid w:val="00031CC5"/>
    <w:rsid w:val="00032CC6"/>
    <w:rsid w:val="00033270"/>
    <w:rsid w:val="00035436"/>
    <w:rsid w:val="00035B56"/>
    <w:rsid w:val="00036944"/>
    <w:rsid w:val="00036AFA"/>
    <w:rsid w:val="000371FA"/>
    <w:rsid w:val="00040FA1"/>
    <w:rsid w:val="00041D25"/>
    <w:rsid w:val="0004586D"/>
    <w:rsid w:val="00047F70"/>
    <w:rsid w:val="000503B6"/>
    <w:rsid w:val="00055608"/>
    <w:rsid w:val="000557AA"/>
    <w:rsid w:val="00056209"/>
    <w:rsid w:val="00060DF1"/>
    <w:rsid w:val="0006251F"/>
    <w:rsid w:val="0006304C"/>
    <w:rsid w:val="0006312B"/>
    <w:rsid w:val="00064385"/>
    <w:rsid w:val="00065949"/>
    <w:rsid w:val="0006669B"/>
    <w:rsid w:val="00071140"/>
    <w:rsid w:val="00072DB5"/>
    <w:rsid w:val="00073901"/>
    <w:rsid w:val="00074152"/>
    <w:rsid w:val="00074335"/>
    <w:rsid w:val="0007435A"/>
    <w:rsid w:val="000758E8"/>
    <w:rsid w:val="000779BE"/>
    <w:rsid w:val="00082901"/>
    <w:rsid w:val="00083534"/>
    <w:rsid w:val="00086E95"/>
    <w:rsid w:val="000874FA"/>
    <w:rsid w:val="0009200A"/>
    <w:rsid w:val="00093878"/>
    <w:rsid w:val="000A0A2B"/>
    <w:rsid w:val="000A464C"/>
    <w:rsid w:val="000A6E2C"/>
    <w:rsid w:val="000A7F1D"/>
    <w:rsid w:val="000B1BAC"/>
    <w:rsid w:val="000B3796"/>
    <w:rsid w:val="000B67E7"/>
    <w:rsid w:val="000B6A19"/>
    <w:rsid w:val="000C0091"/>
    <w:rsid w:val="000C4AC5"/>
    <w:rsid w:val="000C5708"/>
    <w:rsid w:val="000D1B19"/>
    <w:rsid w:val="000D2E34"/>
    <w:rsid w:val="000D7E02"/>
    <w:rsid w:val="000E51F8"/>
    <w:rsid w:val="000E72E0"/>
    <w:rsid w:val="000F098F"/>
    <w:rsid w:val="000F7574"/>
    <w:rsid w:val="000F78F7"/>
    <w:rsid w:val="000F7962"/>
    <w:rsid w:val="00100299"/>
    <w:rsid w:val="001014CE"/>
    <w:rsid w:val="001015B3"/>
    <w:rsid w:val="00101B80"/>
    <w:rsid w:val="00103D7C"/>
    <w:rsid w:val="0010575D"/>
    <w:rsid w:val="00110D6A"/>
    <w:rsid w:val="00113E60"/>
    <w:rsid w:val="00121813"/>
    <w:rsid w:val="00122945"/>
    <w:rsid w:val="00122B2C"/>
    <w:rsid w:val="001274A8"/>
    <w:rsid w:val="00132EB1"/>
    <w:rsid w:val="0013512C"/>
    <w:rsid w:val="00141324"/>
    <w:rsid w:val="00143900"/>
    <w:rsid w:val="0014393B"/>
    <w:rsid w:val="00144C6F"/>
    <w:rsid w:val="00150C8B"/>
    <w:rsid w:val="00150CA5"/>
    <w:rsid w:val="001515C0"/>
    <w:rsid w:val="00151AB9"/>
    <w:rsid w:val="00151ED6"/>
    <w:rsid w:val="00151F11"/>
    <w:rsid w:val="00152302"/>
    <w:rsid w:val="00153724"/>
    <w:rsid w:val="0015416D"/>
    <w:rsid w:val="00154537"/>
    <w:rsid w:val="00154930"/>
    <w:rsid w:val="001550DB"/>
    <w:rsid w:val="0015612A"/>
    <w:rsid w:val="0015680C"/>
    <w:rsid w:val="0015738E"/>
    <w:rsid w:val="00157A80"/>
    <w:rsid w:val="00162188"/>
    <w:rsid w:val="00163574"/>
    <w:rsid w:val="0016392B"/>
    <w:rsid w:val="00167816"/>
    <w:rsid w:val="00167D16"/>
    <w:rsid w:val="00180D8A"/>
    <w:rsid w:val="00183B10"/>
    <w:rsid w:val="00183ECE"/>
    <w:rsid w:val="00184B23"/>
    <w:rsid w:val="00186ABE"/>
    <w:rsid w:val="00187E4B"/>
    <w:rsid w:val="0019223C"/>
    <w:rsid w:val="00194F46"/>
    <w:rsid w:val="00197726"/>
    <w:rsid w:val="001A2DE6"/>
    <w:rsid w:val="001A5933"/>
    <w:rsid w:val="001A61E0"/>
    <w:rsid w:val="001A79F6"/>
    <w:rsid w:val="001B0F6D"/>
    <w:rsid w:val="001B1137"/>
    <w:rsid w:val="001B478E"/>
    <w:rsid w:val="001B6C55"/>
    <w:rsid w:val="001B7BDC"/>
    <w:rsid w:val="001C0B76"/>
    <w:rsid w:val="001C1751"/>
    <w:rsid w:val="001C35CC"/>
    <w:rsid w:val="001C765B"/>
    <w:rsid w:val="001D0EBB"/>
    <w:rsid w:val="001D1F31"/>
    <w:rsid w:val="001D5204"/>
    <w:rsid w:val="001D5952"/>
    <w:rsid w:val="001D7827"/>
    <w:rsid w:val="001E02AF"/>
    <w:rsid w:val="001E2CD0"/>
    <w:rsid w:val="001E4CB8"/>
    <w:rsid w:val="001E71FF"/>
    <w:rsid w:val="001F1F10"/>
    <w:rsid w:val="001F2E40"/>
    <w:rsid w:val="001F49DC"/>
    <w:rsid w:val="001F5DFD"/>
    <w:rsid w:val="00201B90"/>
    <w:rsid w:val="00201CCF"/>
    <w:rsid w:val="002034E5"/>
    <w:rsid w:val="00203EDA"/>
    <w:rsid w:val="00207E43"/>
    <w:rsid w:val="00210D5E"/>
    <w:rsid w:val="00213AF9"/>
    <w:rsid w:val="002151BF"/>
    <w:rsid w:val="00221380"/>
    <w:rsid w:val="00223B9F"/>
    <w:rsid w:val="00225AB0"/>
    <w:rsid w:val="0022742A"/>
    <w:rsid w:val="0023125C"/>
    <w:rsid w:val="00231C0E"/>
    <w:rsid w:val="0023321D"/>
    <w:rsid w:val="00234699"/>
    <w:rsid w:val="00234F2A"/>
    <w:rsid w:val="00235601"/>
    <w:rsid w:val="00236E1F"/>
    <w:rsid w:val="00237926"/>
    <w:rsid w:val="00240031"/>
    <w:rsid w:val="00241BAE"/>
    <w:rsid w:val="0024345C"/>
    <w:rsid w:val="002438F0"/>
    <w:rsid w:val="00250402"/>
    <w:rsid w:val="00250B5A"/>
    <w:rsid w:val="00251401"/>
    <w:rsid w:val="00251CD2"/>
    <w:rsid w:val="0025645D"/>
    <w:rsid w:val="00262898"/>
    <w:rsid w:val="00264380"/>
    <w:rsid w:val="002716F1"/>
    <w:rsid w:val="00271A40"/>
    <w:rsid w:val="002737D4"/>
    <w:rsid w:val="00276DC6"/>
    <w:rsid w:val="00280A8B"/>
    <w:rsid w:val="00280AA9"/>
    <w:rsid w:val="00281E27"/>
    <w:rsid w:val="00284408"/>
    <w:rsid w:val="002863A2"/>
    <w:rsid w:val="00290113"/>
    <w:rsid w:val="00292742"/>
    <w:rsid w:val="002930A9"/>
    <w:rsid w:val="00294F6D"/>
    <w:rsid w:val="00295040"/>
    <w:rsid w:val="00295219"/>
    <w:rsid w:val="00295E52"/>
    <w:rsid w:val="002A0EA7"/>
    <w:rsid w:val="002A14D9"/>
    <w:rsid w:val="002A25D1"/>
    <w:rsid w:val="002A2761"/>
    <w:rsid w:val="002A5BEA"/>
    <w:rsid w:val="002A68FB"/>
    <w:rsid w:val="002B0FF4"/>
    <w:rsid w:val="002B3BE4"/>
    <w:rsid w:val="002B3FD6"/>
    <w:rsid w:val="002B4346"/>
    <w:rsid w:val="002B727D"/>
    <w:rsid w:val="002C0EE2"/>
    <w:rsid w:val="002C2B20"/>
    <w:rsid w:val="002C4190"/>
    <w:rsid w:val="002C4570"/>
    <w:rsid w:val="002D0BBE"/>
    <w:rsid w:val="002D3D7D"/>
    <w:rsid w:val="002D4484"/>
    <w:rsid w:val="002D459C"/>
    <w:rsid w:val="002D6E5C"/>
    <w:rsid w:val="002E28F0"/>
    <w:rsid w:val="002E2F09"/>
    <w:rsid w:val="002E3A11"/>
    <w:rsid w:val="002E4E4A"/>
    <w:rsid w:val="002E57AF"/>
    <w:rsid w:val="002E6379"/>
    <w:rsid w:val="002E7258"/>
    <w:rsid w:val="002F08E0"/>
    <w:rsid w:val="002F0F60"/>
    <w:rsid w:val="002F14DE"/>
    <w:rsid w:val="00301354"/>
    <w:rsid w:val="003023B4"/>
    <w:rsid w:val="0030561F"/>
    <w:rsid w:val="0030630D"/>
    <w:rsid w:val="0030632B"/>
    <w:rsid w:val="003105A0"/>
    <w:rsid w:val="003164D6"/>
    <w:rsid w:val="00317B10"/>
    <w:rsid w:val="00317C45"/>
    <w:rsid w:val="003220E5"/>
    <w:rsid w:val="003267F1"/>
    <w:rsid w:val="00334DDC"/>
    <w:rsid w:val="00336308"/>
    <w:rsid w:val="0034066F"/>
    <w:rsid w:val="003428AC"/>
    <w:rsid w:val="003442C6"/>
    <w:rsid w:val="00344D71"/>
    <w:rsid w:val="0035082D"/>
    <w:rsid w:val="00353948"/>
    <w:rsid w:val="00355F4E"/>
    <w:rsid w:val="00360B69"/>
    <w:rsid w:val="003619EC"/>
    <w:rsid w:val="003629BE"/>
    <w:rsid w:val="00362F82"/>
    <w:rsid w:val="003650B6"/>
    <w:rsid w:val="00366853"/>
    <w:rsid w:val="00367E0F"/>
    <w:rsid w:val="00373FAE"/>
    <w:rsid w:val="00376E9A"/>
    <w:rsid w:val="00382EC1"/>
    <w:rsid w:val="00385598"/>
    <w:rsid w:val="003920B3"/>
    <w:rsid w:val="0039284A"/>
    <w:rsid w:val="00392A00"/>
    <w:rsid w:val="00392A2D"/>
    <w:rsid w:val="00396819"/>
    <w:rsid w:val="003A15C3"/>
    <w:rsid w:val="003A265A"/>
    <w:rsid w:val="003A7D92"/>
    <w:rsid w:val="003B1BDF"/>
    <w:rsid w:val="003B526C"/>
    <w:rsid w:val="003C0B8A"/>
    <w:rsid w:val="003C167C"/>
    <w:rsid w:val="003C207B"/>
    <w:rsid w:val="003C35E6"/>
    <w:rsid w:val="003C52FD"/>
    <w:rsid w:val="003D08FF"/>
    <w:rsid w:val="003D1073"/>
    <w:rsid w:val="003D30F3"/>
    <w:rsid w:val="003D3BED"/>
    <w:rsid w:val="003D426B"/>
    <w:rsid w:val="003D4B0D"/>
    <w:rsid w:val="003D5EB2"/>
    <w:rsid w:val="003E460C"/>
    <w:rsid w:val="003E5FCF"/>
    <w:rsid w:val="003E6FD7"/>
    <w:rsid w:val="003F1C18"/>
    <w:rsid w:val="003F23CB"/>
    <w:rsid w:val="003F3A3B"/>
    <w:rsid w:val="003F4251"/>
    <w:rsid w:val="003F44EF"/>
    <w:rsid w:val="003F4B32"/>
    <w:rsid w:val="003F676E"/>
    <w:rsid w:val="00406293"/>
    <w:rsid w:val="004077AF"/>
    <w:rsid w:val="00407FE4"/>
    <w:rsid w:val="00412442"/>
    <w:rsid w:val="00416EAB"/>
    <w:rsid w:val="0041790B"/>
    <w:rsid w:val="00424098"/>
    <w:rsid w:val="00430F84"/>
    <w:rsid w:val="004323ED"/>
    <w:rsid w:val="004332E7"/>
    <w:rsid w:val="004345A1"/>
    <w:rsid w:val="00434C36"/>
    <w:rsid w:val="00434E23"/>
    <w:rsid w:val="00435794"/>
    <w:rsid w:val="00436195"/>
    <w:rsid w:val="00436807"/>
    <w:rsid w:val="004369C8"/>
    <w:rsid w:val="004427DC"/>
    <w:rsid w:val="00444CE7"/>
    <w:rsid w:val="00450DDD"/>
    <w:rsid w:val="0045127B"/>
    <w:rsid w:val="00452857"/>
    <w:rsid w:val="00452BB3"/>
    <w:rsid w:val="00452F6C"/>
    <w:rsid w:val="0045537F"/>
    <w:rsid w:val="00457634"/>
    <w:rsid w:val="004578B1"/>
    <w:rsid w:val="004604B9"/>
    <w:rsid w:val="00460867"/>
    <w:rsid w:val="004617AF"/>
    <w:rsid w:val="004618AE"/>
    <w:rsid w:val="00463B4B"/>
    <w:rsid w:val="00463BA3"/>
    <w:rsid w:val="004666E5"/>
    <w:rsid w:val="0046703F"/>
    <w:rsid w:val="0046752F"/>
    <w:rsid w:val="0047398D"/>
    <w:rsid w:val="00476CB7"/>
    <w:rsid w:val="0048044C"/>
    <w:rsid w:val="00481D2E"/>
    <w:rsid w:val="00490B04"/>
    <w:rsid w:val="00491781"/>
    <w:rsid w:val="00491AF8"/>
    <w:rsid w:val="004955CE"/>
    <w:rsid w:val="00497EDD"/>
    <w:rsid w:val="004A33A0"/>
    <w:rsid w:val="004B0FA1"/>
    <w:rsid w:val="004B1241"/>
    <w:rsid w:val="004B1CF6"/>
    <w:rsid w:val="004B1D77"/>
    <w:rsid w:val="004B42BC"/>
    <w:rsid w:val="004B59F6"/>
    <w:rsid w:val="004C33CB"/>
    <w:rsid w:val="004C4EC6"/>
    <w:rsid w:val="004C5549"/>
    <w:rsid w:val="004C5D16"/>
    <w:rsid w:val="004D2904"/>
    <w:rsid w:val="004D6075"/>
    <w:rsid w:val="004D6111"/>
    <w:rsid w:val="004E2600"/>
    <w:rsid w:val="004E3331"/>
    <w:rsid w:val="004E3AF8"/>
    <w:rsid w:val="004E5DA5"/>
    <w:rsid w:val="004F039D"/>
    <w:rsid w:val="004F0BD4"/>
    <w:rsid w:val="004F23D9"/>
    <w:rsid w:val="004F451E"/>
    <w:rsid w:val="004F6D7D"/>
    <w:rsid w:val="00501D46"/>
    <w:rsid w:val="00502549"/>
    <w:rsid w:val="00506432"/>
    <w:rsid w:val="005078B2"/>
    <w:rsid w:val="00510242"/>
    <w:rsid w:val="00513156"/>
    <w:rsid w:val="00516653"/>
    <w:rsid w:val="0052110F"/>
    <w:rsid w:val="00521C0A"/>
    <w:rsid w:val="00527515"/>
    <w:rsid w:val="00527BD5"/>
    <w:rsid w:val="0053063A"/>
    <w:rsid w:val="00531DE0"/>
    <w:rsid w:val="005408D1"/>
    <w:rsid w:val="005429DD"/>
    <w:rsid w:val="00543FB9"/>
    <w:rsid w:val="005443ED"/>
    <w:rsid w:val="00547152"/>
    <w:rsid w:val="00547E7E"/>
    <w:rsid w:val="00552154"/>
    <w:rsid w:val="005560B4"/>
    <w:rsid w:val="005575BF"/>
    <w:rsid w:val="005608BD"/>
    <w:rsid w:val="005656DC"/>
    <w:rsid w:val="00565A26"/>
    <w:rsid w:val="00567DE1"/>
    <w:rsid w:val="00570455"/>
    <w:rsid w:val="0057101F"/>
    <w:rsid w:val="005737C1"/>
    <w:rsid w:val="00573877"/>
    <w:rsid w:val="00577F2A"/>
    <w:rsid w:val="005804F0"/>
    <w:rsid w:val="005822AE"/>
    <w:rsid w:val="005839DE"/>
    <w:rsid w:val="0058418F"/>
    <w:rsid w:val="00585BDB"/>
    <w:rsid w:val="00587490"/>
    <w:rsid w:val="00587C7E"/>
    <w:rsid w:val="00590E06"/>
    <w:rsid w:val="00593F4D"/>
    <w:rsid w:val="0059559E"/>
    <w:rsid w:val="0059661B"/>
    <w:rsid w:val="00597A66"/>
    <w:rsid w:val="005A085E"/>
    <w:rsid w:val="005A2E43"/>
    <w:rsid w:val="005A3948"/>
    <w:rsid w:val="005A4862"/>
    <w:rsid w:val="005B25E2"/>
    <w:rsid w:val="005B2DE1"/>
    <w:rsid w:val="005B38E3"/>
    <w:rsid w:val="005B51F8"/>
    <w:rsid w:val="005B7E7A"/>
    <w:rsid w:val="005C0614"/>
    <w:rsid w:val="005C0881"/>
    <w:rsid w:val="005C202C"/>
    <w:rsid w:val="005C3106"/>
    <w:rsid w:val="005C49E5"/>
    <w:rsid w:val="005D38EF"/>
    <w:rsid w:val="005D4F62"/>
    <w:rsid w:val="005D61D3"/>
    <w:rsid w:val="005D7435"/>
    <w:rsid w:val="005D7706"/>
    <w:rsid w:val="005D7707"/>
    <w:rsid w:val="005D77FA"/>
    <w:rsid w:val="005D7FC1"/>
    <w:rsid w:val="005E62CE"/>
    <w:rsid w:val="005F0F9C"/>
    <w:rsid w:val="005F2500"/>
    <w:rsid w:val="005F3B8C"/>
    <w:rsid w:val="005F6E29"/>
    <w:rsid w:val="005F70E0"/>
    <w:rsid w:val="00601231"/>
    <w:rsid w:val="006014AA"/>
    <w:rsid w:val="00604B26"/>
    <w:rsid w:val="0060558E"/>
    <w:rsid w:val="00607FA7"/>
    <w:rsid w:val="00610349"/>
    <w:rsid w:val="00610671"/>
    <w:rsid w:val="00613622"/>
    <w:rsid w:val="00613A08"/>
    <w:rsid w:val="00614988"/>
    <w:rsid w:val="00616236"/>
    <w:rsid w:val="00617664"/>
    <w:rsid w:val="0063242E"/>
    <w:rsid w:val="00633502"/>
    <w:rsid w:val="00634D26"/>
    <w:rsid w:val="006357EB"/>
    <w:rsid w:val="00636FB1"/>
    <w:rsid w:val="00641DF3"/>
    <w:rsid w:val="006507ED"/>
    <w:rsid w:val="006515E1"/>
    <w:rsid w:val="006533E7"/>
    <w:rsid w:val="006551C5"/>
    <w:rsid w:val="00655CD6"/>
    <w:rsid w:val="00656AF9"/>
    <w:rsid w:val="006572CE"/>
    <w:rsid w:val="00660FC1"/>
    <w:rsid w:val="006619DF"/>
    <w:rsid w:val="00661AE6"/>
    <w:rsid w:val="006624FB"/>
    <w:rsid w:val="00663C73"/>
    <w:rsid w:val="00665155"/>
    <w:rsid w:val="006657D0"/>
    <w:rsid w:val="00665AD9"/>
    <w:rsid w:val="0067438B"/>
    <w:rsid w:val="00682FFF"/>
    <w:rsid w:val="006834D1"/>
    <w:rsid w:val="00683DC1"/>
    <w:rsid w:val="00691522"/>
    <w:rsid w:val="006927BD"/>
    <w:rsid w:val="00695A08"/>
    <w:rsid w:val="0069664B"/>
    <w:rsid w:val="0069713D"/>
    <w:rsid w:val="0069735E"/>
    <w:rsid w:val="006A0249"/>
    <w:rsid w:val="006A0FB0"/>
    <w:rsid w:val="006A28B7"/>
    <w:rsid w:val="006A45FB"/>
    <w:rsid w:val="006A5328"/>
    <w:rsid w:val="006A63BA"/>
    <w:rsid w:val="006B2066"/>
    <w:rsid w:val="006B302A"/>
    <w:rsid w:val="006B7DE8"/>
    <w:rsid w:val="006C1A60"/>
    <w:rsid w:val="006C3608"/>
    <w:rsid w:val="006C5054"/>
    <w:rsid w:val="006D1B96"/>
    <w:rsid w:val="006D22FF"/>
    <w:rsid w:val="006D6182"/>
    <w:rsid w:val="006E105F"/>
    <w:rsid w:val="006E1271"/>
    <w:rsid w:val="006E155B"/>
    <w:rsid w:val="006E4FA9"/>
    <w:rsid w:val="006F12A9"/>
    <w:rsid w:val="006F1789"/>
    <w:rsid w:val="006F51E1"/>
    <w:rsid w:val="006F5428"/>
    <w:rsid w:val="006F569D"/>
    <w:rsid w:val="006F6D57"/>
    <w:rsid w:val="0070091E"/>
    <w:rsid w:val="00701D43"/>
    <w:rsid w:val="00702254"/>
    <w:rsid w:val="007037CC"/>
    <w:rsid w:val="0070732A"/>
    <w:rsid w:val="0070790B"/>
    <w:rsid w:val="00710A92"/>
    <w:rsid w:val="00713A45"/>
    <w:rsid w:val="00716930"/>
    <w:rsid w:val="007169AA"/>
    <w:rsid w:val="00720C52"/>
    <w:rsid w:val="00722371"/>
    <w:rsid w:val="007237E6"/>
    <w:rsid w:val="00727B33"/>
    <w:rsid w:val="00731E53"/>
    <w:rsid w:val="00731FEF"/>
    <w:rsid w:val="007457BA"/>
    <w:rsid w:val="00745FDD"/>
    <w:rsid w:val="007478C5"/>
    <w:rsid w:val="007508CF"/>
    <w:rsid w:val="00754F2D"/>
    <w:rsid w:val="00755600"/>
    <w:rsid w:val="0075631C"/>
    <w:rsid w:val="00757C60"/>
    <w:rsid w:val="00762778"/>
    <w:rsid w:val="00771C93"/>
    <w:rsid w:val="0077383E"/>
    <w:rsid w:val="007869AB"/>
    <w:rsid w:val="00786CA6"/>
    <w:rsid w:val="00787195"/>
    <w:rsid w:val="00790512"/>
    <w:rsid w:val="007979E9"/>
    <w:rsid w:val="007A036D"/>
    <w:rsid w:val="007A0F66"/>
    <w:rsid w:val="007A75EE"/>
    <w:rsid w:val="007A7DB8"/>
    <w:rsid w:val="007B0D12"/>
    <w:rsid w:val="007B30BC"/>
    <w:rsid w:val="007B4CDE"/>
    <w:rsid w:val="007C113A"/>
    <w:rsid w:val="007C4C48"/>
    <w:rsid w:val="007C78F7"/>
    <w:rsid w:val="007D1883"/>
    <w:rsid w:val="007D5FEA"/>
    <w:rsid w:val="007D65D4"/>
    <w:rsid w:val="007E2E3E"/>
    <w:rsid w:val="007E69FF"/>
    <w:rsid w:val="007F092A"/>
    <w:rsid w:val="007F1ACD"/>
    <w:rsid w:val="007F45B6"/>
    <w:rsid w:val="007F527E"/>
    <w:rsid w:val="00801A2A"/>
    <w:rsid w:val="00801BC3"/>
    <w:rsid w:val="008031EB"/>
    <w:rsid w:val="00804C84"/>
    <w:rsid w:val="00805B48"/>
    <w:rsid w:val="00807BCF"/>
    <w:rsid w:val="00810063"/>
    <w:rsid w:val="00811CE9"/>
    <w:rsid w:val="00815A1A"/>
    <w:rsid w:val="0081744D"/>
    <w:rsid w:val="008176BD"/>
    <w:rsid w:val="00817DE8"/>
    <w:rsid w:val="00825A01"/>
    <w:rsid w:val="008271ED"/>
    <w:rsid w:val="00827511"/>
    <w:rsid w:val="00830083"/>
    <w:rsid w:val="00831245"/>
    <w:rsid w:val="008316CD"/>
    <w:rsid w:val="0083404B"/>
    <w:rsid w:val="008342A6"/>
    <w:rsid w:val="00835D7F"/>
    <w:rsid w:val="00837D05"/>
    <w:rsid w:val="00837D97"/>
    <w:rsid w:val="0084213A"/>
    <w:rsid w:val="00842258"/>
    <w:rsid w:val="008424FA"/>
    <w:rsid w:val="00847D7C"/>
    <w:rsid w:val="008532AB"/>
    <w:rsid w:val="00856E7B"/>
    <w:rsid w:val="0086259F"/>
    <w:rsid w:val="00862C8B"/>
    <w:rsid w:val="00863DA5"/>
    <w:rsid w:val="0086521B"/>
    <w:rsid w:val="0086532A"/>
    <w:rsid w:val="008658AA"/>
    <w:rsid w:val="00866502"/>
    <w:rsid w:val="008666C6"/>
    <w:rsid w:val="00875675"/>
    <w:rsid w:val="00875A2B"/>
    <w:rsid w:val="008776A1"/>
    <w:rsid w:val="00877AB0"/>
    <w:rsid w:val="00881A0D"/>
    <w:rsid w:val="00887EC0"/>
    <w:rsid w:val="008944EA"/>
    <w:rsid w:val="008A1262"/>
    <w:rsid w:val="008A197B"/>
    <w:rsid w:val="008A56CB"/>
    <w:rsid w:val="008A7F29"/>
    <w:rsid w:val="008B0D98"/>
    <w:rsid w:val="008B1080"/>
    <w:rsid w:val="008B47CD"/>
    <w:rsid w:val="008B5E67"/>
    <w:rsid w:val="008B60D8"/>
    <w:rsid w:val="008B7FF1"/>
    <w:rsid w:val="008C13A7"/>
    <w:rsid w:val="008C13B3"/>
    <w:rsid w:val="008C3834"/>
    <w:rsid w:val="008C4533"/>
    <w:rsid w:val="008C66CE"/>
    <w:rsid w:val="008D0264"/>
    <w:rsid w:val="008D0420"/>
    <w:rsid w:val="008D11C1"/>
    <w:rsid w:val="008D19DF"/>
    <w:rsid w:val="008D3357"/>
    <w:rsid w:val="008D5BAB"/>
    <w:rsid w:val="008D64DD"/>
    <w:rsid w:val="008E0041"/>
    <w:rsid w:val="008E00D5"/>
    <w:rsid w:val="008E0519"/>
    <w:rsid w:val="008E1593"/>
    <w:rsid w:val="008E3AD6"/>
    <w:rsid w:val="008E63B1"/>
    <w:rsid w:val="008E6CF7"/>
    <w:rsid w:val="008E7FB1"/>
    <w:rsid w:val="008F0A3A"/>
    <w:rsid w:val="008F12BB"/>
    <w:rsid w:val="008F18EB"/>
    <w:rsid w:val="008F1C1A"/>
    <w:rsid w:val="008F60B9"/>
    <w:rsid w:val="00900AA4"/>
    <w:rsid w:val="0090178C"/>
    <w:rsid w:val="00901F6F"/>
    <w:rsid w:val="00905AB2"/>
    <w:rsid w:val="00906591"/>
    <w:rsid w:val="0091032D"/>
    <w:rsid w:val="009120AE"/>
    <w:rsid w:val="009127BC"/>
    <w:rsid w:val="009135C4"/>
    <w:rsid w:val="00914B67"/>
    <w:rsid w:val="00914FB8"/>
    <w:rsid w:val="009151F2"/>
    <w:rsid w:val="00915EB2"/>
    <w:rsid w:val="00915FD5"/>
    <w:rsid w:val="00916330"/>
    <w:rsid w:val="00917424"/>
    <w:rsid w:val="00917C9B"/>
    <w:rsid w:val="009207C0"/>
    <w:rsid w:val="00925071"/>
    <w:rsid w:val="00926AF0"/>
    <w:rsid w:val="009309B4"/>
    <w:rsid w:val="00930C72"/>
    <w:rsid w:val="0093304E"/>
    <w:rsid w:val="009349CD"/>
    <w:rsid w:val="00935B50"/>
    <w:rsid w:val="00937323"/>
    <w:rsid w:val="00943939"/>
    <w:rsid w:val="00945A5F"/>
    <w:rsid w:val="00946E4E"/>
    <w:rsid w:val="009477A8"/>
    <w:rsid w:val="0095164D"/>
    <w:rsid w:val="00954A75"/>
    <w:rsid w:val="009555EE"/>
    <w:rsid w:val="00957DBE"/>
    <w:rsid w:val="0096236D"/>
    <w:rsid w:val="00962A4B"/>
    <w:rsid w:val="00964CEC"/>
    <w:rsid w:val="00967777"/>
    <w:rsid w:val="00967C40"/>
    <w:rsid w:val="0097087C"/>
    <w:rsid w:val="00971F0C"/>
    <w:rsid w:val="00982A3C"/>
    <w:rsid w:val="00982D53"/>
    <w:rsid w:val="00987CE6"/>
    <w:rsid w:val="00991A4B"/>
    <w:rsid w:val="00993715"/>
    <w:rsid w:val="0099519E"/>
    <w:rsid w:val="009971C7"/>
    <w:rsid w:val="009A0F35"/>
    <w:rsid w:val="009A1176"/>
    <w:rsid w:val="009A2856"/>
    <w:rsid w:val="009A2CB2"/>
    <w:rsid w:val="009A3DF1"/>
    <w:rsid w:val="009A7500"/>
    <w:rsid w:val="009B0DA4"/>
    <w:rsid w:val="009B19C4"/>
    <w:rsid w:val="009B1F1D"/>
    <w:rsid w:val="009B3910"/>
    <w:rsid w:val="009B596F"/>
    <w:rsid w:val="009B70FC"/>
    <w:rsid w:val="009B7201"/>
    <w:rsid w:val="009C4006"/>
    <w:rsid w:val="009C705B"/>
    <w:rsid w:val="009C7AC0"/>
    <w:rsid w:val="009D1CB7"/>
    <w:rsid w:val="009D4732"/>
    <w:rsid w:val="009D7C3C"/>
    <w:rsid w:val="009E7DFF"/>
    <w:rsid w:val="009F1D1F"/>
    <w:rsid w:val="009F29AC"/>
    <w:rsid w:val="009F4BEA"/>
    <w:rsid w:val="009F52BE"/>
    <w:rsid w:val="009F6060"/>
    <w:rsid w:val="009F714B"/>
    <w:rsid w:val="00A02013"/>
    <w:rsid w:val="00A02820"/>
    <w:rsid w:val="00A02EC0"/>
    <w:rsid w:val="00A03D35"/>
    <w:rsid w:val="00A10F23"/>
    <w:rsid w:val="00A14796"/>
    <w:rsid w:val="00A15561"/>
    <w:rsid w:val="00A15D54"/>
    <w:rsid w:val="00A16518"/>
    <w:rsid w:val="00A17110"/>
    <w:rsid w:val="00A208DD"/>
    <w:rsid w:val="00A2310D"/>
    <w:rsid w:val="00A25D8D"/>
    <w:rsid w:val="00A262DA"/>
    <w:rsid w:val="00A27498"/>
    <w:rsid w:val="00A27D7E"/>
    <w:rsid w:val="00A3492E"/>
    <w:rsid w:val="00A37D44"/>
    <w:rsid w:val="00A40A49"/>
    <w:rsid w:val="00A44874"/>
    <w:rsid w:val="00A44CD8"/>
    <w:rsid w:val="00A45665"/>
    <w:rsid w:val="00A46F28"/>
    <w:rsid w:val="00A478CB"/>
    <w:rsid w:val="00A52E6B"/>
    <w:rsid w:val="00A55F47"/>
    <w:rsid w:val="00A60E2B"/>
    <w:rsid w:val="00A6126E"/>
    <w:rsid w:val="00A65037"/>
    <w:rsid w:val="00A7206D"/>
    <w:rsid w:val="00A72125"/>
    <w:rsid w:val="00A75B9B"/>
    <w:rsid w:val="00A80D11"/>
    <w:rsid w:val="00A82EC4"/>
    <w:rsid w:val="00A9538F"/>
    <w:rsid w:val="00A953D6"/>
    <w:rsid w:val="00AA34A5"/>
    <w:rsid w:val="00AA5C30"/>
    <w:rsid w:val="00AA62C2"/>
    <w:rsid w:val="00AA7F84"/>
    <w:rsid w:val="00AB230D"/>
    <w:rsid w:val="00AB3FE0"/>
    <w:rsid w:val="00AB4D48"/>
    <w:rsid w:val="00AC2AE9"/>
    <w:rsid w:val="00AD1EA2"/>
    <w:rsid w:val="00AD2F70"/>
    <w:rsid w:val="00AD40FE"/>
    <w:rsid w:val="00AE0B13"/>
    <w:rsid w:val="00AE1107"/>
    <w:rsid w:val="00AF0303"/>
    <w:rsid w:val="00AF1EC9"/>
    <w:rsid w:val="00AF41CE"/>
    <w:rsid w:val="00AF41FB"/>
    <w:rsid w:val="00AF5994"/>
    <w:rsid w:val="00B04827"/>
    <w:rsid w:val="00B05F07"/>
    <w:rsid w:val="00B0771A"/>
    <w:rsid w:val="00B13BBD"/>
    <w:rsid w:val="00B1524A"/>
    <w:rsid w:val="00B152FE"/>
    <w:rsid w:val="00B173CA"/>
    <w:rsid w:val="00B17F21"/>
    <w:rsid w:val="00B22196"/>
    <w:rsid w:val="00B235F0"/>
    <w:rsid w:val="00B2365B"/>
    <w:rsid w:val="00B265AB"/>
    <w:rsid w:val="00B30D8A"/>
    <w:rsid w:val="00B314BF"/>
    <w:rsid w:val="00B323BA"/>
    <w:rsid w:val="00B32465"/>
    <w:rsid w:val="00B3459D"/>
    <w:rsid w:val="00B35E89"/>
    <w:rsid w:val="00B362BA"/>
    <w:rsid w:val="00B36D73"/>
    <w:rsid w:val="00B40DFA"/>
    <w:rsid w:val="00B4333B"/>
    <w:rsid w:val="00B46B68"/>
    <w:rsid w:val="00B517D9"/>
    <w:rsid w:val="00B54AA0"/>
    <w:rsid w:val="00B60A73"/>
    <w:rsid w:val="00B60F9C"/>
    <w:rsid w:val="00B61F28"/>
    <w:rsid w:val="00B628FF"/>
    <w:rsid w:val="00B704E3"/>
    <w:rsid w:val="00B71B5C"/>
    <w:rsid w:val="00B72A5C"/>
    <w:rsid w:val="00B731AE"/>
    <w:rsid w:val="00B74E51"/>
    <w:rsid w:val="00B81DC3"/>
    <w:rsid w:val="00B840E7"/>
    <w:rsid w:val="00B848BF"/>
    <w:rsid w:val="00B853BB"/>
    <w:rsid w:val="00B85649"/>
    <w:rsid w:val="00B86235"/>
    <w:rsid w:val="00B8683F"/>
    <w:rsid w:val="00B87533"/>
    <w:rsid w:val="00B91EB9"/>
    <w:rsid w:val="00B94996"/>
    <w:rsid w:val="00B9725A"/>
    <w:rsid w:val="00BA184D"/>
    <w:rsid w:val="00BA5D9F"/>
    <w:rsid w:val="00BB0F53"/>
    <w:rsid w:val="00BB50B7"/>
    <w:rsid w:val="00BB7846"/>
    <w:rsid w:val="00BC34A0"/>
    <w:rsid w:val="00BD0322"/>
    <w:rsid w:val="00BD07AC"/>
    <w:rsid w:val="00BD2E4C"/>
    <w:rsid w:val="00BD3E19"/>
    <w:rsid w:val="00BD50C6"/>
    <w:rsid w:val="00BE05EB"/>
    <w:rsid w:val="00BE0A7F"/>
    <w:rsid w:val="00BE5793"/>
    <w:rsid w:val="00BE69A6"/>
    <w:rsid w:val="00BF15F0"/>
    <w:rsid w:val="00BF41B0"/>
    <w:rsid w:val="00C013F4"/>
    <w:rsid w:val="00C03BD6"/>
    <w:rsid w:val="00C051C2"/>
    <w:rsid w:val="00C05752"/>
    <w:rsid w:val="00C07473"/>
    <w:rsid w:val="00C117AF"/>
    <w:rsid w:val="00C11B65"/>
    <w:rsid w:val="00C13AAA"/>
    <w:rsid w:val="00C14BCB"/>
    <w:rsid w:val="00C15701"/>
    <w:rsid w:val="00C31428"/>
    <w:rsid w:val="00C3280C"/>
    <w:rsid w:val="00C32F79"/>
    <w:rsid w:val="00C33B8C"/>
    <w:rsid w:val="00C35155"/>
    <w:rsid w:val="00C378C2"/>
    <w:rsid w:val="00C41F95"/>
    <w:rsid w:val="00C425CB"/>
    <w:rsid w:val="00C4280E"/>
    <w:rsid w:val="00C44809"/>
    <w:rsid w:val="00C46C68"/>
    <w:rsid w:val="00C50B9A"/>
    <w:rsid w:val="00C51492"/>
    <w:rsid w:val="00C55C15"/>
    <w:rsid w:val="00C64704"/>
    <w:rsid w:val="00C648DE"/>
    <w:rsid w:val="00C65FCB"/>
    <w:rsid w:val="00C702D7"/>
    <w:rsid w:val="00C721FA"/>
    <w:rsid w:val="00C74C59"/>
    <w:rsid w:val="00C76B24"/>
    <w:rsid w:val="00C8217A"/>
    <w:rsid w:val="00C84B65"/>
    <w:rsid w:val="00C855F3"/>
    <w:rsid w:val="00C85F24"/>
    <w:rsid w:val="00C872D4"/>
    <w:rsid w:val="00C90CC6"/>
    <w:rsid w:val="00C90E69"/>
    <w:rsid w:val="00C924B5"/>
    <w:rsid w:val="00C929F0"/>
    <w:rsid w:val="00C932DE"/>
    <w:rsid w:val="00C94C50"/>
    <w:rsid w:val="00C95863"/>
    <w:rsid w:val="00C972B7"/>
    <w:rsid w:val="00C97D84"/>
    <w:rsid w:val="00CA1380"/>
    <w:rsid w:val="00CA167A"/>
    <w:rsid w:val="00CA2437"/>
    <w:rsid w:val="00CA2AAD"/>
    <w:rsid w:val="00CA6340"/>
    <w:rsid w:val="00CA6EAF"/>
    <w:rsid w:val="00CB0898"/>
    <w:rsid w:val="00CB38E7"/>
    <w:rsid w:val="00CB61D4"/>
    <w:rsid w:val="00CB750E"/>
    <w:rsid w:val="00CC38EC"/>
    <w:rsid w:val="00CC5613"/>
    <w:rsid w:val="00CC5F3B"/>
    <w:rsid w:val="00CC7425"/>
    <w:rsid w:val="00CD14AE"/>
    <w:rsid w:val="00CD4D9E"/>
    <w:rsid w:val="00CD5A11"/>
    <w:rsid w:val="00CD71DC"/>
    <w:rsid w:val="00CE06E7"/>
    <w:rsid w:val="00CE0D14"/>
    <w:rsid w:val="00CE22A5"/>
    <w:rsid w:val="00CE2C9B"/>
    <w:rsid w:val="00CE39EB"/>
    <w:rsid w:val="00CE3B17"/>
    <w:rsid w:val="00CE664F"/>
    <w:rsid w:val="00CE7D6B"/>
    <w:rsid w:val="00CF0402"/>
    <w:rsid w:val="00CF09B9"/>
    <w:rsid w:val="00CF1974"/>
    <w:rsid w:val="00CF342E"/>
    <w:rsid w:val="00CF4C68"/>
    <w:rsid w:val="00CF618B"/>
    <w:rsid w:val="00CF7CEB"/>
    <w:rsid w:val="00D0553E"/>
    <w:rsid w:val="00D128C2"/>
    <w:rsid w:val="00D21562"/>
    <w:rsid w:val="00D22F02"/>
    <w:rsid w:val="00D25CCA"/>
    <w:rsid w:val="00D2742B"/>
    <w:rsid w:val="00D307E6"/>
    <w:rsid w:val="00D30800"/>
    <w:rsid w:val="00D3434F"/>
    <w:rsid w:val="00D35B9F"/>
    <w:rsid w:val="00D40473"/>
    <w:rsid w:val="00D42EA3"/>
    <w:rsid w:val="00D435FD"/>
    <w:rsid w:val="00D44273"/>
    <w:rsid w:val="00D452A4"/>
    <w:rsid w:val="00D4550C"/>
    <w:rsid w:val="00D46743"/>
    <w:rsid w:val="00D4788A"/>
    <w:rsid w:val="00D478EE"/>
    <w:rsid w:val="00D53DD4"/>
    <w:rsid w:val="00D54C2E"/>
    <w:rsid w:val="00D55AE6"/>
    <w:rsid w:val="00D57876"/>
    <w:rsid w:val="00D61948"/>
    <w:rsid w:val="00D61BCC"/>
    <w:rsid w:val="00D62E09"/>
    <w:rsid w:val="00D6453F"/>
    <w:rsid w:val="00D6483F"/>
    <w:rsid w:val="00D6562F"/>
    <w:rsid w:val="00D71D30"/>
    <w:rsid w:val="00D740BD"/>
    <w:rsid w:val="00D753C7"/>
    <w:rsid w:val="00D76194"/>
    <w:rsid w:val="00D76377"/>
    <w:rsid w:val="00D779A9"/>
    <w:rsid w:val="00D80584"/>
    <w:rsid w:val="00D8112C"/>
    <w:rsid w:val="00D815A9"/>
    <w:rsid w:val="00D82968"/>
    <w:rsid w:val="00D82BB9"/>
    <w:rsid w:val="00D85370"/>
    <w:rsid w:val="00D91B6F"/>
    <w:rsid w:val="00D9271A"/>
    <w:rsid w:val="00D933B3"/>
    <w:rsid w:val="00D941A9"/>
    <w:rsid w:val="00D97D29"/>
    <w:rsid w:val="00DA4344"/>
    <w:rsid w:val="00DB164A"/>
    <w:rsid w:val="00DB1EDE"/>
    <w:rsid w:val="00DB46FB"/>
    <w:rsid w:val="00DB7B72"/>
    <w:rsid w:val="00DC136F"/>
    <w:rsid w:val="00DC3B92"/>
    <w:rsid w:val="00DC7BDE"/>
    <w:rsid w:val="00DD12D6"/>
    <w:rsid w:val="00DD18BD"/>
    <w:rsid w:val="00DD6432"/>
    <w:rsid w:val="00DD6EEB"/>
    <w:rsid w:val="00DE2636"/>
    <w:rsid w:val="00DE29E0"/>
    <w:rsid w:val="00DE6A12"/>
    <w:rsid w:val="00DF1096"/>
    <w:rsid w:val="00DF1B9A"/>
    <w:rsid w:val="00DF573A"/>
    <w:rsid w:val="00DF6876"/>
    <w:rsid w:val="00DF6969"/>
    <w:rsid w:val="00DF6AA8"/>
    <w:rsid w:val="00DF7504"/>
    <w:rsid w:val="00E00B83"/>
    <w:rsid w:val="00E019E8"/>
    <w:rsid w:val="00E03E0E"/>
    <w:rsid w:val="00E076EE"/>
    <w:rsid w:val="00E123F5"/>
    <w:rsid w:val="00E1375A"/>
    <w:rsid w:val="00E15E74"/>
    <w:rsid w:val="00E2348F"/>
    <w:rsid w:val="00E24230"/>
    <w:rsid w:val="00E26A72"/>
    <w:rsid w:val="00E26B5F"/>
    <w:rsid w:val="00E31A8F"/>
    <w:rsid w:val="00E32AAA"/>
    <w:rsid w:val="00E37142"/>
    <w:rsid w:val="00E43D1E"/>
    <w:rsid w:val="00E45AD6"/>
    <w:rsid w:val="00E46707"/>
    <w:rsid w:val="00E506A0"/>
    <w:rsid w:val="00E50BEE"/>
    <w:rsid w:val="00E516A8"/>
    <w:rsid w:val="00E51843"/>
    <w:rsid w:val="00E5241B"/>
    <w:rsid w:val="00E5297E"/>
    <w:rsid w:val="00E5380E"/>
    <w:rsid w:val="00E60153"/>
    <w:rsid w:val="00E63EA6"/>
    <w:rsid w:val="00E642B3"/>
    <w:rsid w:val="00E65F27"/>
    <w:rsid w:val="00E66819"/>
    <w:rsid w:val="00E72B44"/>
    <w:rsid w:val="00E73628"/>
    <w:rsid w:val="00E739F1"/>
    <w:rsid w:val="00E756E6"/>
    <w:rsid w:val="00E75C1F"/>
    <w:rsid w:val="00E81696"/>
    <w:rsid w:val="00E819AF"/>
    <w:rsid w:val="00E82080"/>
    <w:rsid w:val="00E84B59"/>
    <w:rsid w:val="00E86EFA"/>
    <w:rsid w:val="00E87838"/>
    <w:rsid w:val="00E87E3D"/>
    <w:rsid w:val="00E90E80"/>
    <w:rsid w:val="00E92501"/>
    <w:rsid w:val="00E939E0"/>
    <w:rsid w:val="00E94523"/>
    <w:rsid w:val="00E9492E"/>
    <w:rsid w:val="00E96141"/>
    <w:rsid w:val="00E9637B"/>
    <w:rsid w:val="00EA2289"/>
    <w:rsid w:val="00EA2A89"/>
    <w:rsid w:val="00EA2B4A"/>
    <w:rsid w:val="00EB11DB"/>
    <w:rsid w:val="00EB2213"/>
    <w:rsid w:val="00EB6B7C"/>
    <w:rsid w:val="00EB6B8E"/>
    <w:rsid w:val="00EB765E"/>
    <w:rsid w:val="00EB7CB5"/>
    <w:rsid w:val="00EC175E"/>
    <w:rsid w:val="00EC2146"/>
    <w:rsid w:val="00EC4FF3"/>
    <w:rsid w:val="00EC5753"/>
    <w:rsid w:val="00EC7572"/>
    <w:rsid w:val="00ED16B7"/>
    <w:rsid w:val="00ED31BF"/>
    <w:rsid w:val="00ED4BDF"/>
    <w:rsid w:val="00ED57B6"/>
    <w:rsid w:val="00ED5C4F"/>
    <w:rsid w:val="00ED6A14"/>
    <w:rsid w:val="00EE2239"/>
    <w:rsid w:val="00EE5171"/>
    <w:rsid w:val="00EF0BF2"/>
    <w:rsid w:val="00EF2678"/>
    <w:rsid w:val="00EF3112"/>
    <w:rsid w:val="00EF5855"/>
    <w:rsid w:val="00EF7BEB"/>
    <w:rsid w:val="00F0021A"/>
    <w:rsid w:val="00F0480C"/>
    <w:rsid w:val="00F058F4"/>
    <w:rsid w:val="00F127BA"/>
    <w:rsid w:val="00F12ED0"/>
    <w:rsid w:val="00F1385F"/>
    <w:rsid w:val="00F1526D"/>
    <w:rsid w:val="00F15769"/>
    <w:rsid w:val="00F2015F"/>
    <w:rsid w:val="00F21266"/>
    <w:rsid w:val="00F228BF"/>
    <w:rsid w:val="00F2342D"/>
    <w:rsid w:val="00F26958"/>
    <w:rsid w:val="00F30B17"/>
    <w:rsid w:val="00F310EC"/>
    <w:rsid w:val="00F339E1"/>
    <w:rsid w:val="00F3697B"/>
    <w:rsid w:val="00F40688"/>
    <w:rsid w:val="00F413B4"/>
    <w:rsid w:val="00F455FD"/>
    <w:rsid w:val="00F4727C"/>
    <w:rsid w:val="00F47E92"/>
    <w:rsid w:val="00F52F56"/>
    <w:rsid w:val="00F55E5F"/>
    <w:rsid w:val="00F56157"/>
    <w:rsid w:val="00F5750E"/>
    <w:rsid w:val="00F57515"/>
    <w:rsid w:val="00F637ED"/>
    <w:rsid w:val="00F63902"/>
    <w:rsid w:val="00F660AC"/>
    <w:rsid w:val="00F7421E"/>
    <w:rsid w:val="00F7440C"/>
    <w:rsid w:val="00F75D35"/>
    <w:rsid w:val="00F76418"/>
    <w:rsid w:val="00F82944"/>
    <w:rsid w:val="00F868BD"/>
    <w:rsid w:val="00F874C5"/>
    <w:rsid w:val="00F87FC9"/>
    <w:rsid w:val="00F90994"/>
    <w:rsid w:val="00F934E0"/>
    <w:rsid w:val="00F94512"/>
    <w:rsid w:val="00F945B2"/>
    <w:rsid w:val="00F96139"/>
    <w:rsid w:val="00F96C14"/>
    <w:rsid w:val="00FA3BD0"/>
    <w:rsid w:val="00FA63F4"/>
    <w:rsid w:val="00FA6F27"/>
    <w:rsid w:val="00FA7C4A"/>
    <w:rsid w:val="00FB15D0"/>
    <w:rsid w:val="00FB1A29"/>
    <w:rsid w:val="00FB2E31"/>
    <w:rsid w:val="00FB34F2"/>
    <w:rsid w:val="00FB3504"/>
    <w:rsid w:val="00FB3881"/>
    <w:rsid w:val="00FB4F8F"/>
    <w:rsid w:val="00FB5B6F"/>
    <w:rsid w:val="00FB628D"/>
    <w:rsid w:val="00FB7793"/>
    <w:rsid w:val="00FC0FBA"/>
    <w:rsid w:val="00FC1940"/>
    <w:rsid w:val="00FC195C"/>
    <w:rsid w:val="00FC32CA"/>
    <w:rsid w:val="00FC333A"/>
    <w:rsid w:val="00FC5264"/>
    <w:rsid w:val="00FC560E"/>
    <w:rsid w:val="00FD4779"/>
    <w:rsid w:val="00FD5589"/>
    <w:rsid w:val="00FE30AE"/>
    <w:rsid w:val="00FE673A"/>
    <w:rsid w:val="00FE7E72"/>
    <w:rsid w:val="00FF2DF6"/>
    <w:rsid w:val="00FF37A4"/>
    <w:rsid w:val="00FF390C"/>
    <w:rsid w:val="00FF7FC4"/>
    <w:rsid w:val="027D0840"/>
    <w:rsid w:val="050C7DB0"/>
    <w:rsid w:val="07D8071E"/>
    <w:rsid w:val="117D3715"/>
    <w:rsid w:val="11A47978"/>
    <w:rsid w:val="139C4092"/>
    <w:rsid w:val="162756D1"/>
    <w:rsid w:val="16D84C63"/>
    <w:rsid w:val="1D890CF9"/>
    <w:rsid w:val="1DA92849"/>
    <w:rsid w:val="1DE77A26"/>
    <w:rsid w:val="1E416885"/>
    <w:rsid w:val="1F331154"/>
    <w:rsid w:val="21DA1894"/>
    <w:rsid w:val="264B1865"/>
    <w:rsid w:val="28103F14"/>
    <w:rsid w:val="2B12618E"/>
    <w:rsid w:val="30F26272"/>
    <w:rsid w:val="347177C5"/>
    <w:rsid w:val="36F02488"/>
    <w:rsid w:val="37A61327"/>
    <w:rsid w:val="3BFF2D24"/>
    <w:rsid w:val="45BF1881"/>
    <w:rsid w:val="45EE5BE0"/>
    <w:rsid w:val="475344B7"/>
    <w:rsid w:val="478C6A66"/>
    <w:rsid w:val="48A82A76"/>
    <w:rsid w:val="4A574A88"/>
    <w:rsid w:val="4F001E86"/>
    <w:rsid w:val="513C27A9"/>
    <w:rsid w:val="54844E86"/>
    <w:rsid w:val="54EC4C88"/>
    <w:rsid w:val="5750064C"/>
    <w:rsid w:val="595F3190"/>
    <w:rsid w:val="5F8509CB"/>
    <w:rsid w:val="5FBB5A29"/>
    <w:rsid w:val="60E01AE0"/>
    <w:rsid w:val="6103720E"/>
    <w:rsid w:val="665D0F58"/>
    <w:rsid w:val="6E5160A4"/>
    <w:rsid w:val="6EAB6798"/>
    <w:rsid w:val="71073748"/>
    <w:rsid w:val="73B76CDF"/>
    <w:rsid w:val="75415DBC"/>
    <w:rsid w:val="76C806A0"/>
    <w:rsid w:val="78714E4B"/>
    <w:rsid w:val="79993F83"/>
    <w:rsid w:val="7BA97571"/>
    <w:rsid w:val="7BD82F29"/>
    <w:rsid w:val="7D9448EB"/>
    <w:rsid w:val="7DA6187C"/>
    <w:rsid w:val="7F7B7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9"/>
    <w:uiPriority w:val="0"/>
    <w:pPr>
      <w:ind w:left="100" w:leftChars="2500"/>
    </w:pPr>
  </w:style>
  <w:style w:type="paragraph" w:styleId="3">
    <w:name w:val="Balloon Text"/>
    <w:basedOn w:val="1"/>
    <w:link w:val="17"/>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Strong"/>
    <w:basedOn w:val="8"/>
    <w:qFormat/>
    <w:uiPriority w:val="22"/>
    <w:rPr>
      <w:b/>
      <w:bCs/>
    </w:rPr>
  </w:style>
  <w:style w:type="character" w:styleId="10">
    <w:name w:val="FollowedHyperlink"/>
    <w:basedOn w:val="8"/>
    <w:qFormat/>
    <w:uiPriority w:val="0"/>
    <w:rPr>
      <w:color w:val="005C81"/>
      <w:u w:val="none"/>
    </w:rPr>
  </w:style>
  <w:style w:type="character" w:styleId="11">
    <w:name w:val="Emphasis"/>
    <w:basedOn w:val="8"/>
    <w:qFormat/>
    <w:uiPriority w:val="20"/>
  </w:style>
  <w:style w:type="character" w:styleId="12">
    <w:name w:val="Hyperlink"/>
    <w:basedOn w:val="8"/>
    <w:qFormat/>
    <w:uiPriority w:val="0"/>
    <w:rPr>
      <w:color w:val="005C81"/>
      <w:u w:val="none"/>
    </w:rPr>
  </w:style>
  <w:style w:type="character" w:customStyle="1" w:styleId="13">
    <w:name w:val="页眉 Char"/>
    <w:basedOn w:val="8"/>
    <w:link w:val="5"/>
    <w:qFormat/>
    <w:uiPriority w:val="0"/>
    <w:rPr>
      <w:rFonts w:ascii="Calibri" w:hAnsi="Calibri"/>
      <w:kern w:val="2"/>
      <w:sz w:val="18"/>
      <w:szCs w:val="18"/>
    </w:rPr>
  </w:style>
  <w:style w:type="character" w:customStyle="1" w:styleId="14">
    <w:name w:val="页脚 Char"/>
    <w:basedOn w:val="8"/>
    <w:link w:val="4"/>
    <w:qFormat/>
    <w:uiPriority w:val="99"/>
    <w:rPr>
      <w:rFonts w:ascii="Calibri" w:hAnsi="Calibri"/>
      <w:kern w:val="2"/>
      <w:sz w:val="18"/>
      <w:szCs w:val="18"/>
    </w:rPr>
  </w:style>
  <w:style w:type="character" w:customStyle="1" w:styleId="15">
    <w:name w:val="font81"/>
    <w:basedOn w:val="8"/>
    <w:qFormat/>
    <w:uiPriority w:val="0"/>
    <w:rPr>
      <w:rFonts w:hint="eastAsia" w:ascii="仿宋_GB2312" w:eastAsia="仿宋_GB2312" w:cs="仿宋_GB2312"/>
      <w:color w:val="000000"/>
      <w:sz w:val="21"/>
      <w:szCs w:val="21"/>
      <w:u w:val="none"/>
    </w:rPr>
  </w:style>
  <w:style w:type="character" w:customStyle="1" w:styleId="16">
    <w:name w:val="font61"/>
    <w:basedOn w:val="8"/>
    <w:qFormat/>
    <w:uiPriority w:val="0"/>
    <w:rPr>
      <w:rFonts w:ascii="仿宋_GB2312" w:eastAsia="仿宋_GB2312" w:cs="仿宋_GB2312"/>
      <w:color w:val="000000"/>
      <w:sz w:val="21"/>
      <w:szCs w:val="21"/>
      <w:u w:val="none"/>
    </w:rPr>
  </w:style>
  <w:style w:type="character" w:customStyle="1" w:styleId="17">
    <w:name w:val="批注框文本 Char"/>
    <w:basedOn w:val="8"/>
    <w:link w:val="3"/>
    <w:qFormat/>
    <w:uiPriority w:val="0"/>
    <w:rPr>
      <w:rFonts w:ascii="Calibri" w:hAnsi="Calibri"/>
      <w:kern w:val="2"/>
      <w:sz w:val="18"/>
      <w:szCs w:val="18"/>
    </w:rPr>
  </w:style>
  <w:style w:type="paragraph" w:customStyle="1" w:styleId="18">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9">
    <w:name w:val="日期 Char"/>
    <w:basedOn w:val="8"/>
    <w:link w:val="2"/>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C19B-46FA-4F5A-87E1-045FEE8C7C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7322</Words>
  <Characters>7832</Characters>
  <Lines>56</Lines>
  <Paragraphs>15</Paragraphs>
  <TotalTime>14</TotalTime>
  <ScaleCrop>false</ScaleCrop>
  <LinksUpToDate>false</LinksUpToDate>
  <CharactersWithSpaces>7840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2021-01-08T14:09:00Z</dcterms:created>
  <dc:creator>璜泾小陆</dc:creator>
  <cp:lastModifiedBy>fight for myself</cp:lastModifiedBy>
  <cp:lastPrinted>2021-01-08T15:25:00Z</cp:lastPrinted>
  <dcterms:modified xsi:type="dcterms:W3CDTF">2022-08-24T09:09:05Z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E15E757CD4A843D8AFFF6E7A5F06D175</vt:lpwstr>
  </property>
</Properties>
</file>