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snapToGrid/>
          <w:color w:val="auto"/>
          <w:kern w:val="2"/>
          <w:sz w:val="44"/>
          <w:szCs w:val="44"/>
        </w:rPr>
      </w:pPr>
      <w:r>
        <w:rPr>
          <w:rFonts w:hint="default" w:ascii="Times New Roman" w:hAnsi="Times New Roman" w:eastAsia="方正小标宋简体" w:cs="Times New Roman"/>
          <w:b w:val="0"/>
          <w:bCs w:val="0"/>
          <w:snapToGrid/>
          <w:color w:val="auto"/>
          <w:kern w:val="2"/>
          <w:sz w:val="44"/>
          <w:szCs w:val="44"/>
        </w:rPr>
        <w:t>关于进一步加强我市城市园林绿化建设养护</w:t>
      </w:r>
    </w:p>
    <w:p>
      <w:pPr>
        <w:keepNext w:val="0"/>
        <w:keepLines w:val="0"/>
        <w:pageBreakBefore w:val="0"/>
        <w:widowControl w:val="0"/>
        <w:kinsoku/>
        <w:wordWrap/>
        <w:overflowPunct w:val="0"/>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snapToGrid/>
          <w:color w:val="auto"/>
          <w:kern w:val="2"/>
          <w:sz w:val="44"/>
          <w:szCs w:val="44"/>
        </w:rPr>
      </w:pPr>
      <w:r>
        <w:rPr>
          <w:rFonts w:hint="default" w:ascii="Times New Roman" w:hAnsi="Times New Roman" w:eastAsia="方正小标宋简体" w:cs="Times New Roman"/>
          <w:b w:val="0"/>
          <w:bCs w:val="0"/>
          <w:snapToGrid/>
          <w:color w:val="auto"/>
          <w:kern w:val="2"/>
          <w:sz w:val="44"/>
          <w:szCs w:val="44"/>
        </w:rPr>
        <w:t>管理工作的实施意见</w:t>
      </w:r>
    </w:p>
    <w:p>
      <w:pPr>
        <w:keepNext w:val="0"/>
        <w:keepLines w:val="0"/>
        <w:pageBreakBefore w:val="0"/>
        <w:wordWrap/>
        <w:topLinePunct w:val="0"/>
        <w:bidi w:val="0"/>
        <w:adjustRightInd w:val="0"/>
        <w:snapToGrid w:val="0"/>
        <w:spacing w:beforeLines="50" w:afterLines="50" w:line="560" w:lineRule="exact"/>
        <w:jc w:val="center"/>
        <w:rPr>
          <w:rFonts w:hint="default" w:ascii="Times New Roman" w:hAnsi="Times New Roman" w:eastAsia="宋体" w:cs="Times New Roman"/>
          <w:b/>
          <w:bCs/>
          <w:color w:val="auto"/>
          <w:spacing w:val="4"/>
          <w:sz w:val="44"/>
          <w:szCs w:val="44"/>
        </w:rPr>
      </w:pP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为进一步加强我市城市园林绿化建设、养护管理工作，提高城市园林绿化水平，改善人居环境，提升城市品位，根据国务院《城市绿化条例》《江苏省城市绿化管理条例》《苏州市城市绿化条例》等有关法律、法规和文件规定，结合我市实际，制定本实施意见。</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黑体" w:cs="Times New Roman"/>
          <w:snapToGrid/>
          <w:color w:val="auto"/>
          <w:spacing w:val="-4"/>
          <w:kern w:val="2"/>
          <w:sz w:val="32"/>
          <w:szCs w:val="32"/>
        </w:rPr>
      </w:pPr>
      <w:r>
        <w:rPr>
          <w:rFonts w:hint="default" w:ascii="Times New Roman" w:hAnsi="Times New Roman" w:eastAsia="黑体" w:cs="Times New Roman"/>
          <w:snapToGrid/>
          <w:color w:val="auto"/>
          <w:spacing w:val="-4"/>
          <w:kern w:val="2"/>
          <w:sz w:val="32"/>
          <w:szCs w:val="32"/>
        </w:rPr>
        <w:t>一、指导思想</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坚持以习近平新时代中国特色社会主义思想为指导，深入贯彻落实习近平总书记关于生态文明和城市工作的重要论述，以巩固国家生态园林城市成果，建设“公园城市”为抓手，坚持生态优先、开放共享、节约发展的理念，坚持因地制宜、科学规划、建管并重、全民参与的原则。</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黑体" w:cs="Times New Roman"/>
          <w:snapToGrid/>
          <w:color w:val="auto"/>
          <w:spacing w:val="-4"/>
          <w:kern w:val="2"/>
          <w:sz w:val="32"/>
          <w:szCs w:val="32"/>
        </w:rPr>
      </w:pPr>
      <w:r>
        <w:rPr>
          <w:rFonts w:hint="default" w:ascii="Times New Roman" w:hAnsi="Times New Roman" w:eastAsia="黑体" w:cs="Times New Roman"/>
          <w:snapToGrid/>
          <w:color w:val="auto"/>
          <w:spacing w:val="-4"/>
          <w:kern w:val="2"/>
          <w:sz w:val="32"/>
          <w:szCs w:val="32"/>
          <w:lang w:val="en-US" w:eastAsia="zh-CN"/>
        </w:rPr>
        <w:t>二、</w:t>
      </w:r>
      <w:r>
        <w:rPr>
          <w:rFonts w:hint="default" w:ascii="Times New Roman" w:hAnsi="Times New Roman" w:eastAsia="黑体" w:cs="Times New Roman"/>
          <w:snapToGrid/>
          <w:color w:val="auto"/>
          <w:spacing w:val="-4"/>
          <w:kern w:val="2"/>
          <w:sz w:val="32"/>
          <w:szCs w:val="32"/>
        </w:rPr>
        <w:t>工作目标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积极推进“公园城市”建设，顺应城市园林绿化从增量模式转变为存量更新提升模式的发展新趋势新要求，实现城市园林绿化质量的提高和管养水平的提升，促进城市可持续发展。努力达到以下目标：</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（一）进一步明确城市园林绿化主管部门、各镇（区、街道）、市相关部门在城市园林绿化建设养护管理方面的工作职责，消除行业监管盲区。</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（二）加强园林绿化规划管理，切实维护城市绿化成果，不断增加城市绿量。</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（三）加强园林绿化工程设计方案审查、工程施工监管、工程备案等全流程管理。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（四）规范园林绿化修剪、移植和砍伐行为，杜绝过度修剪、乱砍滥伐等违法行为。</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（五）加大园林绿化执法力度，建立部门联动机制，保护绿化成果不受侵害。</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lang w:val="en-US" w:eastAsia="zh-CN"/>
        </w:rPr>
      </w:pPr>
      <w:r>
        <w:rPr>
          <w:rFonts w:hint="default" w:ascii="Times New Roman" w:hAnsi="Times New Roman" w:eastAsia="仿宋_GB2312" w:cs="Times New Roman"/>
          <w:snapToGrid/>
          <w:color w:val="auto"/>
          <w:spacing w:val="-4"/>
          <w:kern w:val="2"/>
          <w:sz w:val="32"/>
          <w:szCs w:val="32"/>
          <w:lang w:eastAsia="zh-CN"/>
        </w:rPr>
        <w:t>（</w:t>
      </w:r>
      <w:r>
        <w:rPr>
          <w:rFonts w:hint="default" w:ascii="Times New Roman" w:hAnsi="Times New Roman" w:eastAsia="仿宋_GB2312" w:cs="Times New Roman"/>
          <w:snapToGrid/>
          <w:color w:val="auto"/>
          <w:spacing w:val="-4"/>
          <w:kern w:val="2"/>
          <w:sz w:val="32"/>
          <w:szCs w:val="32"/>
          <w:lang w:val="en-US" w:eastAsia="zh-CN"/>
        </w:rPr>
        <w:t>六</w:t>
      </w:r>
      <w:r>
        <w:rPr>
          <w:rFonts w:hint="default" w:ascii="Times New Roman" w:hAnsi="Times New Roman" w:eastAsia="仿宋_GB2312" w:cs="Times New Roman"/>
          <w:snapToGrid/>
          <w:color w:val="auto"/>
          <w:spacing w:val="-4"/>
          <w:kern w:val="2"/>
          <w:sz w:val="32"/>
          <w:szCs w:val="32"/>
          <w:lang w:eastAsia="zh-CN"/>
        </w:rPr>
        <w:t>）</w:t>
      </w:r>
      <w:r>
        <w:rPr>
          <w:rFonts w:hint="default" w:ascii="Times New Roman" w:hAnsi="Times New Roman" w:eastAsia="仿宋_GB2312" w:cs="Times New Roman"/>
          <w:snapToGrid/>
          <w:color w:val="auto"/>
          <w:spacing w:val="-4"/>
          <w:kern w:val="2"/>
          <w:sz w:val="32"/>
          <w:szCs w:val="32"/>
          <w:lang w:val="en-US" w:eastAsia="zh-CN"/>
        </w:rPr>
        <w:t>推进</w:t>
      </w:r>
      <w:r>
        <w:rPr>
          <w:rFonts w:hint="default" w:ascii="Times New Roman" w:hAnsi="Times New Roman" w:eastAsia="仿宋_GB2312" w:cs="Times New Roman"/>
          <w:snapToGrid/>
          <w:color w:val="auto"/>
          <w:spacing w:val="-4"/>
          <w:kern w:val="2"/>
          <w:sz w:val="32"/>
          <w:szCs w:val="32"/>
        </w:rPr>
        <w:t>城市</w:t>
      </w:r>
      <w:r>
        <w:rPr>
          <w:rFonts w:hint="default" w:ascii="Times New Roman" w:hAnsi="Times New Roman" w:eastAsia="仿宋_GB2312" w:cs="Times New Roman"/>
          <w:snapToGrid/>
          <w:color w:val="auto"/>
          <w:spacing w:val="-4"/>
          <w:kern w:val="2"/>
          <w:sz w:val="32"/>
          <w:szCs w:val="32"/>
          <w:lang w:val="en-US" w:eastAsia="zh-CN"/>
        </w:rPr>
        <w:t>园林绿化废弃物综合利用，健全</w:t>
      </w:r>
      <w:r>
        <w:rPr>
          <w:rFonts w:hint="default" w:ascii="Times New Roman" w:hAnsi="Times New Roman" w:eastAsia="仿宋_GB2312" w:cs="Times New Roman"/>
          <w:snapToGrid/>
          <w:color w:val="auto"/>
          <w:spacing w:val="-4"/>
          <w:kern w:val="2"/>
          <w:sz w:val="32"/>
          <w:szCs w:val="32"/>
        </w:rPr>
        <w:t>城市</w:t>
      </w:r>
      <w:r>
        <w:rPr>
          <w:rFonts w:hint="default" w:ascii="Times New Roman" w:hAnsi="Times New Roman" w:eastAsia="仿宋_GB2312" w:cs="Times New Roman"/>
          <w:snapToGrid/>
          <w:color w:val="auto"/>
          <w:spacing w:val="-4"/>
          <w:kern w:val="2"/>
          <w:sz w:val="32"/>
          <w:szCs w:val="32"/>
          <w:lang w:val="en-US" w:eastAsia="zh-CN"/>
        </w:rPr>
        <w:t>园林绿化废弃物源头减量、分类收集、转运和处理闭环管理体系。</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黑体" w:cs="Times New Roman"/>
          <w:snapToGrid/>
          <w:color w:val="auto"/>
          <w:spacing w:val="-4"/>
          <w:kern w:val="2"/>
          <w:sz w:val="32"/>
          <w:szCs w:val="32"/>
        </w:rPr>
      </w:pPr>
      <w:r>
        <w:rPr>
          <w:rFonts w:hint="default" w:ascii="Times New Roman" w:hAnsi="Times New Roman" w:eastAsia="黑体" w:cs="Times New Roman"/>
          <w:snapToGrid/>
          <w:color w:val="auto"/>
          <w:spacing w:val="-4"/>
          <w:kern w:val="2"/>
          <w:sz w:val="32"/>
          <w:szCs w:val="32"/>
        </w:rPr>
        <w:t>三、重点任务</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楷体_GB2312" w:cs="Times New Roman"/>
          <w:snapToGrid/>
          <w:color w:val="auto"/>
          <w:spacing w:val="-4"/>
          <w:kern w:val="2"/>
          <w:sz w:val="32"/>
          <w:szCs w:val="32"/>
        </w:rPr>
      </w:pPr>
      <w:r>
        <w:rPr>
          <w:rFonts w:hint="default" w:ascii="Times New Roman" w:hAnsi="Times New Roman" w:eastAsia="楷体_GB2312" w:cs="Times New Roman"/>
          <w:snapToGrid/>
          <w:color w:val="auto"/>
          <w:spacing w:val="-4"/>
          <w:kern w:val="2"/>
          <w:sz w:val="32"/>
          <w:szCs w:val="32"/>
        </w:rPr>
        <w:t>（一）明确相关部门</w:t>
      </w:r>
      <w:r>
        <w:rPr>
          <w:rFonts w:hint="default" w:ascii="Times New Roman" w:hAnsi="Times New Roman" w:eastAsia="楷体_GB2312" w:cs="Times New Roman"/>
          <w:snapToGrid/>
          <w:color w:val="auto"/>
          <w:spacing w:val="-4"/>
          <w:kern w:val="2"/>
          <w:sz w:val="32"/>
          <w:szCs w:val="32"/>
          <w:lang w:val="en-US" w:eastAsia="zh-CN"/>
        </w:rPr>
        <w:t>和单位的</w:t>
      </w:r>
      <w:r>
        <w:rPr>
          <w:rFonts w:hint="default" w:ascii="Times New Roman" w:hAnsi="Times New Roman" w:eastAsia="楷体_GB2312" w:cs="Times New Roman"/>
          <w:snapToGrid/>
          <w:color w:val="auto"/>
          <w:spacing w:val="-4"/>
          <w:kern w:val="2"/>
          <w:sz w:val="32"/>
          <w:szCs w:val="32"/>
        </w:rPr>
        <w:t>工作职责</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市住房和城乡建设局作为全市城市园林绿化行政主管部门，负责本行政区域内的城市园林绿化工作；指导各镇（区、街道）园林绿化的建设、养护管理；负责制定城市园林绿化建设项目的年度计划，并组织实施；</w:t>
      </w:r>
      <w:r>
        <w:rPr>
          <w:rFonts w:hint="default" w:ascii="Times New Roman" w:hAnsi="Times New Roman" w:eastAsia="仿宋_GB2312" w:cs="Times New Roman"/>
          <w:snapToGrid/>
          <w:color w:val="auto"/>
          <w:spacing w:val="-4"/>
          <w:kern w:val="2"/>
          <w:sz w:val="32"/>
          <w:szCs w:val="32"/>
          <w:lang w:val="en-US" w:eastAsia="zh-CN"/>
        </w:rPr>
        <w:t>对</w:t>
      </w:r>
      <w:r>
        <w:rPr>
          <w:rFonts w:hint="default" w:ascii="Times New Roman" w:hAnsi="Times New Roman" w:eastAsia="仿宋_GB2312" w:cs="Times New Roman"/>
          <w:snapToGrid/>
          <w:color w:val="auto"/>
          <w:spacing w:val="-4"/>
          <w:kern w:val="2"/>
          <w:sz w:val="32"/>
          <w:szCs w:val="32"/>
        </w:rPr>
        <w:t>主城区范围内主干道、公园、广场园林绿化工程的设计方案</w:t>
      </w:r>
      <w:r>
        <w:rPr>
          <w:rFonts w:hint="default" w:ascii="Times New Roman" w:hAnsi="Times New Roman" w:eastAsia="仿宋_GB2312" w:cs="Times New Roman"/>
          <w:snapToGrid/>
          <w:color w:val="auto"/>
          <w:spacing w:val="-4"/>
          <w:kern w:val="2"/>
          <w:sz w:val="32"/>
          <w:szCs w:val="32"/>
          <w:lang w:val="en-US" w:eastAsia="zh-CN"/>
        </w:rPr>
        <w:t>进行</w:t>
      </w:r>
      <w:r>
        <w:rPr>
          <w:rFonts w:hint="default" w:ascii="Times New Roman" w:hAnsi="Times New Roman" w:eastAsia="仿宋_GB2312" w:cs="Times New Roman"/>
          <w:snapToGrid/>
          <w:color w:val="auto"/>
          <w:spacing w:val="-4"/>
          <w:kern w:val="2"/>
          <w:sz w:val="32"/>
          <w:szCs w:val="32"/>
        </w:rPr>
        <w:t>审查；负责全市城市园林绿化工程的备案。</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各镇（区、街道）园林绿化管理部门，负责辖区内园林绿化建设、养护管理工作；</w:t>
      </w:r>
      <w:r>
        <w:rPr>
          <w:rFonts w:hint="default" w:ascii="Times New Roman" w:hAnsi="Times New Roman" w:eastAsia="仿宋_GB2312" w:cs="Times New Roman"/>
          <w:snapToGrid/>
          <w:color w:val="auto"/>
          <w:spacing w:val="-4"/>
          <w:kern w:val="2"/>
          <w:sz w:val="32"/>
          <w:szCs w:val="32"/>
          <w:lang w:val="en-US" w:eastAsia="zh-CN"/>
        </w:rPr>
        <w:t>对</w:t>
      </w:r>
      <w:r>
        <w:rPr>
          <w:rFonts w:hint="default" w:ascii="Times New Roman" w:hAnsi="Times New Roman" w:eastAsia="仿宋_GB2312" w:cs="Times New Roman"/>
          <w:snapToGrid/>
          <w:color w:val="auto"/>
          <w:spacing w:val="-4"/>
          <w:kern w:val="2"/>
          <w:sz w:val="32"/>
          <w:szCs w:val="32"/>
        </w:rPr>
        <w:t>除主城区主干道、公园、广场绿化以外</w:t>
      </w:r>
      <w:r>
        <w:rPr>
          <w:rFonts w:hint="default" w:ascii="Times New Roman" w:hAnsi="Times New Roman" w:eastAsia="仿宋_GB2312" w:cs="Times New Roman"/>
          <w:snapToGrid/>
          <w:color w:val="auto"/>
          <w:spacing w:val="-4"/>
          <w:kern w:val="2"/>
          <w:sz w:val="32"/>
          <w:szCs w:val="32"/>
          <w:lang w:eastAsia="zh-CN"/>
        </w:rPr>
        <w:t>的</w:t>
      </w:r>
      <w:r>
        <w:rPr>
          <w:rFonts w:hint="default" w:ascii="Times New Roman" w:hAnsi="Times New Roman" w:eastAsia="仿宋_GB2312" w:cs="Times New Roman"/>
          <w:snapToGrid/>
          <w:color w:val="auto"/>
          <w:spacing w:val="-4"/>
          <w:kern w:val="2"/>
          <w:sz w:val="32"/>
          <w:szCs w:val="32"/>
        </w:rPr>
        <w:t>园林绿化工程的设计方案</w:t>
      </w:r>
      <w:r>
        <w:rPr>
          <w:rFonts w:hint="default" w:ascii="Times New Roman" w:hAnsi="Times New Roman" w:eastAsia="仿宋_GB2312" w:cs="Times New Roman"/>
          <w:snapToGrid/>
          <w:color w:val="auto"/>
          <w:spacing w:val="-4"/>
          <w:kern w:val="2"/>
          <w:sz w:val="32"/>
          <w:szCs w:val="32"/>
          <w:lang w:val="en-US" w:eastAsia="zh-CN"/>
        </w:rPr>
        <w:t>进行</w:t>
      </w:r>
      <w:r>
        <w:rPr>
          <w:rFonts w:hint="default" w:ascii="Times New Roman" w:hAnsi="Times New Roman" w:eastAsia="仿宋_GB2312" w:cs="Times New Roman"/>
          <w:snapToGrid/>
          <w:color w:val="auto"/>
          <w:spacing w:val="-4"/>
          <w:kern w:val="2"/>
          <w:sz w:val="32"/>
          <w:szCs w:val="32"/>
        </w:rPr>
        <w:t>审查；负责辖区内园林绿化工程的监管以及工程备案材料的初审。</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发展和改革、财政、自然资源和规划、文体广电和旅游、城市管理、生态环境、交通运输、水务、行政审批等行政主管部门按照各自职责做好城市园林绿化建设、养护管理。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宋体" w:cs="Times New Roman"/>
          <w:color w:val="auto"/>
          <w:sz w:val="32"/>
          <w:szCs w:val="32"/>
        </w:rPr>
      </w:pPr>
      <w:r>
        <w:rPr>
          <w:rFonts w:hint="default" w:ascii="Times New Roman" w:hAnsi="Times New Roman" w:eastAsia="仿宋_GB2312" w:cs="Times New Roman"/>
          <w:snapToGrid/>
          <w:color w:val="auto"/>
          <w:spacing w:val="-4"/>
          <w:kern w:val="2"/>
          <w:sz w:val="32"/>
          <w:szCs w:val="32"/>
        </w:rPr>
        <w:t>各单位附属绿地和单位管养内的防护绿地由产权单位负责管理；实行物业管理的居住小区内的绿地由物业服务人负责管理；未实行物业管理的居住小区内的绿地由居住区属地相关部门负责管理；苗圃、花圃、草圃等生产性绿地，由经营单位负责管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楷体_GB2312" w:cs="Times New Roman"/>
          <w:snapToGrid/>
          <w:color w:val="auto"/>
          <w:spacing w:val="-4"/>
          <w:kern w:val="2"/>
          <w:sz w:val="32"/>
          <w:szCs w:val="32"/>
        </w:rPr>
      </w:pPr>
      <w:r>
        <w:rPr>
          <w:rFonts w:hint="default" w:ascii="Times New Roman" w:hAnsi="Times New Roman" w:eastAsia="楷体_GB2312" w:cs="Times New Roman"/>
          <w:snapToGrid/>
          <w:color w:val="auto"/>
          <w:spacing w:val="-4"/>
          <w:kern w:val="2"/>
          <w:sz w:val="32"/>
          <w:szCs w:val="32"/>
        </w:rPr>
        <w:t>（二）加强规划的科学性和指导性</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城市绿化行政主管部门应当会同自然资源和规划部门定期对城市绿地系统规划进行编制或修编，报市人民政府审查批准。城市绿地系统规划成果应当纳入国土空间规划，实现多规合一。</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自然资源和规划部门应当会同城市绿化行政主管部门，科学合理设定各类建设用地的绿地率指标。城市绿地率指标应同时满足相关行业规范、标准和国家生态园林城市等各类创建指标要求。城市绿化行政主管部门应当定期开展城市绿化资源普查，并做好监督管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各镇（区、街道）应当把城市绿化工作纳入国民经济和社会发展规划、年度计划，保障绿化建设和养护经费的投入，提高城市绿化水平。在城镇开发边界内，结合城市更新，采用拆违建绿、见缝插绿、留白增绿、立体植绿等方式，应绿尽绿、积小成片，增加绿地总量，鼓励实施屋顶绿化、垂直绿化等多种形式立体绿化。</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楷体_GB2312" w:cs="Times New Roman"/>
          <w:snapToGrid/>
          <w:color w:val="auto"/>
          <w:spacing w:val="-4"/>
          <w:kern w:val="2"/>
          <w:sz w:val="32"/>
          <w:szCs w:val="32"/>
        </w:rPr>
      </w:pP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三</w:t>
      </w: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rPr>
        <w:t>加强园林绿化工程建设管理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园林绿化工程包括新建、改建、扩建公园绿地、广场用地和其他工程建设项目的附属绿化工程等。主城区范围内主干道、公园、广场园林绿化工程的设计方案应当</w:t>
      </w:r>
      <w:r>
        <w:rPr>
          <w:rFonts w:hint="default" w:ascii="Times New Roman" w:hAnsi="Times New Roman" w:eastAsia="仿宋_GB2312" w:cs="Times New Roman"/>
          <w:snapToGrid/>
          <w:color w:val="auto"/>
          <w:spacing w:val="-4"/>
          <w:kern w:val="2"/>
          <w:sz w:val="32"/>
          <w:szCs w:val="32"/>
          <w:lang w:val="en-US" w:eastAsia="zh-CN"/>
        </w:rPr>
        <w:t>报</w:t>
      </w:r>
      <w:r>
        <w:rPr>
          <w:rFonts w:hint="default" w:ascii="Times New Roman" w:hAnsi="Times New Roman" w:eastAsia="仿宋_GB2312" w:cs="Times New Roman"/>
          <w:snapToGrid/>
          <w:color w:val="auto"/>
          <w:spacing w:val="-4"/>
          <w:kern w:val="2"/>
          <w:sz w:val="32"/>
          <w:szCs w:val="32"/>
        </w:rPr>
        <w:t>城市园林绿化主管部门审查，并出具审查意见；其他园林绿化工程的设计方案由各镇（区、街道）园林绿化管理部门进行审查，出具审查意见后报城市园林绿化主管部门备案。城市园林绿化主管部门应做好全市城市园林绿化工程的信息汇总，以便于动态跟踪全市园林绿化工程的资金投入、建设规模和实施进度。</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各镇（区、街道）园林绿化管理部门应加强辖区内园林绿化工程的日常监管，参与园林绿化工程的竣工验收，完善园林绿化工程备案，及时做好工程交接，把好园林绿化工程质量关。</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园林绿化工程竣工验收后15日内，建设单位应当向各镇（区、街道）园林绿化管理部门报送备案资料，各镇（区、街道）园林绿化管理部门收到资料后10日内，对备案资料和现场完工情况进行核实，出具园林绿化工程备案的初审意见。建设单位取得备案初审意见后，应及时报城市园林绿化主管部门，完成园林绿化工程的最终备案，园林绿化工程在交付使用前应当完成工程备案。园林绿化工程备案要求、所需资料详见附件一。</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楷体_GB2312" w:cs="Times New Roman"/>
          <w:snapToGrid/>
          <w:color w:val="auto"/>
          <w:spacing w:val="-4"/>
          <w:kern w:val="2"/>
          <w:sz w:val="32"/>
          <w:szCs w:val="32"/>
          <w:lang w:eastAsia="zh-CN"/>
        </w:rPr>
      </w:pP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四</w:t>
      </w:r>
      <w:r>
        <w:rPr>
          <w:rFonts w:hint="default" w:ascii="Times New Roman" w:hAnsi="Times New Roman" w:eastAsia="楷体_GB2312" w:cs="Times New Roman"/>
          <w:snapToGrid/>
          <w:color w:val="auto"/>
          <w:spacing w:val="-4"/>
          <w:kern w:val="2"/>
          <w:sz w:val="32"/>
          <w:szCs w:val="32"/>
          <w:lang w:eastAsia="zh-CN"/>
        </w:rPr>
        <w:t>）规范园林绿化修剪、移植和砍伐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未经批准，任何单位和个人不得擅自砍伐、移植城市树木，居住区绿化和公共绿化的养护管理应当明确管理责任，规范管理流程，提升精细化管理水平。</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居住区绿化的养护管理责任人应当依据《苏州市居住区绿化养护技术规程》等技术规范，制定长效管理方案，做好居住区绿化养护和常规修剪。常规修剪不能解决影响房屋采光、通风、居住、通行安全的，居住区绿化养护管理责任人方可对树木进行回缩修剪。回缩修剪应根据相关技术规范要求拟订回缩修剪方案，依法征求业主意见，也可以根据住宅小区议事规则、管理规约等相关规定开展意见征询，通过后报所在社区和镇（区、街道）物业管理部门备案。</w:t>
      </w:r>
      <w:r>
        <w:rPr>
          <w:rFonts w:hint="default" w:ascii="Times New Roman" w:hAnsi="Times New Roman" w:eastAsia="仿宋_GB2312" w:cs="Times New Roman"/>
          <w:snapToGrid/>
          <w:color w:val="auto"/>
          <w:spacing w:val="-4"/>
          <w:kern w:val="2"/>
          <w:sz w:val="32"/>
          <w:szCs w:val="32"/>
          <w:lang w:val="en-US" w:eastAsia="zh-CN"/>
        </w:rPr>
        <w:t>树木的回缩修剪方案应当报镇（区、街道）园林绿化管理部门备案，</w:t>
      </w:r>
      <w:r>
        <w:rPr>
          <w:rFonts w:hint="default" w:ascii="Times New Roman" w:hAnsi="Times New Roman" w:eastAsia="仿宋_GB2312" w:cs="Times New Roman"/>
          <w:snapToGrid/>
          <w:color w:val="auto"/>
          <w:spacing w:val="-4"/>
          <w:kern w:val="2"/>
          <w:sz w:val="32"/>
          <w:szCs w:val="32"/>
        </w:rPr>
        <w:t>所在镇（区、街道）园林绿化管理部门和城市园林绿化主管部门应做好实施过程中的技术</w:t>
      </w:r>
      <w:r>
        <w:rPr>
          <w:rFonts w:hint="default" w:ascii="Times New Roman" w:hAnsi="Times New Roman" w:eastAsia="仿宋_GB2312" w:cs="Times New Roman"/>
          <w:snapToGrid/>
          <w:color w:val="auto"/>
          <w:spacing w:val="-4"/>
          <w:kern w:val="2"/>
          <w:sz w:val="32"/>
          <w:szCs w:val="32"/>
          <w:lang w:val="en-US" w:eastAsia="zh-CN"/>
        </w:rPr>
        <w:t>性和规范性</w:t>
      </w:r>
      <w:r>
        <w:rPr>
          <w:rFonts w:hint="default" w:ascii="Times New Roman" w:hAnsi="Times New Roman" w:eastAsia="仿宋_GB2312" w:cs="Times New Roman"/>
          <w:snapToGrid/>
          <w:color w:val="auto"/>
          <w:spacing w:val="-4"/>
          <w:kern w:val="2"/>
          <w:sz w:val="32"/>
          <w:szCs w:val="32"/>
        </w:rPr>
        <w:t>指导。居住区绿化修剪原则和流程详见附件二。</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公共绿化的养护应当以《苏州市行道树养护技术规程》等文件为依据，各镇（区、街道）园林绿化管理部门应有计划地对树木开展常规修剪。对于树木枯枝、病虫枝等对行人、车辆、建筑或其他公用设备存在严重安全隐患或遮挡公共标识标牌、交通信号灯、触碰电力线等无法通过常规修剪解决的情形，可以结合实际情况适当进行回缩修剪。回缩修剪要兼顾公共需求和整体美观，不得过度修剪，不得大规模集中进行，可以采用“轮修”的修剪方式，或采用分年、分区域的方式进行修剪，确保区域内整体景观面貌的协调性。单次进行10株以上回缩修剪的，应编制符合规范要求的修剪方案，修剪方案应当及时向社会公示并不少于7天，各镇（区、街道）园林绿化管理部门应加强回缩修剪样板树管理。公安、供电、通信等部门对城市树木进行回缩修剪，应在各镇（区、街道）园林绿化管理部门指导下或委托各镇（区、街道）园林绿化管理部门实施。</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lang w:val="en-US" w:eastAsia="zh-CN"/>
        </w:rPr>
      </w:pPr>
      <w:r>
        <w:rPr>
          <w:rFonts w:hint="default" w:ascii="Times New Roman" w:hAnsi="Times New Roman" w:eastAsia="仿宋_GB2312" w:cs="Times New Roman"/>
          <w:snapToGrid/>
          <w:color w:val="auto"/>
          <w:spacing w:val="-4"/>
          <w:kern w:val="2"/>
          <w:sz w:val="32"/>
          <w:szCs w:val="32"/>
          <w:lang w:val="en-US" w:eastAsia="zh-CN"/>
        </w:rPr>
        <w:t>绿化修剪产生的园林绿化废弃物应进行分类处置，不得混入生活垃圾投放、收运和处置。鼓励配置粉碎设备进行源头减量处理。</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楷体_GB2312" w:cs="Times New Roman"/>
          <w:snapToGrid/>
          <w:color w:val="auto"/>
          <w:spacing w:val="-4"/>
          <w:kern w:val="2"/>
          <w:sz w:val="32"/>
          <w:szCs w:val="32"/>
          <w:lang w:val="en-US" w:eastAsia="zh-CN"/>
        </w:rPr>
      </w:pP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五</w:t>
      </w: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保护古树名木和城市树木</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lang w:val="en-US" w:eastAsia="zh-CN"/>
        </w:rPr>
        <w:t>建设工程在规</w:t>
      </w:r>
      <w:r>
        <w:rPr>
          <w:rFonts w:hint="default" w:ascii="Times New Roman" w:hAnsi="Times New Roman" w:eastAsia="仿宋_GB2312" w:cs="Times New Roman"/>
          <w:snapToGrid/>
          <w:color w:val="auto"/>
          <w:spacing w:val="-4"/>
          <w:kern w:val="2"/>
          <w:sz w:val="32"/>
          <w:szCs w:val="32"/>
        </w:rPr>
        <w:t>划选址和方案设计阶段，应优化选址和方案设计，尽可能做到不搬迁或少搬迁大树，最大程度保留大树资源。建设涉及现状乔木的，应充分听取城市园林绿化管理部门意见，尽可能保留原有大树。确需搬迁的，应经过科学论证，广泛听取各方面意见后，严格按照规定程序办理行政许可，并加强事中事后监管，确保规范搬迁大树。各镇（区、街道）应将古树名木和后备资源的位置、保护区范围在规划建设管理中予以明确，实行最严格的管控保护，避免城市开发建设挤占、破坏古树名木和后备资源生长环境。各镇（区、街道）园林绿化管理部门应做好古树名木和后备资源的挂牌标注，加强动态监管，积极抢救复壮濒危衰弱的古树名木和后备资源。</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楷体_GB2312" w:cs="Times New Roman"/>
          <w:snapToGrid/>
          <w:color w:val="auto"/>
          <w:spacing w:val="-4"/>
          <w:kern w:val="2"/>
          <w:sz w:val="32"/>
          <w:szCs w:val="32"/>
          <w:lang w:val="en-US" w:eastAsia="zh-CN"/>
        </w:rPr>
      </w:pPr>
      <w:r>
        <w:rPr>
          <w:rFonts w:hint="default" w:ascii="Times New Roman" w:hAnsi="Times New Roman" w:eastAsia="楷体_GB2312" w:cs="Times New Roman"/>
          <w:snapToGrid/>
          <w:color w:val="auto"/>
          <w:spacing w:val="-4"/>
          <w:kern w:val="2"/>
          <w:sz w:val="32"/>
          <w:szCs w:val="32"/>
          <w:lang w:eastAsia="zh-CN"/>
        </w:rPr>
        <w:t>（六）</w:t>
      </w:r>
      <w:r>
        <w:rPr>
          <w:rFonts w:hint="default" w:ascii="Times New Roman" w:hAnsi="Times New Roman" w:eastAsia="楷体_GB2312" w:cs="Times New Roman"/>
          <w:snapToGrid/>
          <w:color w:val="auto"/>
          <w:spacing w:val="-4"/>
          <w:kern w:val="2"/>
          <w:sz w:val="32"/>
          <w:szCs w:val="32"/>
          <w:lang w:val="en-US" w:eastAsia="zh-CN"/>
        </w:rPr>
        <w:t>强化资源保护和执法监管</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lang w:val="en-US" w:eastAsia="zh-CN"/>
        </w:rPr>
        <w:t>城镇开发建设应严格控</w:t>
      </w:r>
      <w:r>
        <w:rPr>
          <w:rFonts w:hint="default" w:ascii="Times New Roman" w:hAnsi="Times New Roman" w:eastAsia="仿宋_GB2312" w:cs="Times New Roman"/>
          <w:snapToGrid/>
          <w:color w:val="auto"/>
          <w:spacing w:val="-4"/>
          <w:kern w:val="2"/>
          <w:sz w:val="32"/>
          <w:szCs w:val="32"/>
        </w:rPr>
        <w:t>制绿化资源减量。自然资源和规划部门应加强对各类建设项目选址选线方案的审核，尽量不占或少占绿地。园林绿化管理部门、行政审批部门应当定期汇总批准占用的绿地位置、面积等信息，与规划部门形成信息互通，确保城市绿地总量不减少。</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各镇（区、街道）园林绿化管理部门应加强城市绿地的巡查监督，坚决杜绝破坏古树名木、擅自砍伐移植树木、侵占城市绿地、损坏绿化附属设施等违法行为。城市园林绿化主管部门、城市管理主管部门、各镇（区、街道）园林绿化管理部门应建立部门联动机制，发现违法行为应当及时查明原因，及时移交执法部门</w:t>
      </w:r>
      <w:r>
        <w:rPr>
          <w:rFonts w:hint="default" w:ascii="Times New Roman" w:hAnsi="Times New Roman" w:eastAsia="仿宋_GB2312" w:cs="Times New Roman"/>
          <w:snapToGrid/>
          <w:color w:val="auto"/>
          <w:spacing w:val="-4"/>
          <w:kern w:val="2"/>
          <w:sz w:val="32"/>
          <w:szCs w:val="32"/>
          <w:lang w:val="en-US" w:eastAsia="zh-CN"/>
        </w:rPr>
        <w:t>处理</w:t>
      </w:r>
      <w:r>
        <w:rPr>
          <w:rFonts w:hint="default" w:ascii="Times New Roman" w:hAnsi="Times New Roman" w:eastAsia="仿宋_GB2312" w:cs="Times New Roman"/>
          <w:snapToGrid/>
          <w:color w:val="auto"/>
          <w:spacing w:val="-4"/>
          <w:kern w:val="2"/>
          <w:sz w:val="32"/>
          <w:szCs w:val="32"/>
        </w:rPr>
        <w:t>。</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黑体" w:cs="Times New Roman"/>
          <w:snapToGrid/>
          <w:color w:val="auto"/>
          <w:spacing w:val="-4"/>
          <w:kern w:val="2"/>
          <w:sz w:val="32"/>
          <w:szCs w:val="32"/>
          <w:lang w:eastAsia="zh-CN"/>
        </w:rPr>
      </w:pPr>
      <w:r>
        <w:rPr>
          <w:rFonts w:hint="default" w:ascii="Times New Roman" w:hAnsi="Times New Roman" w:eastAsia="黑体" w:cs="Times New Roman"/>
          <w:snapToGrid/>
          <w:color w:val="auto"/>
          <w:spacing w:val="-4"/>
          <w:kern w:val="2"/>
          <w:sz w:val="32"/>
          <w:szCs w:val="32"/>
          <w:lang w:eastAsia="zh-CN"/>
        </w:rPr>
        <w:t>四、</w:t>
      </w:r>
      <w:r>
        <w:rPr>
          <w:rFonts w:hint="default" w:ascii="Times New Roman" w:hAnsi="Times New Roman" w:eastAsia="黑体" w:cs="Times New Roman"/>
          <w:snapToGrid/>
          <w:color w:val="auto"/>
          <w:spacing w:val="-4"/>
          <w:kern w:val="2"/>
          <w:sz w:val="32"/>
          <w:szCs w:val="32"/>
          <w:lang w:eastAsia="zh-CN"/>
        </w:rPr>
        <w:t>保障措施</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一</w:t>
      </w: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rPr>
        <w:t>落实工作责任。</w:t>
      </w:r>
      <w:r>
        <w:rPr>
          <w:rFonts w:hint="default" w:ascii="Times New Roman" w:hAnsi="Times New Roman" w:eastAsia="仿宋_GB2312" w:cs="Times New Roman"/>
          <w:snapToGrid/>
          <w:color w:val="auto"/>
          <w:spacing w:val="-4"/>
          <w:kern w:val="2"/>
          <w:sz w:val="32"/>
          <w:szCs w:val="32"/>
        </w:rPr>
        <w:t>建立健全城市园林绿化工作目标责任制，加强领导，明确责任，完善管理机构、资金投入和人员等方面保障。城市园林绿化主管部门和各镇（区、街道）园林绿化管理部门要认真履行职责，加强城市园林绿化先进技术的研究和推广，大力提升城市园林绿化建设和管理水平。各有关部门要密切配合，相互支持，共同推动城市园林绿化事业健康发展。</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napToGrid/>
          <w:color w:val="auto"/>
          <w:spacing w:val="-4"/>
          <w:kern w:val="2"/>
          <w:sz w:val="32"/>
          <w:szCs w:val="32"/>
          <w:lang w:val="en-US" w:eastAsia="zh-CN"/>
        </w:rPr>
      </w:pP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二</w:t>
      </w: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rPr>
        <w:t>加强队伍建设。</w:t>
      </w:r>
      <w:r>
        <w:rPr>
          <w:rFonts w:hint="default" w:ascii="Times New Roman" w:hAnsi="Times New Roman" w:eastAsia="仿宋_GB2312" w:cs="Times New Roman"/>
          <w:snapToGrid/>
          <w:color w:val="auto"/>
          <w:spacing w:val="-4"/>
          <w:kern w:val="2"/>
          <w:sz w:val="32"/>
          <w:szCs w:val="32"/>
        </w:rPr>
        <w:t>通过</w:t>
      </w:r>
      <w:r>
        <w:rPr>
          <w:rFonts w:hint="default" w:ascii="Times New Roman" w:hAnsi="Times New Roman" w:eastAsia="仿宋_GB2312" w:cs="Times New Roman"/>
          <w:snapToGrid/>
          <w:color w:val="auto"/>
          <w:spacing w:val="-4"/>
          <w:kern w:val="2"/>
          <w:sz w:val="32"/>
          <w:szCs w:val="32"/>
        </w:rPr>
        <w:t>邀请行业专家举办讲座、与专业院校合作等方式，加强对业务骨干的培训和轮训，大力提升管理人员的业务水平和整体素质。加大专业人才引进力度，充实园林绿化专业人员队伍。园林绿化工程项目技术人员全员持证上岗。</w:t>
      </w:r>
      <w:r>
        <w:rPr>
          <w:rFonts w:hint="default" w:ascii="Times New Roman" w:hAnsi="Times New Roman" w:eastAsia="仿宋_GB2312" w:cs="Times New Roman"/>
          <w:snapToGrid/>
          <w:color w:val="auto"/>
          <w:spacing w:val="-4"/>
          <w:kern w:val="2"/>
          <w:sz w:val="32"/>
          <w:szCs w:val="32"/>
          <w:lang w:val="en-US" w:eastAsia="zh-CN"/>
        </w:rPr>
        <w:t xml:space="preserve">    </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24" w:firstLineChars="200"/>
        <w:jc w:val="both"/>
        <w:textAlignment w:val="auto"/>
        <w:rPr>
          <w:rFonts w:hint="default" w:ascii="Times New Roman" w:hAnsi="Times New Roman" w:eastAsia="仿宋_GB2312" w:cs="Times New Roman"/>
          <w:strike w:val="0"/>
          <w:dstrike w:val="0"/>
          <w:color w:val="auto"/>
          <w:kern w:val="0"/>
          <w:sz w:val="32"/>
          <w:szCs w:val="32"/>
          <w:lang w:val="en-US" w:eastAsia="zh-CN"/>
        </w:rPr>
      </w:pP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lang w:val="en-US" w:eastAsia="zh-CN"/>
        </w:rPr>
        <w:t>三</w:t>
      </w:r>
      <w:r>
        <w:rPr>
          <w:rFonts w:hint="default" w:ascii="Times New Roman" w:hAnsi="Times New Roman" w:eastAsia="楷体_GB2312" w:cs="Times New Roman"/>
          <w:snapToGrid/>
          <w:color w:val="auto"/>
          <w:spacing w:val="-4"/>
          <w:kern w:val="2"/>
          <w:sz w:val="32"/>
          <w:szCs w:val="32"/>
          <w:lang w:eastAsia="zh-CN"/>
        </w:rPr>
        <w:t>）</w:t>
      </w:r>
      <w:r>
        <w:rPr>
          <w:rFonts w:hint="default" w:ascii="Times New Roman" w:hAnsi="Times New Roman" w:eastAsia="楷体_GB2312" w:cs="Times New Roman"/>
          <w:snapToGrid/>
          <w:color w:val="auto"/>
          <w:spacing w:val="-4"/>
          <w:kern w:val="2"/>
          <w:sz w:val="32"/>
          <w:szCs w:val="32"/>
        </w:rPr>
        <w:t>保障资金投入。</w:t>
      </w:r>
      <w:r>
        <w:rPr>
          <w:rFonts w:hint="default" w:ascii="Times New Roman" w:hAnsi="Times New Roman" w:eastAsia="仿宋_GB2312" w:cs="Times New Roman"/>
          <w:strike w:val="0"/>
          <w:dstrike w:val="0"/>
          <w:color w:val="auto"/>
          <w:kern w:val="0"/>
          <w:sz w:val="32"/>
          <w:szCs w:val="32"/>
          <w:lang w:val="en-US" w:eastAsia="zh-CN"/>
        </w:rPr>
        <w:t>市人民政府、各镇（区、街道）作为城市园林绿化建设和养护管理的责任主体，保障绿化建设和管养资金投入。</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楷体_GB2312" w:cs="Times New Roman"/>
          <w:strike w:val="0"/>
          <w:dstrike w:val="0"/>
          <w:color w:val="auto"/>
          <w:kern w:val="0"/>
          <w:sz w:val="32"/>
          <w:szCs w:val="32"/>
          <w:lang w:val="en-US" w:eastAsia="zh-CN"/>
        </w:rPr>
        <w:t>（四）做好舆论宣传。</w:t>
      </w:r>
      <w:r>
        <w:rPr>
          <w:rFonts w:hint="default" w:ascii="Times New Roman" w:hAnsi="Times New Roman" w:eastAsia="仿宋_GB2312" w:cs="Times New Roman"/>
          <w:strike w:val="0"/>
          <w:dstrike w:val="0"/>
          <w:color w:val="auto"/>
          <w:kern w:val="0"/>
          <w:sz w:val="32"/>
          <w:szCs w:val="32"/>
          <w:lang w:val="en-US" w:eastAsia="zh-CN"/>
        </w:rPr>
        <w:t>充分利用新闻媒体等媒介，广泛宣传开展城市园林绿化的重要意义，增强全社会</w:t>
      </w:r>
      <w:r>
        <w:rPr>
          <w:rFonts w:hint="default" w:ascii="Times New Roman" w:hAnsi="Times New Roman" w:eastAsia="仿宋_GB2312" w:cs="Times New Roman"/>
          <w:snapToGrid/>
          <w:color w:val="auto"/>
          <w:spacing w:val="-4"/>
          <w:kern w:val="2"/>
          <w:sz w:val="32"/>
          <w:szCs w:val="32"/>
        </w:rPr>
        <w:t>的生态意识、环境意识和绿化意识，形成全社会关注绿化、建设绿化、爱护绿化的良好氛围。积极组织城市居民参加义务植树活动，开展认建、认养绿地活动。自觉接受社会公众和新闻媒体监督，加强对社会舆情的收集、研判和处理，营造政府重视、社会关注、群众支持的良好氛围。</w:t>
      </w:r>
    </w:p>
    <w:p>
      <w:pPr>
        <w:keepNext w:val="0"/>
        <w:keepLines w:val="0"/>
        <w:pageBreakBefore w:val="0"/>
        <w:widowControl/>
        <w:kinsoku w:val="0"/>
        <w:wordWrap/>
        <w:overflowPunct/>
        <w:topLinePunct w:val="0"/>
        <w:autoSpaceDE w:val="0"/>
        <w:autoSpaceDN w:val="0"/>
        <w:bidi w:val="0"/>
        <w:adjustRightInd w:val="0"/>
        <w:snapToGrid w:val="0"/>
        <w:spacing w:beforeLines="50" w:afterLines="50" w:line="560" w:lineRule="exact"/>
        <w:ind w:firstLine="623" w:firstLineChars="200"/>
        <w:jc w:val="both"/>
        <w:textAlignment w:val="baseline"/>
        <w:rPr>
          <w:rFonts w:hint="default" w:ascii="Times New Roman" w:hAnsi="Times New Roman" w:eastAsia="宋体" w:cs="Times New Roman"/>
          <w:b/>
          <w:bCs/>
          <w:color w:val="auto"/>
          <w:spacing w:val="-5"/>
          <w:sz w:val="32"/>
          <w:szCs w:val="32"/>
        </w:rPr>
      </w:pPr>
    </w:p>
    <w:p>
      <w:pPr>
        <w:keepNext w:val="0"/>
        <w:keepLines w:val="0"/>
        <w:pageBreakBefore w:val="0"/>
        <w:wordWrap/>
        <w:topLinePunct w:val="0"/>
        <w:bidi w:val="0"/>
        <w:adjustRightInd w:val="0"/>
        <w:snapToGrid w:val="0"/>
        <w:spacing w:beforeLines="50" w:afterLines="50" w:line="560" w:lineRule="exact"/>
        <w:jc w:val="both"/>
        <w:rPr>
          <w:rFonts w:hint="default" w:ascii="Times New Roman" w:hAnsi="Times New Roman" w:eastAsia="宋体" w:cs="Times New Roman"/>
          <w:b/>
          <w:bCs/>
          <w:color w:val="auto"/>
          <w:spacing w:val="-5"/>
          <w:sz w:val="32"/>
          <w:szCs w:val="32"/>
        </w:rPr>
      </w:pPr>
    </w:p>
    <w:p>
      <w:pPr>
        <w:keepNext w:val="0"/>
        <w:keepLines w:val="0"/>
        <w:pageBreakBefore w:val="0"/>
        <w:wordWrap/>
        <w:topLinePunct w:val="0"/>
        <w:bidi w:val="0"/>
        <w:adjustRightInd w:val="0"/>
        <w:snapToGrid w:val="0"/>
        <w:spacing w:beforeLines="50" w:afterLines="50" w:line="560" w:lineRule="exact"/>
        <w:jc w:val="both"/>
        <w:rPr>
          <w:rFonts w:hint="default" w:ascii="Times New Roman" w:hAnsi="Times New Roman" w:eastAsia="宋体" w:cs="Times New Roman"/>
          <w:b/>
          <w:bCs/>
          <w:color w:val="auto"/>
          <w:spacing w:val="-5"/>
          <w:sz w:val="32"/>
          <w:szCs w:val="32"/>
        </w:rPr>
      </w:pPr>
    </w:p>
    <w:p>
      <w:pPr>
        <w:keepNext w:val="0"/>
        <w:keepLines w:val="0"/>
        <w:pageBreakBefore w:val="0"/>
        <w:wordWrap/>
        <w:topLinePunct w:val="0"/>
        <w:bidi w:val="0"/>
        <w:adjustRightInd w:val="0"/>
        <w:snapToGrid w:val="0"/>
        <w:spacing w:beforeLines="50" w:afterLines="50" w:line="560" w:lineRule="exact"/>
        <w:jc w:val="both"/>
        <w:rPr>
          <w:rFonts w:hint="default" w:ascii="Times New Roman" w:hAnsi="Times New Roman" w:eastAsia="宋体" w:cs="Times New Roman"/>
          <w:b/>
          <w:bCs/>
          <w:color w:val="auto"/>
          <w:spacing w:val="-5"/>
          <w:sz w:val="32"/>
          <w:szCs w:val="32"/>
        </w:rPr>
      </w:pPr>
    </w:p>
    <w:p>
      <w:pPr>
        <w:keepNext w:val="0"/>
        <w:keepLines w:val="0"/>
        <w:pageBreakBefore w:val="0"/>
        <w:wordWrap/>
        <w:topLinePunct w:val="0"/>
        <w:bidi w:val="0"/>
        <w:adjustRightInd w:val="0"/>
        <w:snapToGrid w:val="0"/>
        <w:spacing w:beforeLines="50" w:afterLines="50" w:line="560" w:lineRule="exact"/>
        <w:jc w:val="both"/>
        <w:rPr>
          <w:rFonts w:hint="default" w:ascii="Times New Roman" w:hAnsi="Times New Roman" w:eastAsia="宋体" w:cs="Times New Roman"/>
          <w:b/>
          <w:bCs/>
          <w:color w:val="auto"/>
          <w:spacing w:val="-5"/>
          <w:sz w:val="32"/>
          <w:szCs w:val="32"/>
        </w:rPr>
      </w:pPr>
    </w:p>
    <w:p>
      <w:pPr>
        <w:keepNext w:val="0"/>
        <w:keepLines w:val="0"/>
        <w:pageBreakBefore w:val="0"/>
        <w:wordWrap/>
        <w:topLinePunct w:val="0"/>
        <w:bidi w:val="0"/>
        <w:adjustRightInd w:val="0"/>
        <w:snapToGrid w:val="0"/>
        <w:spacing w:beforeLines="50" w:afterLines="50" w:line="560" w:lineRule="exact"/>
        <w:jc w:val="both"/>
        <w:rPr>
          <w:rFonts w:hint="default" w:ascii="Times New Roman" w:hAnsi="Times New Roman" w:eastAsia="宋体" w:cs="Times New Roman"/>
          <w:b/>
          <w:bCs/>
          <w:color w:val="auto"/>
          <w:spacing w:val="-5"/>
          <w:sz w:val="32"/>
          <w:szCs w:val="32"/>
        </w:rPr>
      </w:pPr>
    </w:p>
    <w:p>
      <w:pPr>
        <w:keepNext w:val="0"/>
        <w:keepLines w:val="0"/>
        <w:pageBreakBefore w:val="0"/>
        <w:wordWrap/>
        <w:topLinePunct w:val="0"/>
        <w:bidi w:val="0"/>
        <w:adjustRightInd w:val="0"/>
        <w:snapToGrid w:val="0"/>
        <w:spacing w:beforeLines="50" w:afterLines="50" w:line="560" w:lineRule="exact"/>
        <w:jc w:val="both"/>
        <w:rPr>
          <w:rFonts w:hint="default" w:ascii="Times New Roman" w:hAnsi="Times New Roman" w:eastAsia="宋体" w:cs="Times New Roman"/>
          <w:b/>
          <w:bCs/>
          <w:color w:val="auto"/>
          <w:spacing w:val="-5"/>
          <w:sz w:val="32"/>
          <w:szCs w:val="32"/>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r>
        <w:rPr>
          <w:rFonts w:hint="default" w:ascii="Times New Roman" w:hAnsi="Times New Roman" w:eastAsia="黑体" w:cs="Times New Roman"/>
          <w:snapToGrid/>
          <w:color w:val="auto"/>
          <w:spacing w:val="-4"/>
          <w:kern w:val="2"/>
          <w:sz w:val="32"/>
          <w:szCs w:val="32"/>
          <w:lang w:eastAsia="zh-CN"/>
        </w:rPr>
        <w:t>附件一：园林绿化工程备案所需资料和备案流程</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园林绿化工程备案是指园林绿化工程竣工验收后，建设单位向备案机关报送备案的有关文件，接受监督检查并取得备案机关收讫确认的行为。园林绿化工程备案是一种程序性的备案检查制度，是对工程建设参建各方建设行为进行规范化、制度化约束的控制手段，备案不免除参建各方的相关法律责任。</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60" w:lineRule="exact"/>
        <w:ind w:right="0" w:rightChars="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园林绿化工程申请备案应提交的资料：</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（1）园林绿化工程备案表；</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（2）园林绿化工程竣工图及电子文件；</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（3）园林绿化工程竣工后的现场实景照片；</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（4）园林绿化工程竣工验收报告；</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（5）属配套绿化的，应提交建设工程规划验收合格证明、反映绿地率的测绘报告；</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（6）居住区建设工程项目附属绿化工程竣工后，建设单位或者物业服务单位在居住区的显著位置永久公示标明绿地率平面图的实景照片；</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（7）明确工程质保期内和质保期满后养护责任的证明文件；</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（8）法规、规章、规定要求提供的其他文件。</w:t>
      </w:r>
    </w:p>
    <w:p>
      <w:pPr>
        <w:keepNext w:val="0"/>
        <w:keepLines w:val="0"/>
        <w:pageBreakBefore w:val="0"/>
        <w:wordWrap/>
        <w:topLinePunct w:val="0"/>
        <w:bidi w:val="0"/>
        <w:adjustRightInd w:val="0"/>
        <w:snapToGrid w:val="0"/>
        <w:spacing w:beforeLines="50" w:afterLines="50" w:line="560" w:lineRule="exact"/>
        <w:ind w:right="64" w:firstLine="616" w:firstLineChars="200"/>
        <w:jc w:val="both"/>
        <w:rPr>
          <w:rFonts w:hint="default" w:ascii="Times New Roman" w:hAnsi="Times New Roman" w:eastAsia="宋体" w:cs="Times New Roman"/>
          <w:color w:val="auto"/>
          <w:spacing w:val="-6"/>
          <w:sz w:val="32"/>
          <w:szCs w:val="32"/>
        </w:rPr>
      </w:pPr>
    </w:p>
    <w:p>
      <w:pPr>
        <w:keepNext w:val="0"/>
        <w:keepLines w:val="0"/>
        <w:pageBreakBefore w:val="0"/>
        <w:wordWrap/>
        <w:topLinePunct w:val="0"/>
        <w:bidi w:val="0"/>
        <w:adjustRightInd w:val="0"/>
        <w:snapToGrid w:val="0"/>
        <w:spacing w:beforeLines="50" w:afterLines="50" w:line="560" w:lineRule="exact"/>
        <w:ind w:right="64"/>
        <w:jc w:val="both"/>
        <w:rPr>
          <w:rFonts w:hint="default" w:ascii="Times New Roman" w:hAnsi="Times New Roman" w:eastAsia="宋体" w:cs="Times New Roman"/>
          <w:b/>
          <w:bCs/>
          <w:color w:val="auto"/>
          <w:spacing w:val="-6"/>
          <w:sz w:val="32"/>
          <w:szCs w:val="32"/>
        </w:rPr>
      </w:pPr>
    </w:p>
    <w:p>
      <w:pPr>
        <w:keepNext w:val="0"/>
        <w:keepLines w:val="0"/>
        <w:pageBreakBefore w:val="0"/>
        <w:wordWrap/>
        <w:topLinePunct w:val="0"/>
        <w:bidi w:val="0"/>
        <w:adjustRightInd w:val="0"/>
        <w:snapToGrid w:val="0"/>
        <w:spacing w:beforeLines="50" w:afterLines="50" w:line="560" w:lineRule="exact"/>
        <w:ind w:right="64"/>
        <w:jc w:val="both"/>
        <w:rPr>
          <w:rFonts w:hint="default" w:ascii="Times New Roman" w:hAnsi="Times New Roman" w:eastAsia="宋体" w:cs="Times New Roman"/>
          <w:b/>
          <w:bCs/>
          <w:color w:val="auto"/>
          <w:spacing w:val="-6"/>
          <w:sz w:val="32"/>
          <w:szCs w:val="32"/>
        </w:rPr>
      </w:pPr>
    </w:p>
    <w:p>
      <w:pPr>
        <w:keepNext w:val="0"/>
        <w:keepLines w:val="0"/>
        <w:pageBreakBefore w:val="0"/>
        <w:widowControl w:val="0"/>
        <w:kinsoku/>
        <w:wordWrap/>
        <w:overflowPunct w:val="0"/>
        <w:topLinePunct w:val="0"/>
        <w:autoSpaceDE/>
        <w:autoSpaceDN/>
        <w:bidi w:val="0"/>
        <w:adjustRightInd w:val="0"/>
        <w:snapToGrid w:val="0"/>
        <w:spacing w:line="560" w:lineRule="exact"/>
        <w:jc w:val="both"/>
        <w:textAlignment w:val="auto"/>
        <w:rPr>
          <w:rFonts w:hint="default" w:ascii="Times New Roman" w:hAnsi="Times New Roman" w:eastAsia="黑体" w:cs="Times New Roman"/>
          <w:snapToGrid/>
          <w:color w:val="auto"/>
          <w:spacing w:val="-4"/>
          <w:kern w:val="2"/>
          <w:sz w:val="32"/>
          <w:szCs w:val="32"/>
          <w:lang w:eastAsia="zh-CN"/>
        </w:rPr>
      </w:pPr>
      <w:r>
        <w:rPr>
          <w:rFonts w:hint="default" w:ascii="Times New Roman" w:hAnsi="Times New Roman" w:eastAsia="黑体" w:cs="Times New Roman"/>
          <w:snapToGrid/>
          <w:color w:val="auto"/>
          <w:spacing w:val="-4"/>
          <w:kern w:val="2"/>
          <w:sz w:val="32"/>
          <w:szCs w:val="32"/>
          <w:lang w:eastAsia="zh-CN"/>
        </w:rPr>
        <w:t>附件二：居住区绿化修剪原则和流程</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居住区绿化修剪以业主委员会为实施主体，由业主委员会（没有成立业主委员会的可由物业管理委员会或居民委员会代履行，下同）负责居住区绿化修剪方案征集、公示、业主意见征询、公告手续等相关工作。居住区物业服务人应根据物业服务合同的约定或业主委员会的委托，负责实施居住区绿化修剪的相关工作。业主委员会、物业服务人可以委托专业绿化养护企业进行修剪工作。</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修剪原则。居住区绿化修剪应当遵循“业主自愿、依法依规、专业指导、政府监管”的基本原则。绿化修剪应以保证房屋安全为前提，以保护原有小区的绿化面貌为原则，综合考虑日照、采光、通风、通行等情形，树木能通过常规修剪的，不采取回缩修剪措施，常规修剪宜每1-2年开展一次。常规修剪不能解决影响房屋采光、通风和居住安全的，方可对树木进行回缩修剪。业主或房屋使用人提出修剪请求的，物业服务人或接受委托的绿化养护企业应当根据树木生长情况，按照《苏州市居住区绿化养护技术规程》、《苏州市居住区树木修剪指南》的要求及技术措施实施，文明作业。</w:t>
      </w:r>
    </w:p>
    <w:p>
      <w:pPr>
        <w:keepNext w:val="0"/>
        <w:keepLines w:val="0"/>
        <w:pageBreakBefore w:val="0"/>
        <w:widowControl/>
        <w:numPr>
          <w:ilvl w:val="0"/>
          <w:numId w:val="2"/>
        </w:numPr>
        <w:kinsoku w:val="0"/>
        <w:wordWrap/>
        <w:overflowPunct/>
        <w:topLinePunct w:val="0"/>
        <w:autoSpaceDE w:val="0"/>
        <w:autoSpaceDN w:val="0"/>
        <w:bidi w:val="0"/>
        <w:adjustRightInd w:val="0"/>
        <w:snapToGrid w:val="0"/>
        <w:spacing w:line="560" w:lineRule="exact"/>
        <w:ind w:left="0" w:leftChars="0"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修剪流程。居住区绿化的常规修剪由物业服务人或接受委托的绿化养护企业按照相关技术规范直接实施。居住区回缩修剪需制定回缩修剪方案，由业主委员会依法征求业主意见或根据住宅小区议事规则、管理规约等相关规定实施。回缩修剪的具体流程为：</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1）方案拟定。业主委员会可在物业管理主管部门和城市园林绿化主管部门的指导下拟订或委托物业服务人、绿化养护企业拟订小区绿化修剪方案，修剪方案需明确修剪理由、修剪数量、修剪方式、资金来源以及可能涉及的行政许可事项等相关内容，修剪方案不得改变绿地性质，不得调整原有绿地率。修剪方案应当报所在镇（区、街道）绿化管理部门审核。</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（2）征询意见。方案拟定后，应当依法征求业主意见或根据住宅小区议事规则、管理规约等相关规定开展意见征询。</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（3）方案公示。意见征询结果和绿化回缩修剪方案，应当在小区内显著位置予以公示，公示时间不少于7天。</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（4）备案流程。公示结束后，业主委员会将相关资料报所在社区和镇（区、街道）物业管理部门进行备案。</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仿宋_GB2312" w:cs="Times New Roman"/>
          <w:snapToGrid/>
          <w:color w:val="auto"/>
          <w:spacing w:val="-4"/>
          <w:kern w:val="2"/>
          <w:sz w:val="32"/>
          <w:szCs w:val="32"/>
        </w:rPr>
      </w:pPr>
      <w:r>
        <w:rPr>
          <w:rFonts w:hint="default" w:ascii="Times New Roman" w:hAnsi="Times New Roman" w:eastAsia="仿宋_GB2312" w:cs="Times New Roman"/>
          <w:snapToGrid/>
          <w:color w:val="auto"/>
          <w:spacing w:val="-4"/>
          <w:kern w:val="2"/>
          <w:sz w:val="32"/>
          <w:szCs w:val="32"/>
        </w:rPr>
        <w:t>（5）现场施工。社区和物业管理部门备案后，物业服务人或接受委托的绿化养护企业严格按照回缩修剪方案实施绿化修剪，规范现场安全和文明施工。实施过程中可邀请园林绿化管理部门进行技术指导。</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both"/>
        <w:textAlignment w:val="baseline"/>
        <w:rPr>
          <w:rFonts w:hint="default" w:ascii="Times New Roman" w:hAnsi="Times New Roman" w:eastAsia="宋体" w:cs="Times New Roman"/>
          <w:color w:val="auto"/>
          <w:spacing w:val="-5"/>
          <w:sz w:val="32"/>
          <w:szCs w:val="32"/>
        </w:rPr>
      </w:pPr>
      <w:r>
        <w:rPr>
          <w:rFonts w:hint="default" w:ascii="Times New Roman" w:hAnsi="Times New Roman" w:eastAsia="仿宋_GB2312" w:cs="Times New Roman"/>
          <w:snapToGrid/>
          <w:color w:val="auto"/>
          <w:spacing w:val="-4"/>
          <w:kern w:val="2"/>
          <w:sz w:val="32"/>
          <w:szCs w:val="32"/>
        </w:rPr>
        <w:t>（6）其他事项。未成立业主委员会或物业管理委员会的小区，经百分之二十以上的业主联名书面提议要求进行居住区绿化回缩修剪的，由社区居委会</w:t>
      </w:r>
      <w:r>
        <w:rPr>
          <w:rFonts w:hint="default" w:ascii="Times New Roman" w:hAnsi="Times New Roman" w:eastAsia="仿宋_GB2312" w:cs="Times New Roman"/>
          <w:strike w:val="0"/>
          <w:dstrike w:val="0"/>
          <w:snapToGrid/>
          <w:color w:val="auto"/>
          <w:spacing w:val="-4"/>
          <w:kern w:val="2"/>
          <w:sz w:val="32"/>
          <w:szCs w:val="32"/>
          <w:lang w:val="en-US" w:eastAsia="zh-CN"/>
        </w:rPr>
        <w:t>代行</w:t>
      </w:r>
      <w:r>
        <w:rPr>
          <w:rFonts w:hint="default" w:ascii="Times New Roman" w:hAnsi="Times New Roman" w:eastAsia="仿宋_GB2312" w:cs="Times New Roman"/>
          <w:snapToGrid/>
          <w:color w:val="auto"/>
          <w:spacing w:val="-4"/>
          <w:kern w:val="2"/>
          <w:sz w:val="32"/>
          <w:szCs w:val="32"/>
        </w:rPr>
        <w:t>业主委员会的职责，参照以上流程进行申请。</w:t>
      </w:r>
      <w:bookmarkStart w:id="0" w:name="_GoBack"/>
      <w:bookmarkEnd w:id="0"/>
    </w:p>
    <w:sectPr>
      <w:headerReference r:id="rId3" w:type="default"/>
      <w:footerReference r:id="rId4" w:type="default"/>
      <w:pgSz w:w="11905" w:h="16838"/>
      <w:pgMar w:top="2098" w:right="1474" w:bottom="1984" w:left="1474" w:header="850" w:footer="1531"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Yu Gothic UI">
    <w:panose1 w:val="020B0500000000000000"/>
    <w:charset w:val="80"/>
    <w:family w:val="auto"/>
    <w:pitch w:val="default"/>
    <w:sig w:usb0="E00002FF" w:usb1="2AC7FDFF" w:usb2="00000016" w:usb3="00000000" w:csb0="2002009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rPr>
        <w:sz w:val="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ascii="Times New Roman" w:hAnsi="Times New Roman" w:eastAsia="宋体" w:cs="Times New Roman"/>
                        <w:sz w:val="28"/>
                        <w:szCs w:val="28"/>
                        <w:lang w:val="en-US" w:eastAsia="zh-CN"/>
                      </w:rPr>
                      <w:t xml:space="preserve"> —</w:t>
                    </w:r>
                  </w:p>
                </w:txbxContent>
              </v:textbox>
            </v:shape>
          </w:pict>
        </mc:Fallback>
      </mc:AlternateContent>
    </w: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5"/>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E2129B"/>
    <w:multiLevelType w:val="singleLevel"/>
    <w:tmpl w:val="1EE2129B"/>
    <w:lvl w:ilvl="0" w:tentative="0">
      <w:start w:val="1"/>
      <w:numFmt w:val="decimal"/>
      <w:suff w:val="space"/>
      <w:lvlText w:val="%1."/>
      <w:lvlJc w:val="left"/>
    </w:lvl>
  </w:abstractNum>
  <w:abstractNum w:abstractNumId="1">
    <w:nsid w:val="2D9F35A8"/>
    <w:multiLevelType w:val="singleLevel"/>
    <w:tmpl w:val="2D9F35A8"/>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noPunctuationKerning w:val="1"/>
  <w:characterSpacingControl w:val="doNotCompress"/>
  <w:hdrShapeDefaults>
    <o:shapelayout v:ext="edit">
      <o:idmap v:ext="edit" data="1"/>
    </o:shapelayout>
  </w:hdrShapeDefaults>
  <w:compat>
    <w:spaceForUL/>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mMTlkOGRhMGY3OTVlNmY1MDFjZDEwZGYzNjk3MTAifQ=="/>
  </w:docVars>
  <w:rsids>
    <w:rsidRoot w:val="00FC7F8F"/>
    <w:rsid w:val="001137E3"/>
    <w:rsid w:val="001F0188"/>
    <w:rsid w:val="00747421"/>
    <w:rsid w:val="00902FEC"/>
    <w:rsid w:val="00CD5492"/>
    <w:rsid w:val="00FC7F8F"/>
    <w:rsid w:val="01C0027E"/>
    <w:rsid w:val="02F50618"/>
    <w:rsid w:val="05241B93"/>
    <w:rsid w:val="05284B01"/>
    <w:rsid w:val="06287461"/>
    <w:rsid w:val="0771223B"/>
    <w:rsid w:val="07815C89"/>
    <w:rsid w:val="0A496BA2"/>
    <w:rsid w:val="0A6363F8"/>
    <w:rsid w:val="0C907C6C"/>
    <w:rsid w:val="0D7C07BE"/>
    <w:rsid w:val="0DC60E34"/>
    <w:rsid w:val="0DF27149"/>
    <w:rsid w:val="0E172EDA"/>
    <w:rsid w:val="0ED94DD5"/>
    <w:rsid w:val="0EDC5401"/>
    <w:rsid w:val="0FA1450C"/>
    <w:rsid w:val="10AA2C72"/>
    <w:rsid w:val="118E0AFC"/>
    <w:rsid w:val="11D00C91"/>
    <w:rsid w:val="137616C7"/>
    <w:rsid w:val="161D68B6"/>
    <w:rsid w:val="1663364D"/>
    <w:rsid w:val="171B2DF6"/>
    <w:rsid w:val="17B20D45"/>
    <w:rsid w:val="18000F6D"/>
    <w:rsid w:val="19D736F3"/>
    <w:rsid w:val="1ABF135D"/>
    <w:rsid w:val="1AE37DE3"/>
    <w:rsid w:val="1B026C04"/>
    <w:rsid w:val="1B8510F1"/>
    <w:rsid w:val="1B945015"/>
    <w:rsid w:val="1BF376CE"/>
    <w:rsid w:val="1E125748"/>
    <w:rsid w:val="20976A95"/>
    <w:rsid w:val="21F56227"/>
    <w:rsid w:val="23F63DEF"/>
    <w:rsid w:val="26E563DD"/>
    <w:rsid w:val="276B31E2"/>
    <w:rsid w:val="28286598"/>
    <w:rsid w:val="2835293D"/>
    <w:rsid w:val="2971478F"/>
    <w:rsid w:val="29E24FC7"/>
    <w:rsid w:val="29EC0F1B"/>
    <w:rsid w:val="2BA255B0"/>
    <w:rsid w:val="303D0EFB"/>
    <w:rsid w:val="31CE5774"/>
    <w:rsid w:val="38A9544E"/>
    <w:rsid w:val="3BD10D36"/>
    <w:rsid w:val="40495906"/>
    <w:rsid w:val="40637487"/>
    <w:rsid w:val="409E3FCC"/>
    <w:rsid w:val="44B02CEA"/>
    <w:rsid w:val="47C00098"/>
    <w:rsid w:val="48BF71D5"/>
    <w:rsid w:val="48DC4C08"/>
    <w:rsid w:val="49005521"/>
    <w:rsid w:val="49780C00"/>
    <w:rsid w:val="49BA1115"/>
    <w:rsid w:val="49EF5A5A"/>
    <w:rsid w:val="49FA23A6"/>
    <w:rsid w:val="4ADA535A"/>
    <w:rsid w:val="4CFA0E0E"/>
    <w:rsid w:val="4E631CE6"/>
    <w:rsid w:val="4F012FB2"/>
    <w:rsid w:val="504506F8"/>
    <w:rsid w:val="52FF51AF"/>
    <w:rsid w:val="53EB03DC"/>
    <w:rsid w:val="55794BB0"/>
    <w:rsid w:val="56E7074F"/>
    <w:rsid w:val="580E0C05"/>
    <w:rsid w:val="58276B45"/>
    <w:rsid w:val="59394F4E"/>
    <w:rsid w:val="5A341E07"/>
    <w:rsid w:val="5A383ECD"/>
    <w:rsid w:val="5B9E3D0C"/>
    <w:rsid w:val="5BCF3EFF"/>
    <w:rsid w:val="5CDB3A5A"/>
    <w:rsid w:val="5D137C64"/>
    <w:rsid w:val="5EB479D4"/>
    <w:rsid w:val="5F677118"/>
    <w:rsid w:val="612A5725"/>
    <w:rsid w:val="6272015D"/>
    <w:rsid w:val="63954601"/>
    <w:rsid w:val="63C05638"/>
    <w:rsid w:val="63F93BE6"/>
    <w:rsid w:val="642829A6"/>
    <w:rsid w:val="65DB2674"/>
    <w:rsid w:val="66EB4F31"/>
    <w:rsid w:val="67C535D3"/>
    <w:rsid w:val="67DF3294"/>
    <w:rsid w:val="6BBD5894"/>
    <w:rsid w:val="6D4F0F34"/>
    <w:rsid w:val="6D5C2F61"/>
    <w:rsid w:val="6F8F6914"/>
    <w:rsid w:val="733863CE"/>
    <w:rsid w:val="74D3462F"/>
    <w:rsid w:val="754A7F16"/>
    <w:rsid w:val="78645A0D"/>
    <w:rsid w:val="78C72A16"/>
    <w:rsid w:val="790E5A4B"/>
    <w:rsid w:val="79792C84"/>
    <w:rsid w:val="7B737DF4"/>
    <w:rsid w:val="7C026DCE"/>
    <w:rsid w:val="7CB63E70"/>
    <w:rsid w:val="7DAB0349"/>
    <w:rsid w:val="7E184C82"/>
    <w:rsid w:val="7EBF4B32"/>
    <w:rsid w:val="7F0C421B"/>
    <w:rsid w:val="7F2C76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autoRedefine/>
    <w:qFormat/>
    <w:uiPriority w:val="0"/>
    <w:pPr>
      <w:spacing w:beforeAutospacing="1" w:afterAutospacing="1"/>
      <w:outlineLvl w:val="0"/>
    </w:pPr>
    <w:rPr>
      <w:rFonts w:hint="eastAsia" w:ascii="宋体" w:hAnsi="宋体" w:eastAsia="宋体" w:cs="Times New Roman"/>
      <w:b/>
      <w:bCs/>
      <w:kern w:val="44"/>
      <w:sz w:val="48"/>
      <w:szCs w:val="48"/>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link w:val="13"/>
    <w:autoRedefine/>
    <w:qFormat/>
    <w:uiPriority w:val="0"/>
  </w:style>
  <w:style w:type="paragraph" w:styleId="4">
    <w:name w:val="Balloon Text"/>
    <w:basedOn w:val="1"/>
    <w:link w:val="15"/>
    <w:autoRedefine/>
    <w:qFormat/>
    <w:uiPriority w:val="0"/>
    <w:rPr>
      <w:sz w:val="18"/>
      <w:szCs w:val="18"/>
    </w:rPr>
  </w:style>
  <w:style w:type="paragraph" w:styleId="5">
    <w:name w:val="footer"/>
    <w:basedOn w:val="1"/>
    <w:qFormat/>
    <w:uiPriority w:val="0"/>
    <w:pPr>
      <w:tabs>
        <w:tab w:val="center" w:pos="4153"/>
        <w:tab w:val="right" w:pos="8306"/>
      </w:tabs>
    </w:pPr>
    <w:rPr>
      <w:sz w:val="18"/>
    </w:rPr>
  </w:style>
  <w:style w:type="paragraph" w:styleId="6">
    <w:name w:val="header"/>
    <w:basedOn w:val="1"/>
    <w:link w:val="12"/>
    <w:qFormat/>
    <w:uiPriority w:val="0"/>
    <w:pPr>
      <w:pBdr>
        <w:bottom w:val="single" w:color="auto" w:sz="6" w:space="1"/>
      </w:pBdr>
      <w:tabs>
        <w:tab w:val="center" w:pos="4153"/>
        <w:tab w:val="right" w:pos="8306"/>
      </w:tabs>
      <w:jc w:val="center"/>
    </w:pPr>
    <w:rPr>
      <w:sz w:val="18"/>
      <w:szCs w:val="18"/>
    </w:rPr>
  </w:style>
  <w:style w:type="paragraph" w:styleId="7">
    <w:name w:val="annotation subject"/>
    <w:basedOn w:val="3"/>
    <w:next w:val="3"/>
    <w:link w:val="14"/>
    <w:qFormat/>
    <w:uiPriority w:val="0"/>
    <w:rPr>
      <w:b/>
      <w:bCs/>
    </w:rPr>
  </w:style>
  <w:style w:type="character" w:styleId="10">
    <w:name w:val="annotation reference"/>
    <w:basedOn w:val="9"/>
    <w:autoRedefine/>
    <w:qFormat/>
    <w:uiPriority w:val="0"/>
    <w:rPr>
      <w:sz w:val="21"/>
      <w:szCs w:val="21"/>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页眉 Char"/>
    <w:basedOn w:val="9"/>
    <w:link w:val="6"/>
    <w:autoRedefine/>
    <w:qFormat/>
    <w:uiPriority w:val="0"/>
    <w:rPr>
      <w:rFonts w:ascii="Arial" w:hAnsi="Arial" w:eastAsia="Arial" w:cs="Arial"/>
      <w:snapToGrid w:val="0"/>
      <w:color w:val="000000"/>
      <w:sz w:val="18"/>
      <w:szCs w:val="18"/>
    </w:rPr>
  </w:style>
  <w:style w:type="character" w:customStyle="1" w:styleId="13">
    <w:name w:val="批注文字 Char"/>
    <w:basedOn w:val="9"/>
    <w:link w:val="3"/>
    <w:qFormat/>
    <w:uiPriority w:val="0"/>
    <w:rPr>
      <w:rFonts w:ascii="Arial" w:hAnsi="Arial" w:eastAsia="Arial" w:cs="Arial"/>
      <w:snapToGrid w:val="0"/>
      <w:color w:val="000000"/>
      <w:sz w:val="21"/>
      <w:szCs w:val="21"/>
    </w:rPr>
  </w:style>
  <w:style w:type="character" w:customStyle="1" w:styleId="14">
    <w:name w:val="批注主题 Char"/>
    <w:basedOn w:val="13"/>
    <w:link w:val="7"/>
    <w:autoRedefine/>
    <w:qFormat/>
    <w:uiPriority w:val="0"/>
    <w:rPr>
      <w:b/>
      <w:bCs/>
    </w:rPr>
  </w:style>
  <w:style w:type="character" w:customStyle="1" w:styleId="15">
    <w:name w:val="批注框文本 Char"/>
    <w:basedOn w:val="9"/>
    <w:link w:val="4"/>
    <w:autoRedefine/>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786</Words>
  <Characters>4485</Characters>
  <Lines>37</Lines>
  <Paragraphs>10</Paragraphs>
  <TotalTime>110</TotalTime>
  <ScaleCrop>false</ScaleCrop>
  <LinksUpToDate>false</LinksUpToDate>
  <CharactersWithSpaces>5261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2023-03-31T11:07:00Z</dcterms:created>
  <dc:creator>Kingsoft-PDF</dc:creator>
  <cp:lastModifiedBy>lisa</cp:lastModifiedBy>
  <cp:lastPrinted>2023-11-07T08:53:00Z</cp:lastPrinted>
  <dcterms:modified xsi:type="dcterms:W3CDTF">2024-01-11T05:54:56Z</dcterms:modified>
  <dc:subject>pdfbuilder</dc:subject>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2023-03-31T11:07:04Z</vt:filetime>
  </property>
  <property fmtid="{D5CDD505-2E9C-101B-9397-08002B2CF9AE}" pid="4" name="UsrData">
    <vt:lpwstr>64264e500c8b290015c10ef4</vt:lpwstr>
  </property>
  <property fmtid="{D5CDD505-2E9C-101B-9397-08002B2CF9AE}" pid="5" name="KSOProductBuildVer">
    <vt:lpwstr>2052-12.1.0.16120</vt:lpwstr>
  </property>
  <property fmtid="{D5CDD505-2E9C-101B-9397-08002B2CF9AE}" pid="6" name="ICV">
    <vt:lpwstr>4D4F608C476E48A2966F6C0F907B8A9F_13</vt:lpwstr>
  </property>
</Properties>
</file>