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346" w:rsidRDefault="00DF7CC7">
      <w:pPr>
        <w:spacing w:line="32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582346" w:rsidRDefault="00582346">
      <w:pPr>
        <w:jc w:val="center"/>
        <w:rPr>
          <w:rFonts w:ascii="Times New Roman" w:eastAsia="方正大标宋简体" w:hAnsi="Times New Roman" w:cs="Times New Roman"/>
          <w:sz w:val="36"/>
        </w:rPr>
      </w:pPr>
    </w:p>
    <w:p w:rsidR="00582346" w:rsidRDefault="00DF7CC7">
      <w:pPr>
        <w:jc w:val="center"/>
        <w:rPr>
          <w:rFonts w:ascii="Times New Roman" w:eastAsia="方正小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</w:rPr>
        <w:t>202</w:t>
      </w:r>
      <w:r>
        <w:rPr>
          <w:rFonts w:ascii="Times New Roman" w:eastAsia="方正小标宋简体" w:hAnsi="Times New Roman" w:cs="Times New Roman"/>
          <w:sz w:val="36"/>
        </w:rPr>
        <w:t>5</w:t>
      </w:r>
      <w:r>
        <w:rPr>
          <w:rFonts w:ascii="Times New Roman" w:eastAsia="方正小标宋简体" w:hAnsi="Times New Roman" w:cs="Times New Roman"/>
          <w:sz w:val="36"/>
        </w:rPr>
        <w:t>年政府各项主要工作分解落实表</w:t>
      </w:r>
    </w:p>
    <w:p w:rsidR="00582346" w:rsidRDefault="00582346">
      <w:pPr>
        <w:pStyle w:val="a3"/>
        <w:rPr>
          <w:rFonts w:ascii="Times New Roman" w:hAnsi="Times New Roman" w:cs="Times New Roman" w:hint="default"/>
        </w:rPr>
      </w:pPr>
    </w:p>
    <w:tbl>
      <w:tblPr>
        <w:tblW w:w="14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5184"/>
        <w:gridCol w:w="3322"/>
        <w:gridCol w:w="1832"/>
        <w:gridCol w:w="1832"/>
        <w:gridCol w:w="1834"/>
      </w:tblGrid>
      <w:tr w:rsidR="00582346">
        <w:trPr>
          <w:trHeight w:val="90"/>
          <w:jc w:val="center"/>
        </w:trPr>
        <w:tc>
          <w:tcPr>
            <w:tcW w:w="470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门类</w:t>
            </w: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 w:val="24"/>
              </w:rPr>
              <w:t>目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内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容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和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要</w:t>
            </w:r>
            <w:r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24"/>
              </w:rPr>
              <w:t>求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主要责任单位</w:t>
            </w:r>
          </w:p>
        </w:tc>
        <w:tc>
          <w:tcPr>
            <w:tcW w:w="183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 w:val="restart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综</w:t>
            </w:r>
          </w:p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合</w:t>
            </w:r>
          </w:p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指</w:t>
            </w:r>
          </w:p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标</w:t>
            </w: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地区生产总值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增长</w:t>
            </w: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sz w:val="24"/>
              </w:rPr>
              <w:t>以上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发改委</w:t>
            </w:r>
          </w:p>
        </w:tc>
        <w:tc>
          <w:tcPr>
            <w:tcW w:w="1834" w:type="dxa"/>
            <w:vMerge w:val="restart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各镇（区）</w:t>
            </w:r>
          </w:p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一般公共预算收入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保持正增长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徐华东</w:t>
            </w:r>
          </w:p>
          <w:p w:rsidR="00582346" w:rsidRDefault="00DF7CC7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财政局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全社会固定资产投资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超</w:t>
            </w:r>
            <w:r>
              <w:rPr>
                <w:rFonts w:ascii="Times New Roman" w:eastAsia="仿宋_GB2312" w:hAnsi="Times New Roman" w:cs="Times New Roman"/>
                <w:sz w:val="24"/>
              </w:rPr>
              <w:t>600</w:t>
            </w:r>
            <w:r>
              <w:rPr>
                <w:rFonts w:ascii="Times New Roman" w:eastAsia="仿宋_GB2312" w:hAnsi="Times New Roman" w:cs="Times New Roman"/>
                <w:sz w:val="24"/>
              </w:rPr>
              <w:t>亿元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发改委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工业投资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增长</w:t>
            </w:r>
            <w:r>
              <w:rPr>
                <w:rFonts w:ascii="Times New Roman" w:eastAsia="仿宋_GB2312" w:hAnsi="Times New Roman" w:cs="Times New Roman"/>
                <w:sz w:val="24"/>
              </w:rPr>
              <w:t>10%</w:t>
            </w:r>
            <w:r>
              <w:rPr>
                <w:rFonts w:ascii="Times New Roman" w:eastAsia="仿宋_GB2312" w:hAnsi="Times New Roman" w:cs="Times New Roman"/>
                <w:sz w:val="24"/>
              </w:rPr>
              <w:t>以上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工信局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社会消费品零售总额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保持稳定增长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商务局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进出口总额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"/>
              </w:rPr>
              <w:t>稳量提质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商务局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850"/>
          <w:jc w:val="center"/>
        </w:trPr>
        <w:tc>
          <w:tcPr>
            <w:tcW w:w="470" w:type="dxa"/>
            <w:vMerge/>
            <w:vAlign w:val="center"/>
          </w:tcPr>
          <w:p w:rsidR="00582346" w:rsidRDefault="00582346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5184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居民人均可支配收入</w:t>
            </w:r>
          </w:p>
        </w:tc>
        <w:tc>
          <w:tcPr>
            <w:tcW w:w="332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与</w:t>
            </w:r>
            <w:r>
              <w:rPr>
                <w:rFonts w:ascii="Times New Roman" w:eastAsia="仿宋_GB2312" w:hAnsi="Times New Roman" w:cs="Times New Roman"/>
                <w:sz w:val="24"/>
              </w:rPr>
              <w:t>经济增长基本</w:t>
            </w:r>
            <w:r>
              <w:rPr>
                <w:rFonts w:ascii="Times New Roman" w:eastAsia="仿宋_GB2312" w:hAnsi="Times New Roman" w:cs="Times New Roman"/>
                <w:sz w:val="24"/>
              </w:rPr>
              <w:t>同步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</w:tc>
        <w:tc>
          <w:tcPr>
            <w:tcW w:w="1832" w:type="dxa"/>
            <w:vAlign w:val="center"/>
          </w:tcPr>
          <w:p w:rsidR="00582346" w:rsidRDefault="00DF7CC7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发改委</w:t>
            </w:r>
          </w:p>
        </w:tc>
        <w:tc>
          <w:tcPr>
            <w:tcW w:w="1834" w:type="dxa"/>
            <w:vMerge/>
            <w:vAlign w:val="center"/>
          </w:tcPr>
          <w:p w:rsidR="00582346" w:rsidRDefault="00582346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582346" w:rsidRDefault="00582346">
      <w:pPr>
        <w:pStyle w:val="a3"/>
        <w:ind w:leftChars="-600" w:left="-1260" w:firstLineChars="494" w:firstLine="1037"/>
        <w:rPr>
          <w:rFonts w:ascii="Times New Roman" w:hAnsi="Times New Roman" w:cs="Times New Roman" w:hint="default"/>
        </w:rPr>
        <w:sectPr w:rsidR="00582346">
          <w:footerReference w:type="default" r:id="rId7"/>
          <w:pgSz w:w="16838" w:h="11906" w:orient="landscape"/>
          <w:pgMar w:top="1588" w:right="1814" w:bottom="1531" w:left="1985" w:header="851" w:footer="1474" w:gutter="0"/>
          <w:cols w:space="425"/>
          <w:docGrid w:type="lines" w:linePitch="312"/>
        </w:sectPr>
      </w:pPr>
    </w:p>
    <w:p w:rsidR="00582346" w:rsidRDefault="00582346">
      <w:pPr>
        <w:spacing w:line="100" w:lineRule="exact"/>
        <w:rPr>
          <w:rFonts w:ascii="Times New Roman" w:hAnsi="Times New Roman" w:cs="Times New Roman"/>
        </w:rPr>
      </w:pPr>
    </w:p>
    <w:tbl>
      <w:tblPr>
        <w:tblW w:w="15175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824"/>
        <w:gridCol w:w="8838"/>
        <w:gridCol w:w="1212"/>
        <w:gridCol w:w="1700"/>
        <w:gridCol w:w="1700"/>
      </w:tblGrid>
      <w:tr w:rsidR="00582346">
        <w:trPr>
          <w:trHeight w:val="782"/>
          <w:tblHeader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门类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项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目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内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容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和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主要责任单位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相关单位</w:t>
            </w:r>
          </w:p>
        </w:tc>
      </w:tr>
      <w:tr w:rsidR="00582346">
        <w:trPr>
          <w:trHeight w:val="2560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总量、增量、质量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，全力激发经济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增长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新动能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提升重大项目支撑力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打造专业化、精细化招商体系，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统筹开展资本招商、载体招商、产业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链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招商。支持存量企业利润再投资，开拓东盟、中东等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引资新方向，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拓展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QFLP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等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引资新模式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，吸引更多跨国公司设立地区总部和功能性机构。强化企业（项目）全生命周期管理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，推进签约项目早开工、开工项目早投产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数据局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招商局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51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做好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两重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”“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两新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项目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谋划储备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，加大超长期特别国债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、专项债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等申报争取力度，持续释放政策效能。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财政局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2221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提升产业集群竞争力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巩固提升高端装备、先进材料等千亿级优势产业，培育壮大航空航天、生物医药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等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特色产业，前瞻布局人形机器人、第三代半导体等未来产业。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四合一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推进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制造业设备更新、技术改造、智改数转网联、增资扩产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，实施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专精特新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”“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筑峰强链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等企业培育计划，新增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国家级专精特新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小巨人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企业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10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家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。大力发展低空经济，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拓展试验试飞等服务，打造苏州低空基础设施验证基地。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开展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人工智能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+”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行动，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强化算力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、算法等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支撑，构建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“AI+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制造业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交运局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05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推进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“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两业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”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融合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，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大力发展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eastAsia="zh" w:bidi="ar"/>
              </w:rPr>
              <w:t>研发设计、检验检测等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生产性服务业。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2002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总量、增量、质量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，全力激发经济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增长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新动能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提升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内外需求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拉动力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实施提振消费专项行动，加速发展首发经济、演艺经济、赛事经济，培育壮大直播电商产业，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持续丰富重点商圈消费场景，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推动批零住餐业扩容提质。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推进玫瑰庄园提升、阿尔卑斯二期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、之宝工旅融合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等项目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，持续打响冰雪游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乡村游、工业游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、港口游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品牌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文体广旅局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文旅集团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区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科教新城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沙溪镇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83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推进第四代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宅项目试点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，增加高品质住房供给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，推动房地产市场率先企稳回升。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城发集团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306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综合运用出口信保、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信贷、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展会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支持外贸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企业开拓新兴市场。推动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跨境电商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产业带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协同发展，积极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拓展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保税检测、跨境新零售等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新业态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，壮大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新三样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出口规模。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76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提升营商环境软实力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进一步完善政策体系，鼓励支持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民营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经济高质量发展。推进国企改革深化提升行动，加快市属国企产业化转型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国资运服中心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80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强化市镇两级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企业服务中心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联动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，开展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换位跑一次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行动，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完善企业意见建议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听取和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办理机制，提升政策直达度。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数据局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82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深化投资促产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一件事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等改革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，开发更多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小巧灵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的数字化应用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磊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数据局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综合指挥中心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28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实施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规范涉企执法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专项行动，深入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推进跨层级、跨部门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综合查一次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工作。打造知识产权保护中心一站式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平台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。建成外籍人士服务中心，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完善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外籍人士便利化服务措施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磊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公安局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司法局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商务局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市场监管局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2230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教育、科技、人才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，全力构筑创新驱动新格局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坚持教育优先发展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投用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实验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高级中学等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学校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新增学位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9300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集团化办学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，优化教育资源配置。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推进小初高贯通一体化拔尖创新人才培养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，大力引育名教师、名校长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配强驻校社工队伍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家校社协同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关爱学生身心健康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推动西工大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太仓校区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提质扩容，推进苏州高等研究院、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三航创新中心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建设。深化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中外合作办学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，放大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西浦太仓校区创新创业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融合教育优势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。高水平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打造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中德智能制造市域产教联合体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，探索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双元制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向服务业延伸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教育局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健雄学院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21"/>
                <w:rFonts w:eastAsia="仿宋_GB2312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666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优化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科技创新生态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奋力争创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国家级高新区。深化科技企业培育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，优化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运作先进技术成果长三角转化中心太仓孵化基地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，招引科技及人才项目超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1000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个，新认定高新技术企业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450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、省级以上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独角兽（潜在）企业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力争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高新技术产业产值占规上工业产值比重达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55%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。推动实现规上工业企业研发机构全覆盖，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支持头部企业牵头组建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任务型创新联合体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力争全社会研发经费支出占地区生产总值比重达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4.2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人才办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科技局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107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与省高投、苏创投、深创投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等头部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机构合作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，推动科技投资与产业创新更好联动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持续强化上市后备企业培育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严国强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吴金晨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政府办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科技局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429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打造人才发展高地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出台新一轮人才政策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设立顶尖人才专项计划，加强重大人才团队和高精尖缺人才招引，发挥科技镇长团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桥梁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作用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完善创业大赛和人才计划贯通机制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探索资本引才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、以才引才、赛事引才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模式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，强化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拨投贷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联动等支持举措，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新增苏州市级以上人才计划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超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80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人才办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科技局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人社局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093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升级推广大创园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零成本创业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零障碍就业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试点，打造长三角大学生创新创业首选地。拓展人才服务中心功能，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提升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人才公寓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运营质效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人才办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人社局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城发集团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782"/>
          <w:tblHeader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>门类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项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目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内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容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和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Style w:val="font21"/>
                <w:rFonts w:eastAsia="黑体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主要责任单位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相关单位</w:t>
            </w:r>
          </w:p>
        </w:tc>
      </w:tr>
      <w:tr w:rsidR="00582346">
        <w:trPr>
          <w:trHeight w:val="1704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港口、邻沪、对德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，全力塑造开放发展新优势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加快打造以港强市枢纽城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构建完善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前港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—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中区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—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后城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功能格局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完善公铁水集疏运体系，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加快推进龙江路快速化、江堤大道拓宽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、南疏港高速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等工程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交运局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区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759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深化与上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港、宁波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—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舟山港等港口合作，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集装箱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货物吞吐量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稳步增长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海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关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海事局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区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04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提速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推进扬子三井等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临港产业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项目，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高标准建设临港航空航天产业园、美妆港湾等特色园区，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支持化工园区创建省级绿色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工业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园区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区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13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加快建设娄江新城沿江现代服务业集聚区，做强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船员培训、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航运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金融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等港航服务业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完善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商业、酒店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等配套设施。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施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敬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港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区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娄江新城建设指挥部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hRule="exact" w:val="782"/>
          <w:tblHeader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>门类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目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内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和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主要责任单位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相关单位</w:t>
            </w:r>
          </w:p>
        </w:tc>
      </w:tr>
      <w:tr w:rsidR="00582346">
        <w:trPr>
          <w:trHeight w:val="3998"/>
          <w:tblHeader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:rsidR="00582346" w:rsidRDefault="00DF7CC7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港口、邻沪、对德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，全力塑造开放发展新优势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加快融入沪苏一体化发展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积极参与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编制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《长三角国土空间规划》。主动承接上海产业、科技、人才、教育、医疗等资源。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加快建设沪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苏锡常城际铁路太仓先导段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等轨道交通项目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高效保障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沪武高速改扩建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沪宜高速东延对接蕴川高速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等跨区域交通工程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加快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建设上海外国语大学附属学校，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投用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瑞金医院太仓分院。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人才办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教育局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科技局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资源规划局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交运局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卫健委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2474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扎实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推进嘉昆太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协同创新核心圈建设，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嘉太给水、污水管道互联互通项目，推动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更多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跨区域产学研协同创新、重点合作事项落地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见效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科技局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水务局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水务集团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832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港口、邻沪、对德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，全力塑造开放发展新优势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加快打造对德合作示范区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编制《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中德（太仓）产业合作示范区规划》，争取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更多政策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举措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先行先试，加快打造国家级对德合作平台。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60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常态化对接德商会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、德国中心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等组织，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实施龙头型德企和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隐形冠军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同招共引，支持存量德企增资扩产，持续开展走进德企等交流活动，推动德企向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生产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研发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生产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服务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转型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擦亮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太仓制造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德国品质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金字招牌。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商务局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招商局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3486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海外联络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和城市宣传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体系，构建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深耕南德、拓展北德、覆盖德语区、延伸全欧洲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合作架构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在教育、医疗、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环保、标准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等领域探索更多合作机会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，持续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办好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太仓日、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啤酒节等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对德品牌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活动。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教育局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商务局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文体广旅局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卫健委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生态环境局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市场监管局</w:t>
            </w:r>
          </w:p>
          <w:p w:rsidR="00582346" w:rsidRDefault="00DF7CC7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711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规划、建设、管理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，全力打造田园城市新样板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优化空间布局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全面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开展水系、市政等专项规划编制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推进新一轮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详细规划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编制全覆盖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。打造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地籍图系统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长效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国土空间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全域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整治，完成拆旧复垦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3000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亩、低效用地再开发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2250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资源规划局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11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建设特色产业园区，推进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工业上楼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</w:pPr>
          </w:p>
        </w:tc>
      </w:tr>
      <w:tr w:rsidR="00582346">
        <w:trPr>
          <w:trHeight w:val="1860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全域拓展娄江新城建设，竣工投用万豪酒店等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25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个重点项目，加快实施广州路、滨河路、北京路等上跨下穿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G15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通道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工程。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交运局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高新区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娄江新城建设指挥部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247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东亭路南延、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604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省道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（沙溪镇段）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、滨江大道北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。扩建城区增压站、江城污水处理厂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城市生命线安全工程。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交运局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水务局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水务集团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430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规划、建设、管理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，全力打造田园城市新样板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强化精细管理</w:t>
            </w:r>
          </w:p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深化文明城市常态长效建设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拓展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城市管家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服务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，完善城市运行管理服务平台与综指平台联动机制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文明办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城管局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76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因地制宜推进城市更新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，完成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个老旧小区改造，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加速提升被撤并镇（管理区）等区域功能。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城管局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3251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健全物业公共收益管理机制，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加强无物业小区管理服务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。持续建设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城商协作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道路，优化便民疏导点管理。推进智慧交通二期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项目，大力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无感停车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完善城乡照明体系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。从严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管控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新增违建，全过程分类治理建筑垃圾，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深化生活垃圾收运与再生资源回收利用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两网融合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磊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公安局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602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规划、建设、管理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，全力打造田园城市新样板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推动乡村振兴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实施耕地质量等级提升行动，改造提升高标准农田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4500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亩。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农业农村局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610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优化智慧农业场景布局，建设区域性农业综合服务中心，建成省级现代农业产业高质量发展示范园。推动乡村振兴片区特色发展，加快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金仓湖农产品加工产业园。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农业农村局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城厢镇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223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推动农业生产及农村发展集成改革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，积极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探索农村集体经济高效实现形式，强化抱团发展，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深化农文旅融合，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培育产业发展特色村，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村级集体经营性收入稳步增长。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农业农村局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文体广旅局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文旅集团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761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农村人居环境长效管理，新增特色康居乡村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、特色精品乡村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个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农业农村局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83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加强文化建设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全力参与长江国家文化公园建设。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深入挖掘以吴健雄为代表的科创文化、郑和七下西洋起锚地为代表的开放文化、江南丝竹等为代表的娄东文化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时代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内涵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打造城市文化品牌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。健全公共文化资源直达基层机制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完善全民健身体系，推动足球改革发展，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办好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世界田联巡回赛暨全国竞走大奖赛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、马拉松等赛事。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文体广旅局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470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加大文化产业招商力度，建强城厢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海美国际文化产业园、璜泾数字文化产业园等载体。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施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文体广旅局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招商局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城厢镇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璜泾镇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169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生产、生态、生活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，全力擦亮美丽太仓新底色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加强生态环境整治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全面抓好第三轮中央生态环境保护督察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反馈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问题整改。强化细颗粒物和臭氧污染协同控制，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重点行业挥发性有机物深度治理，加强扬尘管控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确保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PM2.5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均浓度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空气优良天数比例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保持全省前列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生态环境局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137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实施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一断面一方案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攻坚行动，加快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老七浦塘综合整治，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稳步提高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国省考断面水质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，确保长江干流水质保持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Ⅱ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类。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水务局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生态环境局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水务集团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60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无废城市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建设，强化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土壤污染管控修复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，提升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危废规范化管理水平。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生态环境局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76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提升生态治理能力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深化长江大保护，坚定不移推进长江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十年禁渔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水务局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农业农村局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生态环境局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230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深化林长制、河长制，推进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生态环境安全与应急管理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强基提能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行动，健全突发生态环境事件联防联控机制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，加快建设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环境应急物资储备体系。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资源规划局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水务局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生态环境局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240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建立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自然资源综合评价体系，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抓好林地绿地湿地同建，加强生物多样性保护，持续提升林木覆盖率、湿地保护率、城区绿化覆盖率。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资源规划局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生态环境局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255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生产、生态、生活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，全力擦亮美丽太仓新底色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推进绿色低碳转型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深化中欧数字绿色创新合作，推动传统制造业绿色转型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，加快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构建绿色低碳循环产业体系，打造一批绿色工厂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，创成更多（近）零碳工厂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工信局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2644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大力推动光伏开发利用，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探索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发展陆上风电等可再生能源，推进港口码头充换电站建设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，扩大新能源车辆应用场景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Style w:val="font31"/>
                <w:rFonts w:ascii="Times New Roman" w:hAnsi="Times New Roman" w:cs="Times New Roman" w:hint="eastAsia"/>
                <w:sz w:val="24"/>
                <w:szCs w:val="24"/>
                <w:lang w:bidi="ar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城发集团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供电公司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3469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倡导绿色生活，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推进建筑节能绿色改造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，鼓励绿色高效出行方式，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构建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骨干线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接驳线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多样线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多层次公交服务模式。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交运局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831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富民、惠民、安民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，全力满足美好生活新期待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推动富民增收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扩中提低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行动，突出就业优先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导向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，健全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大学生等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重点群体就业支持体系，加强紧缺工种、新就业形态技能提升培训，争取城镇新增就业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万人。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人社局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848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深化灵活就业人员参加住房公积金制度试点。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人社局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公积金中心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724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加大欠薪治理力度，保障群众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合法权益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人社局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14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推进社保精准扩面，实施工伤预防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护航娄城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培训改善项目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完善大病保险和医疗救助制度，加强困难群众综合帮扶。支持有能力的企业和社会群体参与公益慈善事业。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民政局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人社局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医保局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298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突出全龄友好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深化户籍制度改革，实施外来人口服务管理提升工程，完善就业创业、子女教育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、住房保障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等服务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，打造青年发展型城市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磊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盛海峰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童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刚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教育局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公安局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人社局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住建局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66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落实生育支持措施，发展普惠育幼服务，投用托育综合服务中心。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卫健委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124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养老服务三年提升行动，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投用金仓湖康养中心、中德创新城医养中心，大力发展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银发经济。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民政局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高新区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城厢镇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711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优化医疗卫生体系，加强医共体建设管理，推动医疗资源科学布局。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周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卫健委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525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用心用情办好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民生实事项目。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施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敬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发改委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hRule="exact" w:val="782"/>
          <w:tblHeader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>门类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目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内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和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主要责任单位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相关单位</w:t>
            </w:r>
          </w:p>
        </w:tc>
      </w:tr>
      <w:tr w:rsidR="00582346">
        <w:trPr>
          <w:trHeight w:val="1526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富民、惠民、安民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，全力满足美好生活新期待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加强社会治理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实施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强基提能惠民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三年行动，深化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融合共治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城乡社区幸福生活共同体建设。做深省级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五社联动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机制创新试点，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加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社会组织支持力度，建强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社工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队伍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盛海峰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政法委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民政局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2026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加强精神文明建设，争创全国第三批婚俗改革实验区。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民政局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311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坚持和发展新时代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枫桥经验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，深化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精网微格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工程，推进信访工作法治化，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强化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人民调解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规范化建设，健全社会心理服务和危机干预等机制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最大限度把矛盾问题化解在源头。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磊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信访局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综合指挥中心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60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常态化开展扫黑除恶，全面加强社会面治安防控。</w:t>
            </w:r>
          </w:p>
        </w:tc>
        <w:tc>
          <w:tcPr>
            <w:tcW w:w="1212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582346">
            <w:pPr>
              <w:pStyle w:val="a3"/>
              <w:rPr>
                <w:rFonts w:ascii="Times New Roman" w:hAnsi="Times New Roman" w:cs="Times New Roman" w:hint="default"/>
              </w:rPr>
            </w:pP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81"/>
                <w:rFonts w:ascii="Times New Roman" w:hAnsi="Times New Roman" w:cs="Times New Roman" w:hint="default"/>
                <w:lang w:bidi="ar"/>
              </w:rPr>
              <w:t>公安局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2617"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统筹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富民、惠民、安民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，全力满足美好生活新期待</w:t>
            </w:r>
          </w:p>
        </w:tc>
        <w:tc>
          <w:tcPr>
            <w:tcW w:w="82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夯实本质安全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长效推进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安全生产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六化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建设，持续开展安全生产治本攻坚三年行动，高效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运行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安全生产监管平台，推进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厂中厂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、燃气、消防等重点领域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一件事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全链条治理。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徐华东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磊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安委会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各成员单位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2070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加强新领域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新业态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安全监管，优化消防站布局，探索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中心站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执勤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模式，强化应急物资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救援力量配备，健全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防汛防台等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城市应急保障体系。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sz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施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敬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严国强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应急管理局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消防救援局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112"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深化食品药械等智慧监管平台建设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，加强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重点民生消费品质量抽查。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周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飞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市场监管局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val="1828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持续防范化解金融风险，加强政府债务风险防控，坚决守住不发生系统性风险的底线。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施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敬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吴金晨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政府办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财政局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太仓金融监管支局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</w:pPr>
          </w:p>
        </w:tc>
      </w:tr>
      <w:tr w:rsidR="00582346">
        <w:trPr>
          <w:trHeight w:hRule="exact" w:val="782"/>
          <w:tblHeader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lastRenderedPageBreak/>
              <w:t>门类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目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内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容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和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要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主要责任单位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51"/>
                <w:rFonts w:ascii="Times New Roman" w:hAnsi="Times New Roman" w:cs="Times New Roman"/>
                <w:sz w:val="24"/>
                <w:szCs w:val="24"/>
                <w:lang w:bidi="ar"/>
              </w:rPr>
              <w:t>相关单位</w:t>
            </w:r>
          </w:p>
        </w:tc>
      </w:tr>
      <w:tr w:rsidR="00582346">
        <w:trPr>
          <w:trHeight w:val="1961"/>
          <w:tblHeader/>
        </w:trPr>
        <w:tc>
          <w:tcPr>
            <w:tcW w:w="90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加强政府自身建设</w:t>
            </w: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坚持党的领导，强化政治担当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旗帜鲜明讲政治，坚持不懈用习近平新时代中国特色社会主义思想凝心铸魂，始终做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两个确立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的坚定捍卫者、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两个维护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的忠实践行者。严明政治纪律和政治规矩，严格落实意识形态工作责任制。全面贯彻上级各项决策部署，胸怀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两个大局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，心系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国之大者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，把党的全面领导贯穿政府工作各领域、全过程。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徐华东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政府办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各有关镇（区）</w:t>
            </w:r>
          </w:p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有关部门</w:t>
            </w:r>
          </w:p>
        </w:tc>
      </w:tr>
      <w:tr w:rsidR="00582346">
        <w:trPr>
          <w:trHeight w:val="1254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坚持依法行政，强化法治思维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深入践行全过程人民民主，主动接受人大法律监督、政协民主监督和社会舆论监督，全面提升审计、统计、司法等监督合力，认真办好人大代表建议、政协委员提案。坚持科学民主依法决策，制度化、标准化、规范化执行重大行政决策程序。坚持严格规范公正文明执法。加强诉源治理，做好行政争议实质性化解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徐华东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施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敬</w:t>
            </w:r>
          </w:p>
          <w:p w:rsidR="00582346" w:rsidRDefault="00DF7CC7">
            <w:pPr>
              <w:pStyle w:val="a3"/>
              <w:rPr>
                <w:rFonts w:ascii="Times New Roman" w:hAnsi="Times New Roman" w:cs="Times New Roman" w:hint="default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陈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磊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政府办</w:t>
            </w:r>
          </w:p>
          <w:p w:rsidR="00582346" w:rsidRDefault="00DF7CC7">
            <w:pPr>
              <w:pStyle w:val="a3"/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司法局</w:t>
            </w:r>
          </w:p>
          <w:p w:rsidR="00582346" w:rsidRDefault="00DF7CC7">
            <w:pPr>
              <w:jc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审计局</w:t>
            </w:r>
          </w:p>
          <w:p w:rsidR="00582346" w:rsidRDefault="00DF7C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统计局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945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坚持狠抓落实，强化作风效能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坚决把抓落实摆在首要位置，倡导雷厉风行、马上就办、办就办好的工作作风，以实干担当践行正确政绩观。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持续深化整治形式主义为基层减负，充分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尊重基层首创精神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强化督查问效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和正向激励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努力让想干事、会干事的干部能干事、干成事，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推动各项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工作提质增效、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勇争一流。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徐华东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政府办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  <w:tr w:rsidR="00582346">
        <w:trPr>
          <w:trHeight w:val="1994"/>
          <w:tblHeader/>
        </w:trPr>
        <w:tc>
          <w:tcPr>
            <w:tcW w:w="901" w:type="dxa"/>
            <w:vMerge/>
            <w:tcBorders>
              <w:tl2br w:val="nil"/>
              <w:tr2bl w:val="nil"/>
            </w:tcBorders>
            <w:shd w:val="clear" w:color="auto" w:fill="auto"/>
            <w:noWrap/>
            <w:textDirection w:val="tbRlV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坚持廉洁从政，强化正风肃纪</w:t>
            </w:r>
          </w:p>
        </w:tc>
        <w:tc>
          <w:tcPr>
            <w:tcW w:w="8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严格履行政府系统全面从严治党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政治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责任，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纵深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推进党风廉政建设，巩固党纪学习教育成果，常态长效抓好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巡视巡察发现问题整改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。锲而不舍落实中央八项规定精神，聚焦权力集中、资金密集、资源富集领域，一体推进不敢腐、不能腐、不想腐。深化政务公开，让权力在阳光下运行。严格预算管理，倡导勤俭节约，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lang w:eastAsia="zh"/>
              </w:rPr>
              <w:t>努力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以政府的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紧日子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换群众的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好日子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徐华东</w:t>
            </w:r>
          </w:p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color w:val="00000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</w:rPr>
              <w:t>施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default"/>
                <w:sz w:val="24"/>
              </w:rPr>
              <w:t>敬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</w:pPr>
            <w:r>
              <w:rPr>
                <w:rStyle w:val="font31"/>
                <w:rFonts w:ascii="Times New Roman" w:hAnsi="Times New Roman" w:cs="Times New Roman"/>
                <w:sz w:val="24"/>
                <w:szCs w:val="24"/>
                <w:lang w:bidi="ar"/>
              </w:rPr>
              <w:t>政府办</w:t>
            </w:r>
          </w:p>
          <w:p w:rsidR="00582346" w:rsidRDefault="00DF7CC7">
            <w:pPr>
              <w:pStyle w:val="a3"/>
              <w:rPr>
                <w:rFonts w:ascii="Times New Roman" w:eastAsia="仿宋_GB2312" w:hAnsi="Times New Roman" w:cs="Times New Roman" w:hint="default"/>
                <w:color w:val="000000"/>
                <w:sz w:val="24"/>
                <w:lang w:bidi="ar"/>
              </w:rPr>
            </w:pPr>
            <w:r>
              <w:rPr>
                <w:rStyle w:val="font31"/>
                <w:rFonts w:ascii="Times New Roman" w:hAnsi="Times New Roman" w:cs="Times New Roman" w:hint="default"/>
                <w:sz w:val="24"/>
                <w:szCs w:val="24"/>
                <w:lang w:bidi="ar"/>
              </w:rPr>
              <w:t>财政局</w:t>
            </w:r>
          </w:p>
        </w:tc>
        <w:tc>
          <w:tcPr>
            <w:tcW w:w="170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</w:tr>
    </w:tbl>
    <w:p w:rsidR="00582346" w:rsidRDefault="00DF7CC7">
      <w:pPr>
        <w:widowControl/>
        <w:spacing w:line="320" w:lineRule="exact"/>
        <w:textAlignment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582346" w:rsidRDefault="00582346">
      <w:pPr>
        <w:pStyle w:val="a3"/>
        <w:rPr>
          <w:rFonts w:ascii="Times New Roman" w:hAnsi="Times New Roman" w:cs="Times New Roman" w:hint="default"/>
        </w:rPr>
      </w:pPr>
    </w:p>
    <w:p w:rsidR="00582346" w:rsidRDefault="00DF7CC7">
      <w:pPr>
        <w:jc w:val="center"/>
        <w:rPr>
          <w:rFonts w:ascii="Times New Roman" w:eastAsia="方正大标宋简体" w:hAnsi="Times New Roman" w:cs="Times New Roman"/>
          <w:sz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sz w:val="36"/>
          <w:szCs w:val="36"/>
        </w:rPr>
        <w:t>年民生实事项目情况表</w:t>
      </w:r>
    </w:p>
    <w:tbl>
      <w:tblPr>
        <w:tblpPr w:leftFromText="180" w:rightFromText="180" w:vertAnchor="text" w:horzAnchor="page" w:tblpX="771" w:tblpY="609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48"/>
        <w:gridCol w:w="1380"/>
        <w:gridCol w:w="6106"/>
        <w:gridCol w:w="14"/>
        <w:gridCol w:w="2597"/>
        <w:gridCol w:w="1213"/>
        <w:gridCol w:w="1311"/>
        <w:gridCol w:w="1762"/>
      </w:tblGrid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1388"/>
        </w:trPr>
        <w:tc>
          <w:tcPr>
            <w:tcW w:w="532" w:type="dxa"/>
            <w:vMerge w:val="restart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教育文体</w:t>
            </w:r>
          </w:p>
        </w:tc>
        <w:tc>
          <w:tcPr>
            <w:tcW w:w="1380" w:type="dxa"/>
            <w:vMerge w:val="restart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教育资源扩优提质项目</w:t>
            </w: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上海外国语大学附属太仓学校，占地约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9.3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万平方米，建设规模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轨小学，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轨初中，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轨高中。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桩基和地下结构工程完工。</w:t>
            </w:r>
          </w:p>
        </w:tc>
        <w:tc>
          <w:tcPr>
            <w:tcW w:w="1213" w:type="dxa"/>
            <w:vMerge w:val="restart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311" w:type="dxa"/>
            <w:vMerge w:val="restart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教育局</w:t>
            </w:r>
          </w:p>
        </w:tc>
        <w:tc>
          <w:tcPr>
            <w:tcW w:w="1762" w:type="dxa"/>
            <w:vMerge w:val="restart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</w:tr>
      <w:tr w:rsidR="00582346">
        <w:trPr>
          <w:trHeight w:val="1701"/>
        </w:trPr>
        <w:tc>
          <w:tcPr>
            <w:tcW w:w="532" w:type="dxa"/>
            <w:vMerge/>
            <w:vAlign w:val="center"/>
          </w:tcPr>
          <w:p w:rsidR="00582346" w:rsidRDefault="00582346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:rsidR="00582346" w:rsidRDefault="00582346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朱棣文小学扩建项目，扩建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班，新增学位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1080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个，建筑面积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万平方米，建设教学楼、图书馆、报告厅、体育馆、食堂、配套车库等。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桩基和地下结构工程完工。</w:t>
            </w:r>
          </w:p>
        </w:tc>
        <w:tc>
          <w:tcPr>
            <w:tcW w:w="1213" w:type="dxa"/>
            <w:vMerge/>
            <w:vAlign w:val="center"/>
          </w:tcPr>
          <w:p w:rsidR="00582346" w:rsidRDefault="00582346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1" w:type="dxa"/>
            <w:vMerge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2" w:type="dxa"/>
            <w:vMerge/>
            <w:vAlign w:val="center"/>
          </w:tcPr>
          <w:p w:rsidR="00582346" w:rsidRDefault="0058234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82346">
        <w:trPr>
          <w:trHeight w:val="1398"/>
        </w:trPr>
        <w:tc>
          <w:tcPr>
            <w:tcW w:w="532" w:type="dxa"/>
            <w:vMerge/>
            <w:vAlign w:val="center"/>
          </w:tcPr>
          <w:p w:rsidR="00582346" w:rsidRDefault="0058234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Merge/>
            <w:vAlign w:val="center"/>
          </w:tcPr>
          <w:p w:rsidR="00582346" w:rsidRDefault="00582346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新建横沥佳苑南侧幼儿园、九年一贯制学校，占地约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亩，拟设置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+2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托班幼儿园；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轨小学预留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轨；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轨初中。总建筑面积约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7.8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万平方米。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主体结构完成。</w:t>
            </w:r>
          </w:p>
        </w:tc>
        <w:tc>
          <w:tcPr>
            <w:tcW w:w="1213" w:type="dxa"/>
            <w:vMerge/>
            <w:vAlign w:val="center"/>
          </w:tcPr>
          <w:p w:rsidR="00582346" w:rsidRDefault="0058234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1" w:type="dxa"/>
            <w:vMerge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62" w:type="dxa"/>
            <w:vMerge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82346">
        <w:trPr>
          <w:trHeight w:val="183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中德双元制职业教育项目</w:t>
            </w: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项目位于北京路北、娄江路西，占地约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28.6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万平方米（新建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22.9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万平方米，改造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5.7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万平方米），建设产业用房及相关配套。打造集技能培训、考试认证、师资培训、产教研究、国际教育合作、人才储备等功能于一体的产教发展综合体。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竣工。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教育局</w:t>
            </w:r>
          </w:p>
        </w:tc>
      </w:tr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4656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医疗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卫生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瑞金医院投用及其周边片区综合功能提升工程</w:t>
            </w:r>
          </w:p>
        </w:tc>
        <w:tc>
          <w:tcPr>
            <w:tcW w:w="6120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瑞金医院太仓分院：项目总占地约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181.6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27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万平方米，设置床位约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张。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万豪、万怡酒店：为聚焦文旅建设，提升现代服务业水平，实施该项目。该项目总占地约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53.4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亩，其中改建部分总建筑面积约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万平方米，扩建部分总建筑面积约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飞沪大道（西安路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西向阳河）改造：为进一步提升瑞金医院及万豪酒店周边道路交通能力，完善周边城市道路功能，提升周边区域城市形象，实施该项目。该项目由既有的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车道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车道道路改造为双向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车道城市道路，增加中分带及非机动车道和人行道。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上海东路（花园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融沪大道）改建：为加强娄江新城与太仓市区的沟通联系，提升车辆通行能力，实施该项目。项目西起花园街，东至融沪大道，路线全长约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公里，按照城市主干路标准，路幅拓宽至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米，改造后道路断面为双向八车道。</w:t>
            </w:r>
          </w:p>
        </w:tc>
        <w:tc>
          <w:tcPr>
            <w:tcW w:w="2597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瑞金医院太仓分院投用。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万豪、万怡酒店完工。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飞沪大道（西安路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西向阳河）改造完成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上海东路（花园街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融沪大道）改建竣工验收。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飞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商务局</w:t>
            </w:r>
          </w:p>
          <w:p w:rsidR="00582346" w:rsidRDefault="00DF7CC7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卫健委</w:t>
            </w:r>
          </w:p>
        </w:tc>
      </w:tr>
      <w:tr w:rsidR="00582346">
        <w:trPr>
          <w:trHeight w:val="3251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儿童早期心理健康公益关爱行动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为建立健全儿童孤独症筛查和干预的管理体系和工作机制，实现早期发现、早期诊断、早期干预，从而不同程度改善患儿症状和预后，提高患儿的生存质量，促进儿童全面健康发展，实施该项目。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1.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健全完善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岁儿童孤独症初筛、复筛、诊断、康复、随访的规范服务体系。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2.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全面开展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岁儿童孤独症筛查干预技术培训和质控，不断提高基层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岁儿童孤独症筛查干预服务能力。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3.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面向社会、家庭广泛开展科普宣传，逐步提高儿童监护人相关知识知晓率和接受度，形成全社会共同关心关爱孤独症儿童及家庭的良好氛围，创造儿童友好的发展环境。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全市初筛实现应筛尽筛；复筛率达到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以上；诊断率达到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以上。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周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>飞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卫健委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教育局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医保局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妇联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残联</w:t>
            </w:r>
          </w:p>
        </w:tc>
      </w:tr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1677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养老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颐养金仓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幸福享老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提升工程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璜泾镇、城厢镇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家镇级综合为老服务中心建设项目。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新增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家老年人认知症照护友好示范社区。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千户老年人家庭适老化改造项目。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推动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家智慧养老机构建设项目。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居家和社区基本养老服务提升工程（提档升级一批乡村睦邻点（日间照料服务中心））。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市镇老年大学提升行动。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镇级老年人力资源开发行动（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个零工驿站联络点）。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民政局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人社局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各区镇</w:t>
            </w:r>
          </w:p>
        </w:tc>
      </w:tr>
      <w:tr w:rsidR="00582346">
        <w:trPr>
          <w:trHeight w:val="1723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人居环境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太仓城区城厢片区提质更新项目（原城三小地块）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为加快推进我市城镇化高质量发展，优化城市公共空间、推进宜居社区建设、提升生态环境品质、延续城市文脉，实施该项目。该项目占地约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86.91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14.6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幢住宅（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14-15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层）共计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762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套、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栋商超及日间照料中心、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栋社区用房、沿街商业等。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竣工交付。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住建局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城厢镇</w:t>
            </w:r>
          </w:p>
        </w:tc>
      </w:tr>
      <w:tr w:rsidR="00582346">
        <w:trPr>
          <w:trHeight w:val="1365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绿意悦城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园林绿化品质提升项目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为提升园林绿化功能性与实用性，创造优良人居环境，计划新增及改造口袋公园不少于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住建局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各区镇</w:t>
            </w:r>
          </w:p>
        </w:tc>
      </w:tr>
      <w:tr w:rsidR="00582346">
        <w:trPr>
          <w:trHeight w:val="2822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公共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交通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畅行无忧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全市道路交通治堵保畅项目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进一步聚焦港口发展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一号工程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增强枢纽门户城市功能，解决城市拥堵压力。增补路面前端感知设备等硬件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套。推动港区政府增建大型停车场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处，增划停车泊位不少于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个。创新无人车智能停车收费，提升停车泊位周转率。更新全市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处老旧信号灯控制设备，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650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个老旧信号灯盘。科学调优全市信号灯配时。对全市学校、医院、商圈及周边的交通组织开展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一点一策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提升，年内再完成不少于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微改造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微治理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工程。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磊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公安局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城管局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城发集团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各区镇</w:t>
            </w:r>
          </w:p>
        </w:tc>
      </w:tr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90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公共交通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沪苏锡常城际铁路太仓先导段工程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为满足太仓与上海融合发展的需求，全面对接长三角核心城市上海，支撑娄江新城外向开拓、高质量发展，实施该项目。项目正线长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10.4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公里，太仓境内设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站（十八港路站、白云渡路站、太仓站），设车辆段一座。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开展盾构机制造、桥梁、地下连续墙、站房施工等。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浏河镇</w:t>
            </w:r>
          </w:p>
        </w:tc>
      </w:tr>
      <w:tr w:rsidR="00582346">
        <w:trPr>
          <w:trHeight w:val="1381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太仓大道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-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城区贯通工程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太仓大道及地下综合管廊及配套工程：为进一步有效提升城市环境，保障城市安全，构建绿色低碳宜居的生态城，实施该项目，太仓大道工程全长约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公里，红线宽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米，车道规模为双向八车道，设计时速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小时。地下综合管廊采用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3-4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舱结构建设，全长约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太仓大道（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G15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下穿段）工程：以本次沈海高速拓宽为契机，对原道路进行提档改造，本次提档改造道路等级为城市次干路，设计车速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小时，总长度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112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米，双向六车道。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太仓大道及地下综合管廊及配套工程完工。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太仓大道（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G15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下穿段）工程整体竣工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城管局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</w:tc>
      </w:tr>
      <w:tr w:rsidR="00582346">
        <w:trPr>
          <w:trHeight w:val="2361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东西贯通路网优化工程（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G15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上跨下穿通道）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对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G15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上跨下穿通道进行新建和改造。其中新建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处，包括滨河路下穿、北京路下穿、广州路上跨；改造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处，包括新港公路上跨、双浮公路上跨、通港西路上跨。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完成广州路上跨桥梁主体结构施工；完成滨河路下穿西半幅隧道施工；完成新港公路上跨、双浮公路上跨、通港西路上跨桥梁半幅施工和交通转换。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</w:rPr>
              <w:t>高新区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</w:rPr>
            </w:pPr>
            <w:r>
              <w:rPr>
                <w:rStyle w:val="font31"/>
                <w:rFonts w:ascii="Times New Roman" w:hAnsi="Times New Roman" w:cs="Times New Roman"/>
                <w:color w:val="auto"/>
                <w:sz w:val="24"/>
                <w:szCs w:val="24"/>
              </w:rPr>
              <w:t>沙溪镇</w:t>
            </w:r>
          </w:p>
        </w:tc>
      </w:tr>
      <w:tr w:rsidR="00582346">
        <w:trPr>
          <w:trHeight w:val="1663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四好农村路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建设项目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为实现城乡交通运输一体化，破除城乡二元结构，计划新建毛柴线二期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2.226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公里，新建新湖中心路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2.135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公里，对滨江大道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S339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处排水设施进行更新，增设雨水管道，新建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604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省道沙溪镇段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4.14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604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省道沙溪段完成路基工程，开展路面工程、桥涵施工；其余道路完成前期工作，开工建设。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交运局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沙溪镇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浏河镇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双凤镇</w:t>
            </w:r>
          </w:p>
        </w:tc>
      </w:tr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1935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生态环境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绿美城乡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沙溪镇垃圾转运站新建项目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为了进一步保障生活垃圾分类后无害化、资源化、减量化处理，促进城市环境卫生水平高质量发展。新建中转站及环卫作业管理用房、环卫作业车辆停车场，总建筑面积约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7600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平方米。收集转运沙溪镇区域生活垃圾，转运规模为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400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吨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天。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竣工验收投产。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城管局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城发集团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沙溪镇</w:t>
            </w:r>
          </w:p>
        </w:tc>
      </w:tr>
      <w:tr w:rsidR="00582346">
        <w:trPr>
          <w:trHeight w:val="1895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公共服务和配套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太仓华润万象汇项目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为满足市民对于高品质、多元化消费的需求，从购物、休闲到娱乐，全方位提升消费者的生活品质，并进一步提升娄江新城的商业氛围和吸引力，实施该项目。该项目位于上海东路南、沈海高速东，占地面积约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116.7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24.5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万平方米，将打造太仓商业领域的一大亮点。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出正负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，进入主体阶段。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商务局</w:t>
            </w:r>
          </w:p>
        </w:tc>
      </w:tr>
      <w:tr w:rsidR="00582346">
        <w:trPr>
          <w:trHeight w:val="1935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保供水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润民心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自来水城区增压站扩建项目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为缓解高峰时段内城区自来水供应压力不足的现状，计划扩建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万立方米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天的供水规模，本工程实施后城区增压站供水能力达到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万立方米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天。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完成土建工程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30%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盛海峰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  <w:lang w:bidi="ar"/>
              </w:rPr>
              <w:t>水务局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水务集团</w:t>
            </w:r>
          </w:p>
        </w:tc>
      </w:tr>
      <w:tr w:rsidR="00582346">
        <w:trPr>
          <w:trHeight w:val="2261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人到太仓就有房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科教新城人才生活配套项目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人到太仓就有房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为目标，加快构建系统完备、形式多样的人才乐居保障体系，塑造乐居乐业、近悦远来的人才发展生态。新建人才生活配套项目，占地约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亩，总建筑面积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4.28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万平方米，其中人才公寓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425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套。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菜场完工、公寓主体结构至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层。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城发集团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</w:tr>
      <w:tr w:rsidR="00582346">
        <w:trPr>
          <w:trHeight w:val="20"/>
        </w:trPr>
        <w:tc>
          <w:tcPr>
            <w:tcW w:w="53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lastRenderedPageBreak/>
              <w:t>序号</w:t>
            </w:r>
          </w:p>
        </w:tc>
        <w:tc>
          <w:tcPr>
            <w:tcW w:w="748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分类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spacing w:line="30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项目名称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主要建设内容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2025</w:t>
            </w:r>
            <w:r>
              <w:rPr>
                <w:rFonts w:ascii="Times New Roman" w:eastAsia="黑体" w:hAnsi="Times New Roman" w:cs="Times New Roman"/>
                <w:sz w:val="24"/>
              </w:rPr>
              <w:t>年工作任务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负责人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主要责</w:t>
            </w:r>
          </w:p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任单位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相关单位</w:t>
            </w:r>
          </w:p>
        </w:tc>
      </w:tr>
      <w:tr w:rsidR="00582346">
        <w:trPr>
          <w:trHeight w:val="2399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748" w:type="dxa"/>
            <w:vMerge w:val="restart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公共安全</w:t>
            </w: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低空慧眼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无人机助力城市治理项目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为加速无人机与城市治理场景的融合创新应用，提升我市城市治理水平，计划建设无人机助力城市治理项目。计划在港区、高新区建设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套全自动无人机机场，依托无人机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AI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视频算法应用，聚焦屋顶违建、消防火灾、施工安全、环境保护、道路拥堵等方面开展综合巡飞，助力城市治理领域突发事件的高效处置。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启动建设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个全自动无人机机场，搭建管控平台、对接部门事件处置流程。探索屋顶违建、消防火灾、施工安全、道路拥堵等重点场景应用。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磊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数据局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综指中心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港区</w:t>
            </w:r>
          </w:p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高新区</w:t>
            </w:r>
          </w:p>
        </w:tc>
      </w:tr>
      <w:tr w:rsidR="00582346">
        <w:trPr>
          <w:trHeight w:val="1947"/>
        </w:trPr>
        <w:tc>
          <w:tcPr>
            <w:tcW w:w="532" w:type="dxa"/>
            <w:vAlign w:val="center"/>
          </w:tcPr>
          <w:p w:rsidR="00582346" w:rsidRDefault="00DF7CC7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748" w:type="dxa"/>
            <w:vMerge/>
            <w:vAlign w:val="center"/>
          </w:tcPr>
          <w:p w:rsidR="00582346" w:rsidRDefault="00582346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582346" w:rsidRDefault="00DF7CC7">
            <w:pPr>
              <w:widowControl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强基础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惠民生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太仓城镇燃气品质提升工程</w:t>
            </w:r>
          </w:p>
        </w:tc>
        <w:tc>
          <w:tcPr>
            <w:tcW w:w="6106" w:type="dxa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为筑牢城市燃气安全防护网，守护万家灯火的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烟火气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，提升老百姓使用燃气的幸福感和满意度，实施该项目。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新建市政燃气管道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公里，改造市政燃气管道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7.5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公里。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老小区天然气接入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个，老小区天然气改造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个。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开展高精准车载激光天然气泄漏检测。</w:t>
            </w:r>
          </w:p>
        </w:tc>
        <w:tc>
          <w:tcPr>
            <w:tcW w:w="2611" w:type="dxa"/>
            <w:gridSpan w:val="2"/>
            <w:vAlign w:val="center"/>
          </w:tcPr>
          <w:p w:rsidR="00582346" w:rsidRDefault="00DF7CC7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完成。</w:t>
            </w:r>
          </w:p>
        </w:tc>
        <w:tc>
          <w:tcPr>
            <w:tcW w:w="1213" w:type="dxa"/>
            <w:vAlign w:val="center"/>
          </w:tcPr>
          <w:p w:rsidR="00582346" w:rsidRDefault="00DF7CC7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童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刚</w:t>
            </w:r>
          </w:p>
        </w:tc>
        <w:tc>
          <w:tcPr>
            <w:tcW w:w="1311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住建局</w:t>
            </w:r>
          </w:p>
        </w:tc>
        <w:tc>
          <w:tcPr>
            <w:tcW w:w="1762" w:type="dxa"/>
            <w:vAlign w:val="center"/>
          </w:tcPr>
          <w:p w:rsidR="00582346" w:rsidRDefault="00DF7CC7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各区镇</w:t>
            </w:r>
          </w:p>
        </w:tc>
      </w:tr>
    </w:tbl>
    <w:p w:rsidR="00582346" w:rsidRDefault="00582346">
      <w:pPr>
        <w:pStyle w:val="a3"/>
        <w:jc w:val="both"/>
        <w:rPr>
          <w:rFonts w:hint="default"/>
        </w:rPr>
      </w:pPr>
    </w:p>
    <w:p w:rsidR="00582346" w:rsidRDefault="00582346"/>
    <w:p w:rsidR="00582346" w:rsidRDefault="00582346">
      <w:pPr>
        <w:rPr>
          <w:rFonts w:ascii="Times New Roman" w:hAnsi="Times New Roman" w:cs="Times New Roman"/>
        </w:rPr>
      </w:pPr>
    </w:p>
    <w:p w:rsidR="00582346" w:rsidRDefault="00582346"/>
    <w:sectPr w:rsidR="00582346">
      <w:pgSz w:w="16838" w:h="11906" w:orient="landscape"/>
      <w:pgMar w:top="1531" w:right="1814" w:bottom="1531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CC7" w:rsidRDefault="00DF7CC7">
      <w:r>
        <w:separator/>
      </w:r>
    </w:p>
  </w:endnote>
  <w:endnote w:type="continuationSeparator" w:id="0">
    <w:p w:rsidR="00DF7CC7" w:rsidRDefault="00DF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9976AB-CE08-47EB-8461-B62F305FE351}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002A348-9A72-467D-9BC9-D282AA8DAA93}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9D3980A0-1A9B-4003-9E25-A45D9AA1469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346" w:rsidRDefault="00DF7C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2346" w:rsidRDefault="00DF7CC7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C297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82346" w:rsidRDefault="00DF7CC7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3C2975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CC7" w:rsidRDefault="00DF7CC7">
      <w:r>
        <w:separator/>
      </w:r>
    </w:p>
  </w:footnote>
  <w:footnote w:type="continuationSeparator" w:id="0">
    <w:p w:rsidR="00DF7CC7" w:rsidRDefault="00DF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B2197"/>
    <w:rsid w:val="003C2975"/>
    <w:rsid w:val="00582346"/>
    <w:rsid w:val="00DF7CC7"/>
    <w:rsid w:val="0B8D2240"/>
    <w:rsid w:val="10321F04"/>
    <w:rsid w:val="11391D7A"/>
    <w:rsid w:val="1AB4226F"/>
    <w:rsid w:val="23085075"/>
    <w:rsid w:val="2E136550"/>
    <w:rsid w:val="3D115512"/>
    <w:rsid w:val="499F2888"/>
    <w:rsid w:val="510B2197"/>
    <w:rsid w:val="511D0F3D"/>
    <w:rsid w:val="53592563"/>
    <w:rsid w:val="677F3D39"/>
    <w:rsid w:val="679A69EC"/>
    <w:rsid w:val="708F3A6D"/>
    <w:rsid w:val="7873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8C3F1A9C-7A81-47B1-BA37-17735827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pPr>
      <w:jc w:val="center"/>
    </w:pPr>
    <w:rPr>
      <w:rFonts w:hint="eastAsia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a5">
    <w:name w:val="密级"/>
    <w:basedOn w:val="a"/>
    <w:autoRedefine/>
    <w:qFormat/>
    <w:pPr>
      <w:adjustRightInd w:val="0"/>
      <w:spacing w:line="425" w:lineRule="atLeast"/>
      <w:jc w:val="right"/>
    </w:pPr>
    <w:rPr>
      <w:rFonts w:ascii="黑体" w:eastAsia="黑体"/>
      <w:sz w:val="30"/>
    </w:rPr>
  </w:style>
  <w:style w:type="paragraph" w:customStyle="1" w:styleId="a6">
    <w:name w:val="紧急程度"/>
    <w:basedOn w:val="a5"/>
    <w:autoRedefine/>
    <w:qFormat/>
    <w:pPr>
      <w:spacing w:line="397" w:lineRule="atLeast"/>
    </w:pPr>
    <w:rPr>
      <w:rFonts w:ascii="汉鼎简黑体" w:eastAsia="汉鼎简黑体" w:hAnsi="汉鼎简黑体"/>
      <w:sz w:val="32"/>
    </w:rPr>
  </w:style>
  <w:style w:type="paragraph" w:customStyle="1" w:styleId="a7">
    <w:name w:val="文头"/>
    <w:basedOn w:val="a"/>
    <w:autoRedefine/>
    <w:qFormat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1">
    <w:name w:val="标题1"/>
    <w:basedOn w:val="a"/>
    <w:next w:val="a"/>
    <w:autoRedefine/>
    <w:qFormat/>
    <w:pPr>
      <w:tabs>
        <w:tab w:val="left" w:pos="9193"/>
        <w:tab w:val="left" w:pos="9827"/>
      </w:tabs>
      <w:spacing w:line="700" w:lineRule="atLeast"/>
      <w:jc w:val="center"/>
    </w:pPr>
    <w:rPr>
      <w:rFonts w:ascii="汉鼎简大宋" w:eastAsia="汉鼎简大宋"/>
      <w:sz w:val="44"/>
    </w:rPr>
  </w:style>
  <w:style w:type="paragraph" w:customStyle="1" w:styleId="a8">
    <w:name w:val="附件栏"/>
    <w:basedOn w:val="a"/>
    <w:autoRedefine/>
    <w:qFormat/>
  </w:style>
  <w:style w:type="character" w:customStyle="1" w:styleId="font51">
    <w:name w:val="font51"/>
    <w:basedOn w:val="a0"/>
    <w:autoRedefine/>
    <w:qFormat/>
    <w:rPr>
      <w:rFonts w:ascii="黑体" w:eastAsia="黑体" w:hAnsi="宋体" w:cs="黑体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1746</Words>
  <Characters>9955</Characters>
  <Application>Microsoft Office Word</Application>
  <DocSecurity>0</DocSecurity>
  <Lines>82</Lines>
  <Paragraphs>23</Paragraphs>
  <ScaleCrop>false</ScaleCrop>
  <Company>Microsoft</Company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魏天成</dc:creator>
  <cp:lastModifiedBy>政府办收发员</cp:lastModifiedBy>
  <cp:revision>2</cp:revision>
  <dcterms:created xsi:type="dcterms:W3CDTF">2025-01-09T06:49:00Z</dcterms:created>
  <dcterms:modified xsi:type="dcterms:W3CDTF">2025-01-22T05:29:00Z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BF168E78445E4C5A9D44FE765063849B_11</vt:lpwstr>
  </property>
  <property fmtid="{D5CDD505-2E9C-101B-9397-08002B2CF9AE}" pid="4" name="KSOTemplateDocerSaveRecord">
    <vt:lpwstr>eyJoZGlkIjoiZGJjYjQ1NDJlMjZlYjM3ZDM3OGYxOTJiZjUyOGE1ZmIiLCJ1c2VySWQiOiI2MDQ0NTE1ODgifQ==</vt:lpwstr>
  </property>
</Properties>
</file>