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6FE" w:rsidRDefault="00C556FE">
      <w:pPr>
        <w:pStyle w:val="ac"/>
        <w:snapToGrid w:val="0"/>
        <w:spacing w:line="580" w:lineRule="exact"/>
        <w:rPr>
          <w:rFonts w:ascii="Times New Roman" w:eastAsia="汉鼎简黑体"/>
          <w:sz w:val="32"/>
        </w:rPr>
      </w:pPr>
    </w:p>
    <w:p w:rsidR="00C556FE" w:rsidRDefault="00F43D23">
      <w:pPr>
        <w:pStyle w:val="ab"/>
        <w:snapToGrid w:val="0"/>
        <w:spacing w:line="580" w:lineRule="exact"/>
        <w:rPr>
          <w:rFonts w:ascii="Times New Roman" w:hAnsi="Times New Roman"/>
        </w:rPr>
      </w:pPr>
      <w:r>
        <w:rPr>
          <w:rFonts w:ascii="Times New Roman" w:hAnsi="Times New Roman"/>
          <w:noProof/>
          <w:snapToGrid/>
        </w:rPr>
        <w:drawing>
          <wp:anchor distT="0" distB="0" distL="114300" distR="114300" simplePos="0" relativeHeight="251660288" behindDoc="1" locked="0" layoutInCell="1" allowOverlap="1">
            <wp:simplePos x="0" y="0"/>
            <wp:positionH relativeFrom="column">
              <wp:posOffset>-64135</wp:posOffset>
            </wp:positionH>
            <wp:positionV relativeFrom="paragraph">
              <wp:posOffset>351155</wp:posOffset>
            </wp:positionV>
            <wp:extent cx="5717540" cy="2102485"/>
            <wp:effectExtent l="19050" t="0" r="0" b="0"/>
            <wp:wrapNone/>
            <wp:docPr id="4" name="图片 8"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未标题-1"/>
                    <pic:cNvPicPr>
                      <a:picLocks noChangeAspect="1"/>
                    </pic:cNvPicPr>
                  </pic:nvPicPr>
                  <pic:blipFill>
                    <a:blip r:embed="rId7"/>
                    <a:stretch>
                      <a:fillRect/>
                    </a:stretch>
                  </pic:blipFill>
                  <pic:spPr>
                    <a:xfrm>
                      <a:off x="0" y="0"/>
                      <a:ext cx="5718175" cy="2102986"/>
                    </a:xfrm>
                    <a:prstGeom prst="rect">
                      <a:avLst/>
                    </a:prstGeom>
                    <a:noFill/>
                    <a:ln>
                      <a:noFill/>
                    </a:ln>
                  </pic:spPr>
                </pic:pic>
              </a:graphicData>
            </a:graphic>
          </wp:anchor>
        </w:drawing>
      </w:r>
    </w:p>
    <w:p w:rsidR="00C556FE" w:rsidRDefault="00C556FE">
      <w:pPr>
        <w:pStyle w:val="af2"/>
        <w:spacing w:after="0" w:line="580" w:lineRule="exact"/>
        <w:ind w:left="0" w:right="0" w:firstLine="0"/>
        <w:rPr>
          <w:rFonts w:ascii="Times New Roman" w:eastAsia="方正大标宋简体"/>
          <w:b w:val="0"/>
          <w:w w:val="66"/>
          <w:szCs w:val="140"/>
        </w:rPr>
      </w:pPr>
    </w:p>
    <w:p w:rsidR="00C556FE" w:rsidRDefault="00C556FE">
      <w:pPr>
        <w:pStyle w:val="af2"/>
        <w:spacing w:after="0" w:line="580" w:lineRule="exact"/>
        <w:ind w:left="0" w:right="0" w:firstLine="0"/>
        <w:rPr>
          <w:rFonts w:ascii="Times New Roman" w:eastAsia="方正大标宋简体"/>
          <w:b w:val="0"/>
          <w:w w:val="66"/>
          <w:szCs w:val="140"/>
        </w:rPr>
      </w:pPr>
    </w:p>
    <w:p w:rsidR="00C556FE" w:rsidRDefault="00C556FE">
      <w:pPr>
        <w:tabs>
          <w:tab w:val="left" w:pos="8364"/>
        </w:tabs>
        <w:spacing w:line="580" w:lineRule="exact"/>
        <w:ind w:firstLine="0"/>
        <w:jc w:val="center"/>
        <w:rPr>
          <w:rFonts w:ascii="Times New Roman" w:eastAsia="仿宋_GB2312"/>
        </w:rPr>
      </w:pPr>
    </w:p>
    <w:p w:rsidR="00C556FE" w:rsidRDefault="00C556FE">
      <w:pPr>
        <w:tabs>
          <w:tab w:val="left" w:pos="8364"/>
        </w:tabs>
        <w:spacing w:line="580" w:lineRule="exact"/>
        <w:ind w:firstLine="0"/>
        <w:jc w:val="center"/>
        <w:rPr>
          <w:rFonts w:ascii="Times New Roman" w:eastAsia="仿宋_GB2312"/>
        </w:rPr>
      </w:pPr>
    </w:p>
    <w:p w:rsidR="00C556FE" w:rsidRDefault="00F43D23">
      <w:pPr>
        <w:tabs>
          <w:tab w:val="left" w:pos="8364"/>
        </w:tabs>
        <w:spacing w:line="580" w:lineRule="exact"/>
        <w:ind w:firstLine="0"/>
        <w:jc w:val="center"/>
        <w:rPr>
          <w:rFonts w:ascii="Times New Roman" w:eastAsia="仿宋_GB2312"/>
        </w:rPr>
      </w:pPr>
      <w:r>
        <w:rPr>
          <w:rFonts w:ascii="Times New Roman" w:eastAsia="仿宋_GB2312"/>
        </w:rPr>
        <w:t>太政发〔</w:t>
      </w:r>
      <w:r>
        <w:rPr>
          <w:rFonts w:ascii="Times New Roman" w:eastAsia="仿宋_GB2312"/>
        </w:rPr>
        <w:t>2021</w:t>
      </w:r>
      <w:r>
        <w:rPr>
          <w:rFonts w:ascii="Times New Roman" w:eastAsia="仿宋_GB2312"/>
        </w:rPr>
        <w:t>〕</w:t>
      </w:r>
      <w:r>
        <w:rPr>
          <w:rFonts w:ascii="Times New Roman" w:eastAsia="仿宋_GB2312" w:hint="eastAsia"/>
        </w:rPr>
        <w:t>28</w:t>
      </w:r>
      <w:r>
        <w:rPr>
          <w:rFonts w:ascii="Times New Roman" w:eastAsia="仿宋_GB2312"/>
        </w:rPr>
        <w:t>号</w:t>
      </w:r>
    </w:p>
    <w:p w:rsidR="00C556FE" w:rsidRDefault="00E50160">
      <w:pPr>
        <w:pStyle w:val="ae"/>
        <w:snapToGrid w:val="0"/>
        <w:spacing w:after="0" w:line="580" w:lineRule="exact"/>
        <w:ind w:right="0"/>
        <w:jc w:val="both"/>
        <w:rPr>
          <w:rFonts w:ascii="Times New Roman"/>
        </w:rPr>
      </w:pPr>
      <w:r>
        <w:rPr>
          <w:rFonts w:ascii="Times New Roman"/>
          <w:snapToGrid/>
        </w:rPr>
        <w:pict>
          <v:line id="_x0000_s1026" style="position:absolute;left:0;text-align:left;z-index:251659264;visibility:hidden;mso-wrap-distance-top:0;mso-wrap-distance-bottom:0;mso-position-vertical-relative:margin;mso-width-relative:page;mso-height-relative:page" from="0,212.05pt" to="442.2pt,212.05pt" o:gfxdata="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90v8W1gAAAAgBAAAPAAAAAAAAAAEAIAAA&#10;ACIAAABkcnMvZG93bnJldi54bWxQSwECFAAUAAAACACHTuJAkvYHkNUBAACZAwAADgAAAAAAAAAB&#10;ACAAAAAlAQAAZHJzL2Uyb0RvYy54bWxQSwUGAAAAAAYABgBZAQAAbAUAAAAA&#10;" o:allowincell="f" strokecolor="red" strokeweight="3pt">
            <w10:wrap type="topAndBottom" anchory="margin"/>
          </v:line>
        </w:pict>
      </w:r>
    </w:p>
    <w:p w:rsidR="00AB2287" w:rsidRDefault="00F43D23" w:rsidP="008777C8">
      <w:pPr>
        <w:pStyle w:val="10"/>
        <w:tabs>
          <w:tab w:val="left" w:pos="5040"/>
        </w:tabs>
        <w:spacing w:line="520" w:lineRule="exact"/>
        <w:jc w:val="left"/>
        <w:rPr>
          <w:rFonts w:ascii="Times New Roman" w:eastAsia="方正大标宋简体"/>
        </w:rPr>
      </w:pPr>
      <w:r>
        <w:rPr>
          <w:rFonts w:ascii="Times New Roman" w:eastAsia="方正大标宋简体"/>
        </w:rPr>
        <w:tab/>
      </w:r>
    </w:p>
    <w:p w:rsidR="00AB2287" w:rsidRDefault="00F43D23" w:rsidP="008777C8">
      <w:pPr>
        <w:pStyle w:val="10"/>
        <w:spacing w:line="520" w:lineRule="exact"/>
        <w:rPr>
          <w:rFonts w:ascii="Times New Roman" w:eastAsia="方正小标宋简体"/>
        </w:rPr>
      </w:pPr>
      <w:bookmarkStart w:id="0" w:name="_GoBack"/>
      <w:r>
        <w:rPr>
          <w:rFonts w:ascii="Times New Roman" w:eastAsia="方正小标宋简体"/>
        </w:rPr>
        <w:t>市政府关于印发《太仓市产业引导基金</w:t>
      </w:r>
    </w:p>
    <w:p w:rsidR="00AB2287" w:rsidRDefault="00F43D23" w:rsidP="008777C8">
      <w:pPr>
        <w:pStyle w:val="10"/>
        <w:spacing w:line="520" w:lineRule="exact"/>
        <w:rPr>
          <w:rFonts w:ascii="Times New Roman" w:eastAsia="方正小标宋简体"/>
        </w:rPr>
      </w:pPr>
      <w:r>
        <w:rPr>
          <w:rFonts w:ascii="Times New Roman" w:eastAsia="方正小标宋简体"/>
        </w:rPr>
        <w:t>管理办法》的通知</w:t>
      </w:r>
    </w:p>
    <w:bookmarkEnd w:id="0"/>
    <w:p w:rsidR="00AB2287" w:rsidRDefault="00AB2287" w:rsidP="008777C8">
      <w:pPr>
        <w:spacing w:line="520" w:lineRule="exact"/>
        <w:ind w:firstLine="0"/>
        <w:rPr>
          <w:rFonts w:ascii="Times New Roman"/>
          <w:sz w:val="44"/>
        </w:rPr>
      </w:pPr>
    </w:p>
    <w:p w:rsidR="00AB2287" w:rsidRDefault="00F43D23" w:rsidP="008777C8">
      <w:pPr>
        <w:spacing w:line="520" w:lineRule="exact"/>
        <w:ind w:firstLine="0"/>
        <w:rPr>
          <w:rFonts w:ascii="Times New Roman" w:eastAsia="仿宋_GB2312"/>
        </w:rPr>
      </w:pPr>
      <w:r>
        <w:rPr>
          <w:rFonts w:ascii="Times New Roman" w:eastAsia="仿宋_GB2312"/>
        </w:rPr>
        <w:t>各镇人民政府，太仓港经济技术开发区、太仓高新区、旅游度假区管委会，科教新城管委会，娄东街道、陆渡街道办事处，市各委办局，各直属单位，健雄学院：</w:t>
      </w:r>
    </w:p>
    <w:p w:rsidR="00AB2287" w:rsidRDefault="00F43D23" w:rsidP="008777C8">
      <w:pPr>
        <w:pStyle w:val="ad"/>
        <w:tabs>
          <w:tab w:val="left" w:pos="1588"/>
        </w:tabs>
        <w:spacing w:line="520" w:lineRule="exact"/>
        <w:ind w:firstLine="0"/>
        <w:rPr>
          <w:rFonts w:ascii="Times New Roman" w:eastAsia="仿宋_GB2312"/>
        </w:rPr>
      </w:pPr>
      <w:bookmarkStart w:id="1" w:name="zhengwen"/>
      <w:bookmarkEnd w:id="1"/>
      <w:r>
        <w:rPr>
          <w:rFonts w:ascii="Times New Roman" w:eastAsia="仿宋_GB2312" w:hint="eastAsia"/>
        </w:rPr>
        <w:t xml:space="preserve">    </w:t>
      </w:r>
      <w:r>
        <w:rPr>
          <w:rFonts w:ascii="Times New Roman" w:eastAsia="仿宋_GB2312"/>
        </w:rPr>
        <w:t>《太仓市产业引导基金管理办法》已经市政府第</w:t>
      </w:r>
      <w:r>
        <w:rPr>
          <w:rFonts w:ascii="Times New Roman" w:eastAsia="仿宋_GB2312"/>
        </w:rPr>
        <w:t>57</w:t>
      </w:r>
      <w:r>
        <w:rPr>
          <w:rFonts w:ascii="Times New Roman" w:eastAsia="仿宋_GB2312"/>
        </w:rPr>
        <w:t>次常务会议讨论通过，现印发给你们，请认真贯彻落实。</w:t>
      </w:r>
    </w:p>
    <w:p w:rsidR="00AB2287" w:rsidRDefault="00AB2287" w:rsidP="008777C8">
      <w:pPr>
        <w:pStyle w:val="ad"/>
        <w:tabs>
          <w:tab w:val="left" w:pos="1588"/>
        </w:tabs>
        <w:spacing w:line="520" w:lineRule="exact"/>
        <w:ind w:firstLine="0"/>
        <w:rPr>
          <w:rFonts w:ascii="Times New Roman" w:eastAsia="仿宋_GB2312"/>
        </w:rPr>
      </w:pPr>
    </w:p>
    <w:p w:rsidR="00AB2287" w:rsidRDefault="00AB2287" w:rsidP="008777C8">
      <w:pPr>
        <w:pStyle w:val="ad"/>
        <w:tabs>
          <w:tab w:val="left" w:pos="1588"/>
        </w:tabs>
        <w:spacing w:line="520" w:lineRule="exact"/>
        <w:ind w:firstLine="0"/>
        <w:rPr>
          <w:rFonts w:ascii="Times New Roman" w:eastAsia="仿宋_GB2312"/>
        </w:rPr>
      </w:pPr>
    </w:p>
    <w:p w:rsidR="00AB2287" w:rsidRDefault="00F43D23" w:rsidP="008777C8">
      <w:pPr>
        <w:pStyle w:val="ad"/>
        <w:tabs>
          <w:tab w:val="left" w:pos="1588"/>
        </w:tabs>
        <w:spacing w:line="520" w:lineRule="exact"/>
        <w:ind w:firstLine="0"/>
        <w:jc w:val="left"/>
        <w:rPr>
          <w:rFonts w:ascii="Times New Roman" w:eastAsia="仿宋_GB2312"/>
        </w:rPr>
      </w:pPr>
      <w:r>
        <w:rPr>
          <w:rFonts w:ascii="Times New Roman" w:eastAsia="仿宋_GB2312"/>
        </w:rPr>
        <w:t xml:space="preserve">                            </w:t>
      </w:r>
      <w:r w:rsidR="00465C4F">
        <w:rPr>
          <w:rFonts w:ascii="Times New Roman" w:eastAsia="仿宋_GB2312" w:hint="eastAsia"/>
        </w:rPr>
        <w:t xml:space="preserve">  </w:t>
      </w:r>
      <w:r>
        <w:rPr>
          <w:rFonts w:ascii="Times New Roman" w:eastAsia="仿宋_GB2312"/>
        </w:rPr>
        <w:t xml:space="preserve">   </w:t>
      </w:r>
      <w:r>
        <w:rPr>
          <w:rFonts w:ascii="Times New Roman" w:eastAsia="仿宋_GB2312"/>
        </w:rPr>
        <w:t>太仓市人民政府</w:t>
      </w:r>
    </w:p>
    <w:p w:rsidR="00AB2287" w:rsidRDefault="00465C4F" w:rsidP="008777C8">
      <w:pPr>
        <w:pStyle w:val="ad"/>
        <w:tabs>
          <w:tab w:val="left" w:pos="1588"/>
        </w:tabs>
        <w:spacing w:line="520" w:lineRule="exact"/>
        <w:ind w:firstLineChars="1617" w:firstLine="5094"/>
        <w:jc w:val="left"/>
        <w:rPr>
          <w:rFonts w:ascii="Times New Roman" w:eastAsia="仿宋_GB2312"/>
        </w:rPr>
      </w:pPr>
      <w:r>
        <w:rPr>
          <w:rFonts w:ascii="Times New Roman" w:eastAsia="仿宋_GB2312" w:hint="eastAsia"/>
        </w:rPr>
        <w:t xml:space="preserve">  </w:t>
      </w:r>
      <w:r w:rsidR="00F43D23">
        <w:rPr>
          <w:rFonts w:ascii="Times New Roman" w:eastAsia="仿宋_GB2312"/>
        </w:rPr>
        <w:t>2021</w:t>
      </w:r>
      <w:r w:rsidR="00F43D23">
        <w:rPr>
          <w:rFonts w:ascii="Times New Roman" w:eastAsia="仿宋_GB2312"/>
        </w:rPr>
        <w:t>年</w:t>
      </w:r>
      <w:r w:rsidR="00F43D23">
        <w:rPr>
          <w:rFonts w:ascii="Times New Roman" w:eastAsia="仿宋_GB2312"/>
        </w:rPr>
        <w:t>5</w:t>
      </w:r>
      <w:r w:rsidR="00F43D23">
        <w:rPr>
          <w:rFonts w:ascii="Times New Roman" w:eastAsia="仿宋_GB2312"/>
        </w:rPr>
        <w:t>月</w:t>
      </w:r>
      <w:r w:rsidR="00F43D23">
        <w:rPr>
          <w:rFonts w:ascii="Times New Roman" w:eastAsia="仿宋_GB2312" w:hint="eastAsia"/>
        </w:rPr>
        <w:t>31</w:t>
      </w:r>
      <w:r w:rsidR="00F43D23">
        <w:rPr>
          <w:rFonts w:ascii="Times New Roman" w:eastAsia="仿宋_GB2312"/>
        </w:rPr>
        <w:t>日</w:t>
      </w:r>
    </w:p>
    <w:p w:rsidR="00AB2287" w:rsidRDefault="00F43D23" w:rsidP="008777C8">
      <w:pPr>
        <w:spacing w:line="520" w:lineRule="exact"/>
        <w:ind w:firstLine="0"/>
        <w:rPr>
          <w:rFonts w:ascii="Times New Roman" w:eastAsia="仿宋_GB2312"/>
        </w:rPr>
      </w:pPr>
      <w:r>
        <w:rPr>
          <w:rFonts w:ascii="Times New Roman" w:eastAsia="仿宋_GB2312" w:hint="eastAsia"/>
        </w:rPr>
        <w:t xml:space="preserve">    </w:t>
      </w:r>
      <w:r>
        <w:rPr>
          <w:rFonts w:ascii="Times New Roman" w:eastAsia="仿宋_GB2312"/>
        </w:rPr>
        <w:t>（此件公开发布）</w:t>
      </w:r>
    </w:p>
    <w:p w:rsidR="008777C8" w:rsidRDefault="008777C8" w:rsidP="008777C8">
      <w:pPr>
        <w:pStyle w:val="a0"/>
      </w:pPr>
    </w:p>
    <w:p w:rsidR="008777C8" w:rsidRPr="008777C8" w:rsidRDefault="008777C8" w:rsidP="008777C8"/>
    <w:p w:rsidR="00AB2287" w:rsidRDefault="00AB2287" w:rsidP="008777C8">
      <w:pPr>
        <w:adjustRightInd w:val="0"/>
        <w:spacing w:line="520" w:lineRule="exact"/>
        <w:ind w:firstLine="0"/>
        <w:jc w:val="center"/>
        <w:rPr>
          <w:rFonts w:ascii="Times New Roman" w:eastAsia="方正小标宋简体"/>
          <w:bCs/>
          <w:sz w:val="44"/>
          <w:szCs w:val="44"/>
        </w:rPr>
      </w:pPr>
    </w:p>
    <w:p w:rsidR="00AB2287" w:rsidRDefault="00F43D23" w:rsidP="008777C8">
      <w:pPr>
        <w:adjustRightInd w:val="0"/>
        <w:spacing w:line="520" w:lineRule="exact"/>
        <w:ind w:firstLine="0"/>
        <w:jc w:val="center"/>
        <w:rPr>
          <w:rFonts w:ascii="Times New Roman" w:eastAsia="方正小标宋简体"/>
          <w:bCs/>
          <w:sz w:val="44"/>
          <w:szCs w:val="44"/>
        </w:rPr>
      </w:pPr>
      <w:r>
        <w:rPr>
          <w:rFonts w:ascii="Times New Roman" w:eastAsia="方正小标宋简体"/>
          <w:bCs/>
          <w:sz w:val="44"/>
          <w:szCs w:val="44"/>
        </w:rPr>
        <w:t>太仓市产业引导基金管理办法</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第一章</w:t>
      </w:r>
      <w:r>
        <w:rPr>
          <w:rFonts w:ascii="Times New Roman" w:eastAsia="黑体"/>
          <w:bCs/>
          <w:szCs w:val="32"/>
        </w:rPr>
        <w:t xml:space="preserve">  </w:t>
      </w:r>
      <w:r>
        <w:rPr>
          <w:rFonts w:ascii="Times New Roman" w:eastAsia="黑体"/>
          <w:bCs/>
          <w:szCs w:val="32"/>
        </w:rPr>
        <w:t>总则</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第一条</w:t>
      </w:r>
      <w:r>
        <w:rPr>
          <w:rFonts w:ascii="Times New Roman" w:eastAsia="仿宋_GB2312"/>
          <w:bCs/>
          <w:szCs w:val="32"/>
        </w:rPr>
        <w:t xml:space="preserve">  </w:t>
      </w:r>
      <w:r>
        <w:rPr>
          <w:rFonts w:ascii="Times New Roman" w:eastAsia="仿宋_GB2312"/>
          <w:bCs/>
          <w:szCs w:val="32"/>
        </w:rPr>
        <w:t>为贯彻落实市委市政府重大决策部署，创新财政支持经济发展方式，加快实现</w:t>
      </w:r>
      <w:r>
        <w:rPr>
          <w:rFonts w:ascii="Times New Roman" w:eastAsia="仿宋_GB2312"/>
          <w:bCs/>
          <w:szCs w:val="32"/>
        </w:rPr>
        <w:t>“11155”</w:t>
      </w:r>
      <w:r>
        <w:rPr>
          <w:rFonts w:ascii="Times New Roman" w:eastAsia="仿宋_GB2312"/>
          <w:bCs/>
          <w:szCs w:val="32"/>
        </w:rPr>
        <w:t>产业发展目标，设立太仓市产业引导基金（以下简称</w:t>
      </w:r>
      <w:r>
        <w:rPr>
          <w:rFonts w:ascii="Times New Roman" w:eastAsia="仿宋_GB2312"/>
          <w:bCs/>
          <w:szCs w:val="32"/>
        </w:rPr>
        <w:t>“</w:t>
      </w:r>
      <w:r>
        <w:rPr>
          <w:rFonts w:ascii="Times New Roman" w:eastAsia="仿宋_GB2312"/>
          <w:bCs/>
          <w:szCs w:val="32"/>
        </w:rPr>
        <w:t>引导基金</w:t>
      </w:r>
      <w:r>
        <w:rPr>
          <w:rFonts w:ascii="Times New Roman" w:eastAsia="仿宋_GB2312"/>
          <w:bCs/>
          <w:szCs w:val="32"/>
        </w:rPr>
        <w:t>”</w:t>
      </w:r>
      <w:r>
        <w:rPr>
          <w:rFonts w:ascii="Times New Roman" w:eastAsia="仿宋_GB2312"/>
          <w:bCs/>
          <w:szCs w:val="32"/>
        </w:rPr>
        <w:t>）。为规范基金运作管理，提高基金配置效率，根据国家、省有关基金管理规定，结合太仓实际，特制定本办法。</w:t>
      </w:r>
    </w:p>
    <w:p w:rsidR="00AB2287" w:rsidRDefault="00F43D23" w:rsidP="008777C8">
      <w:pPr>
        <w:spacing w:line="520" w:lineRule="exact"/>
        <w:ind w:firstLine="645"/>
        <w:rPr>
          <w:rFonts w:ascii="Times New Roman" w:eastAsia="仿宋_GB2312"/>
          <w:bCs/>
          <w:szCs w:val="32"/>
        </w:rPr>
      </w:pPr>
      <w:r>
        <w:rPr>
          <w:rFonts w:ascii="Times New Roman" w:eastAsia="黑体"/>
          <w:bCs/>
          <w:szCs w:val="32"/>
        </w:rPr>
        <w:t>第二条</w:t>
      </w:r>
      <w:r>
        <w:rPr>
          <w:rFonts w:ascii="Times New Roman" w:eastAsia="仿宋_GB2312"/>
          <w:bCs/>
          <w:szCs w:val="32"/>
        </w:rPr>
        <w:t xml:space="preserve">  </w:t>
      </w:r>
      <w:r>
        <w:rPr>
          <w:rFonts w:ascii="Times New Roman" w:eastAsia="仿宋_GB2312"/>
          <w:bCs/>
          <w:szCs w:val="32"/>
        </w:rPr>
        <w:t>本办法所称引导基金是指由市政府出资并按市场化方式运作的政策性基金，旨在创新财政投入方式，发挥财政资金倍数效应，引导社会资本进入产业投资、创业投资、创新投资领域，推动高端装备制造、新材料、生物医药等重点领域并形成集聚发展态势，同时培育和推动半导体、人工智能、航空、光电等新兴产业发展。</w:t>
      </w:r>
    </w:p>
    <w:p w:rsidR="00AB2287" w:rsidRDefault="00F43D23" w:rsidP="008777C8">
      <w:pPr>
        <w:spacing w:line="520" w:lineRule="exact"/>
        <w:ind w:firstLine="645"/>
        <w:rPr>
          <w:rFonts w:ascii="Times New Roman" w:eastAsia="仿宋_GB2312"/>
          <w:bCs/>
          <w:szCs w:val="32"/>
        </w:rPr>
      </w:pPr>
      <w:r>
        <w:rPr>
          <w:rFonts w:ascii="Times New Roman" w:eastAsia="黑体"/>
          <w:bCs/>
          <w:szCs w:val="32"/>
        </w:rPr>
        <w:t>第三条</w:t>
      </w:r>
      <w:r>
        <w:rPr>
          <w:rFonts w:ascii="Times New Roman" w:eastAsia="仿宋_GB2312"/>
          <w:bCs/>
          <w:szCs w:val="32"/>
        </w:rPr>
        <w:t xml:space="preserve">  </w:t>
      </w:r>
      <w:r>
        <w:rPr>
          <w:rFonts w:ascii="Times New Roman" w:eastAsia="仿宋_GB2312"/>
          <w:bCs/>
          <w:szCs w:val="32"/>
        </w:rPr>
        <w:t>基金运作管理原则为</w:t>
      </w:r>
      <w:r>
        <w:rPr>
          <w:rFonts w:ascii="Times New Roman" w:eastAsia="仿宋_GB2312"/>
          <w:bCs/>
          <w:szCs w:val="32"/>
        </w:rPr>
        <w:t>“</w:t>
      </w:r>
      <w:r>
        <w:rPr>
          <w:rFonts w:ascii="Times New Roman" w:eastAsia="仿宋_GB2312"/>
          <w:bCs/>
          <w:szCs w:val="32"/>
        </w:rPr>
        <w:t>政府引导、市场运作、科学决策、防范风险</w:t>
      </w:r>
      <w:r>
        <w:rPr>
          <w:rFonts w:ascii="Times New Roman" w:eastAsia="仿宋_GB2312"/>
          <w:bCs/>
          <w:szCs w:val="32"/>
        </w:rPr>
        <w:t>”</w:t>
      </w:r>
      <w:r>
        <w:rPr>
          <w:rFonts w:ascii="Times New Roman" w:eastAsia="仿宋_GB2312"/>
          <w:bCs/>
          <w:szCs w:val="32"/>
        </w:rPr>
        <w:t>。</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第二章</w:t>
      </w:r>
      <w:r>
        <w:rPr>
          <w:rFonts w:ascii="Times New Roman" w:eastAsia="黑体"/>
          <w:bCs/>
          <w:szCs w:val="32"/>
        </w:rPr>
        <w:t xml:space="preserve">  </w:t>
      </w:r>
      <w:r>
        <w:rPr>
          <w:rFonts w:ascii="Times New Roman" w:eastAsia="黑体"/>
          <w:bCs/>
          <w:szCs w:val="32"/>
        </w:rPr>
        <w:t>基金框架</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第四条</w:t>
      </w:r>
      <w:r>
        <w:rPr>
          <w:rFonts w:ascii="Times New Roman" w:eastAsia="仿宋_GB2312"/>
          <w:bCs/>
          <w:szCs w:val="32"/>
        </w:rPr>
        <w:t xml:space="preserve">  </w:t>
      </w:r>
      <w:r>
        <w:rPr>
          <w:rFonts w:ascii="Times New Roman" w:eastAsia="仿宋_GB2312"/>
          <w:bCs/>
          <w:szCs w:val="32"/>
        </w:rPr>
        <w:t>引导基金总规模</w:t>
      </w:r>
      <w:r>
        <w:rPr>
          <w:rFonts w:ascii="Times New Roman" w:eastAsia="仿宋_GB2312"/>
          <w:bCs/>
          <w:szCs w:val="32"/>
        </w:rPr>
        <w:t>50</w:t>
      </w:r>
      <w:r>
        <w:rPr>
          <w:rFonts w:ascii="Times New Roman" w:eastAsia="仿宋_GB2312"/>
          <w:bCs/>
          <w:szCs w:val="32"/>
        </w:rPr>
        <w:t>亿元，根据引导基金及产业发展需要逐步安排并逐步调整规模。资金来源为：市、区镇财政预算及市、区镇国资安排的资金，原产业基金收回的投资本金、收益及结余，上级政府配套资金，引导基金运行收益以及其他来源。</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lastRenderedPageBreak/>
        <w:t>第五条</w:t>
      </w:r>
      <w:r>
        <w:rPr>
          <w:rFonts w:ascii="Times New Roman" w:eastAsia="仿宋_GB2312"/>
          <w:bCs/>
          <w:szCs w:val="32"/>
        </w:rPr>
        <w:t xml:space="preserve">  </w:t>
      </w:r>
      <w:r>
        <w:rPr>
          <w:rFonts w:ascii="Times New Roman" w:eastAsia="仿宋_GB2312"/>
          <w:bCs/>
          <w:szCs w:val="32"/>
        </w:rPr>
        <w:t>引导基金设立采用有限合伙制组织形式，新设立</w:t>
      </w:r>
      <w:r>
        <w:rPr>
          <w:rFonts w:ascii="Times New Roman" w:eastAsia="仿宋_GB2312"/>
          <w:bCs/>
          <w:szCs w:val="32"/>
        </w:rPr>
        <w:t>“</w:t>
      </w:r>
      <w:r>
        <w:rPr>
          <w:rFonts w:ascii="Times New Roman" w:eastAsia="仿宋_GB2312"/>
          <w:bCs/>
          <w:szCs w:val="32"/>
        </w:rPr>
        <w:t>太仓市产业投资基金合伙企业（有限合伙）</w:t>
      </w:r>
      <w:r>
        <w:rPr>
          <w:rFonts w:ascii="Times New Roman" w:eastAsia="仿宋_GB2312"/>
          <w:bCs/>
          <w:szCs w:val="32"/>
        </w:rPr>
        <w:t>”</w:t>
      </w:r>
      <w:r>
        <w:rPr>
          <w:rFonts w:ascii="Times New Roman" w:eastAsia="仿宋_GB2312"/>
          <w:bCs/>
          <w:szCs w:val="32"/>
        </w:rPr>
        <w:t>，由政府直接出资或委托国企出资。</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第六条</w:t>
      </w:r>
      <w:r>
        <w:rPr>
          <w:rFonts w:ascii="Times New Roman" w:eastAsia="仿宋_GB2312"/>
          <w:bCs/>
          <w:szCs w:val="32"/>
        </w:rPr>
        <w:t xml:space="preserve">  </w:t>
      </w:r>
      <w:r>
        <w:rPr>
          <w:rFonts w:ascii="Times New Roman" w:eastAsia="仿宋_GB2312"/>
          <w:bCs/>
          <w:szCs w:val="32"/>
        </w:rPr>
        <w:t>引导基金由市资产集团与其他国资或民资基金管理公司合作组建的引导基金管理公司受托管理（以下简称</w:t>
      </w:r>
      <w:r>
        <w:rPr>
          <w:rFonts w:ascii="Times New Roman" w:eastAsia="仿宋_GB2312"/>
          <w:bCs/>
          <w:szCs w:val="32"/>
        </w:rPr>
        <w:t>“</w:t>
      </w:r>
      <w:r>
        <w:rPr>
          <w:rFonts w:ascii="Times New Roman" w:eastAsia="仿宋_GB2312"/>
          <w:bCs/>
          <w:szCs w:val="32"/>
        </w:rPr>
        <w:t>引导基金管理公司</w:t>
      </w:r>
      <w:r>
        <w:rPr>
          <w:rFonts w:ascii="Times New Roman" w:eastAsia="仿宋_GB2312"/>
          <w:bCs/>
          <w:szCs w:val="32"/>
        </w:rPr>
        <w:t>”</w:t>
      </w:r>
      <w:r>
        <w:rPr>
          <w:rFonts w:ascii="Times New Roman" w:eastAsia="仿宋_GB2312"/>
          <w:bCs/>
          <w:szCs w:val="32"/>
        </w:rPr>
        <w:t>）。引导基金管理公司组建方案报市政府常务会议审批通过后执行。引导基金年管理费不超过实缴资金的</w:t>
      </w:r>
      <w:r>
        <w:rPr>
          <w:rFonts w:ascii="Times New Roman" w:eastAsia="仿宋_GB2312"/>
          <w:bCs/>
          <w:szCs w:val="32"/>
        </w:rPr>
        <w:t>1%</w:t>
      </w:r>
      <w:r>
        <w:rPr>
          <w:rFonts w:ascii="Times New Roman" w:eastAsia="仿宋_GB2312"/>
          <w:bCs/>
          <w:szCs w:val="32"/>
        </w:rPr>
        <w:t>。</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第七条</w:t>
      </w:r>
      <w:r>
        <w:rPr>
          <w:rFonts w:ascii="Times New Roman" w:eastAsia="仿宋_GB2312"/>
          <w:bCs/>
          <w:szCs w:val="32"/>
        </w:rPr>
        <w:t xml:space="preserve">  </w:t>
      </w:r>
      <w:r>
        <w:rPr>
          <w:rFonts w:ascii="Times New Roman" w:eastAsia="仿宋_GB2312"/>
          <w:bCs/>
          <w:szCs w:val="32"/>
        </w:rPr>
        <w:t>引导基金采取合作子基金、专项子基金和直投项目等方式运作。</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（一）合作子基金。合作子基金由引导基金和社会资本共同发起设立，由合作子基金管理公司（</w:t>
      </w:r>
      <w:r>
        <w:rPr>
          <w:rFonts w:ascii="Times New Roman" w:eastAsia="仿宋_GB2312"/>
          <w:bCs/>
          <w:szCs w:val="32"/>
        </w:rPr>
        <w:t>GP</w:t>
      </w:r>
      <w:r>
        <w:rPr>
          <w:rFonts w:ascii="Times New Roman" w:eastAsia="仿宋_GB2312"/>
          <w:bCs/>
          <w:szCs w:val="32"/>
        </w:rPr>
        <w:t>）管理。争取中央资金、吸引省市政府、社会资本积极参与设立子基金。根据我市重点支持产业，可设立若干子基金；</w:t>
      </w:r>
    </w:p>
    <w:p w:rsidR="00AB2287" w:rsidRDefault="00F43D23" w:rsidP="008777C8">
      <w:pPr>
        <w:pStyle w:val="a0"/>
        <w:spacing w:line="520" w:lineRule="exact"/>
        <w:ind w:firstLineChars="200" w:firstLine="630"/>
        <w:rPr>
          <w:rFonts w:ascii="Times New Roman" w:eastAsia="仿宋_GB2312"/>
        </w:rPr>
      </w:pPr>
      <w:r>
        <w:rPr>
          <w:rFonts w:ascii="Times New Roman" w:eastAsia="仿宋_GB2312"/>
          <w:bCs/>
          <w:snapToGrid w:val="0"/>
          <w:sz w:val="32"/>
          <w:szCs w:val="32"/>
        </w:rPr>
        <w:t>（二）专项子基金。专项子基金主要按照市委市政府的重大决策部署，落实国家、省、苏州市重大发展战略及规划，针对关乎全市高质量发展的关键节点或重点领域发起设立，由专项子基金管理公司（</w:t>
      </w:r>
      <w:r>
        <w:rPr>
          <w:rFonts w:ascii="Times New Roman" w:eastAsia="仿宋_GB2312"/>
          <w:bCs/>
          <w:snapToGrid w:val="0"/>
          <w:sz w:val="32"/>
          <w:szCs w:val="32"/>
        </w:rPr>
        <w:t>GP</w:t>
      </w:r>
      <w:r>
        <w:rPr>
          <w:rFonts w:ascii="Times New Roman" w:eastAsia="仿宋_GB2312"/>
          <w:bCs/>
          <w:snapToGrid w:val="0"/>
          <w:sz w:val="32"/>
          <w:szCs w:val="32"/>
        </w:rPr>
        <w:t>）或引导基金管理公司管理。争取中央资金、吸引省市政府、社会资本积极参与设立子基金；</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（三）直投项目。直投项目主要用于本市重点招商项目及本市重点发展产业领域，由引导基金直接投资。</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第三章</w:t>
      </w:r>
      <w:r>
        <w:rPr>
          <w:rFonts w:ascii="Times New Roman" w:eastAsia="黑体"/>
          <w:bCs/>
          <w:szCs w:val="32"/>
        </w:rPr>
        <w:t xml:space="preserve">  </w:t>
      </w:r>
      <w:r>
        <w:rPr>
          <w:rFonts w:ascii="Times New Roman" w:eastAsia="黑体"/>
          <w:bCs/>
          <w:szCs w:val="32"/>
        </w:rPr>
        <w:t>管理框架及职责</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第八条</w:t>
      </w:r>
      <w:r>
        <w:rPr>
          <w:rFonts w:ascii="Times New Roman" w:eastAsia="仿宋_GB2312"/>
          <w:bCs/>
          <w:szCs w:val="32"/>
        </w:rPr>
        <w:t xml:space="preserve">  </w:t>
      </w:r>
      <w:r>
        <w:rPr>
          <w:rFonts w:ascii="Times New Roman" w:eastAsia="仿宋_GB2312"/>
          <w:bCs/>
          <w:szCs w:val="32"/>
        </w:rPr>
        <w:t>引导基金设立管理委员会，作为引导基金的管理决策机构。管理委员会由市政府分管领导任主任，各有关区镇、市</w:t>
      </w:r>
      <w:r>
        <w:rPr>
          <w:rFonts w:ascii="Times New Roman" w:eastAsia="仿宋_GB2312"/>
          <w:bCs/>
          <w:szCs w:val="32"/>
        </w:rPr>
        <w:lastRenderedPageBreak/>
        <w:t>各有关部门和单位领导为成员。基金管理委员会主要职责为：</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（一）审议基金发展规划、年度工作计划和工作总结；</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（二）审议批准基金考评办法等相关管理制度；</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（三）审议批准合作子基金实施方案等重大事项；</w:t>
      </w:r>
    </w:p>
    <w:p w:rsidR="00AB2287" w:rsidRDefault="00F43D23" w:rsidP="008777C8">
      <w:pPr>
        <w:spacing w:line="520" w:lineRule="exact"/>
        <w:ind w:firstLineChars="200" w:firstLine="630"/>
        <w:rPr>
          <w:rFonts w:ascii="Times New Roman"/>
        </w:rPr>
      </w:pPr>
      <w:r>
        <w:rPr>
          <w:rFonts w:ascii="Times New Roman" w:eastAsia="仿宋_GB2312"/>
          <w:bCs/>
          <w:szCs w:val="32"/>
        </w:rPr>
        <w:t>（四）审议批准专项子基金立项申请；</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（五）审议批准直投项目立项申请；</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（六）对引导基金管理绩效目标进行考核监督；</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（七）其他应当由基金管理委员会决策的事项。</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第九条</w:t>
      </w:r>
      <w:r>
        <w:rPr>
          <w:rFonts w:ascii="Times New Roman" w:eastAsia="仿宋_GB2312"/>
          <w:bCs/>
          <w:szCs w:val="32"/>
        </w:rPr>
        <w:t xml:space="preserve">  </w:t>
      </w:r>
      <w:r>
        <w:rPr>
          <w:rFonts w:ascii="Times New Roman" w:eastAsia="仿宋_GB2312"/>
          <w:bCs/>
          <w:szCs w:val="32"/>
        </w:rPr>
        <w:t>基金管理委员会下设办公室，办公室设在市金融监管局，负责基金管理委员会日常工作，办公室主任由市金融监管局主要负责人兼任。办公室的基本职责是：</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（一）起草基金发展规划、年度工作计划和工作总结，贯彻执行基金管理委员会确定事项；</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（二）起草引导基金管理办法以及相关管理制度；</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（三）建立管理委员会成员单位工作协调机制，提请召开基金管理委员会会议，拟定议事事项；</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（四）制订引导基金管理公司、合作子基金及其管理公司、专项子基金及其管理公司考评办法，对引导基金的投资进行绩效评价；</w:t>
      </w:r>
    </w:p>
    <w:p w:rsidR="00AB2287" w:rsidRDefault="00F43D23" w:rsidP="008777C8">
      <w:pPr>
        <w:spacing w:line="520" w:lineRule="exact"/>
        <w:ind w:firstLine="645"/>
        <w:rPr>
          <w:rFonts w:ascii="Times New Roman" w:eastAsia="仿宋_GB2312"/>
          <w:bCs/>
          <w:szCs w:val="32"/>
        </w:rPr>
      </w:pPr>
      <w:r>
        <w:rPr>
          <w:rFonts w:ascii="Times New Roman" w:eastAsia="仿宋_GB2312"/>
          <w:bCs/>
          <w:szCs w:val="32"/>
        </w:rPr>
        <w:t>（五）聘请律师事务所、会计师事务所等第三方机构出具专业报告，规范基金运营</w:t>
      </w:r>
      <w:r>
        <w:rPr>
          <w:rFonts w:ascii="Times New Roman" w:eastAsia="仿宋_GB2312"/>
          <w:bCs/>
          <w:szCs w:val="32"/>
        </w:rPr>
        <w:t>;</w:t>
      </w:r>
    </w:p>
    <w:p w:rsidR="00AB2287" w:rsidRDefault="00F43D23" w:rsidP="008777C8">
      <w:pPr>
        <w:spacing w:line="520" w:lineRule="exact"/>
        <w:ind w:firstLine="645"/>
        <w:rPr>
          <w:rFonts w:ascii="Times New Roman" w:eastAsia="仿宋_GB2312"/>
          <w:bCs/>
          <w:szCs w:val="32"/>
        </w:rPr>
      </w:pPr>
      <w:r>
        <w:rPr>
          <w:rFonts w:ascii="Times New Roman" w:eastAsia="仿宋_GB2312"/>
          <w:bCs/>
          <w:szCs w:val="32"/>
        </w:rPr>
        <w:t>（六）完成管理委员会交办的其他工作。</w:t>
      </w:r>
    </w:p>
    <w:p w:rsidR="00AB2287" w:rsidRDefault="00F43D23" w:rsidP="008777C8">
      <w:pPr>
        <w:spacing w:line="520" w:lineRule="exact"/>
        <w:ind w:firstLine="645"/>
        <w:rPr>
          <w:rFonts w:ascii="Times New Roman" w:eastAsia="仿宋_GB2312"/>
          <w:bCs/>
          <w:szCs w:val="32"/>
        </w:rPr>
      </w:pPr>
      <w:r>
        <w:rPr>
          <w:rFonts w:ascii="Times New Roman" w:eastAsia="黑体"/>
          <w:bCs/>
          <w:szCs w:val="32"/>
        </w:rPr>
        <w:t>第十条</w:t>
      </w:r>
      <w:r>
        <w:rPr>
          <w:rFonts w:ascii="Times New Roman" w:eastAsia="仿宋_GB2312"/>
          <w:bCs/>
          <w:szCs w:val="32"/>
        </w:rPr>
        <w:t xml:space="preserve">  </w:t>
      </w:r>
      <w:r>
        <w:rPr>
          <w:rFonts w:ascii="Times New Roman" w:eastAsia="仿宋_GB2312"/>
          <w:bCs/>
          <w:szCs w:val="32"/>
        </w:rPr>
        <w:t>引导基金管理公司负责基金运营管理。引导基金管理公司的主要职责是：</w:t>
      </w:r>
    </w:p>
    <w:p w:rsidR="00AB2287" w:rsidRDefault="00F43D23" w:rsidP="008777C8">
      <w:pPr>
        <w:spacing w:line="520" w:lineRule="exact"/>
        <w:ind w:firstLine="645"/>
        <w:rPr>
          <w:rFonts w:ascii="Times New Roman" w:eastAsia="仿宋_GB2312"/>
          <w:bCs/>
          <w:szCs w:val="32"/>
        </w:rPr>
      </w:pPr>
      <w:r>
        <w:rPr>
          <w:rFonts w:ascii="Times New Roman" w:eastAsia="仿宋_GB2312"/>
          <w:bCs/>
          <w:szCs w:val="32"/>
        </w:rPr>
        <w:t>（一）负责引导基金</w:t>
      </w:r>
      <w:r>
        <w:rPr>
          <w:rFonts w:ascii="Times New Roman" w:eastAsia="仿宋_GB2312"/>
          <w:bCs/>
          <w:szCs w:val="32"/>
        </w:rPr>
        <w:t>“</w:t>
      </w:r>
      <w:r>
        <w:rPr>
          <w:rFonts w:ascii="Times New Roman" w:eastAsia="仿宋_GB2312"/>
          <w:bCs/>
          <w:szCs w:val="32"/>
        </w:rPr>
        <w:t>投管退</w:t>
      </w:r>
      <w:r>
        <w:rPr>
          <w:rFonts w:ascii="Times New Roman" w:eastAsia="仿宋_GB2312"/>
          <w:bCs/>
          <w:szCs w:val="32"/>
        </w:rPr>
        <w:t>”</w:t>
      </w:r>
      <w:r>
        <w:rPr>
          <w:rFonts w:ascii="Times New Roman" w:eastAsia="仿宋_GB2312"/>
          <w:bCs/>
          <w:szCs w:val="32"/>
        </w:rPr>
        <w:t>工作，包括拟定合作子基金实施方案、遴选合作子基金管理公司，引导基金投后管理、退出等方面工作；</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（二）对合作子基金相关议案进行政策合规性审查；</w:t>
      </w:r>
    </w:p>
    <w:p w:rsidR="00AB2287" w:rsidRDefault="00F43D23" w:rsidP="008777C8">
      <w:pPr>
        <w:spacing w:line="520" w:lineRule="exact"/>
        <w:ind w:firstLine="645"/>
        <w:rPr>
          <w:rFonts w:ascii="Times New Roman" w:eastAsia="仿宋_GB2312"/>
          <w:bCs/>
          <w:szCs w:val="32"/>
        </w:rPr>
      </w:pPr>
      <w:r>
        <w:rPr>
          <w:rFonts w:ascii="Times New Roman" w:eastAsia="仿宋_GB2312"/>
          <w:bCs/>
          <w:szCs w:val="32"/>
        </w:rPr>
        <w:t>（三）对专项子基金和拟直接投资的项目开展尽职调查，编制投资方案；</w:t>
      </w:r>
    </w:p>
    <w:p w:rsidR="00AB2287" w:rsidRDefault="00F43D23" w:rsidP="008777C8">
      <w:pPr>
        <w:spacing w:line="520" w:lineRule="exact"/>
        <w:ind w:firstLine="645"/>
        <w:rPr>
          <w:rFonts w:ascii="Times New Roman"/>
        </w:rPr>
      </w:pPr>
      <w:r>
        <w:rPr>
          <w:rFonts w:ascii="Times New Roman" w:eastAsia="仿宋_GB2312"/>
          <w:bCs/>
          <w:szCs w:val="32"/>
        </w:rPr>
        <w:t>（四）定期向基金管理委员会及办公室报告引导基金运作情况及其他重大事项；</w:t>
      </w:r>
    </w:p>
    <w:p w:rsidR="00AB2287" w:rsidRDefault="00F43D23" w:rsidP="008777C8">
      <w:pPr>
        <w:spacing w:line="520" w:lineRule="exact"/>
        <w:ind w:firstLine="645"/>
        <w:rPr>
          <w:rFonts w:ascii="Times New Roman" w:eastAsia="仿宋_GB2312"/>
          <w:bCs/>
          <w:szCs w:val="32"/>
        </w:rPr>
      </w:pPr>
      <w:r>
        <w:rPr>
          <w:rFonts w:ascii="Times New Roman" w:eastAsia="仿宋_GB2312"/>
          <w:bCs/>
          <w:szCs w:val="32"/>
        </w:rPr>
        <w:t>（五）引导基金管理委员会交办的其他事项。</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第四章</w:t>
      </w:r>
      <w:r>
        <w:rPr>
          <w:rFonts w:ascii="Times New Roman" w:eastAsia="黑体"/>
          <w:bCs/>
          <w:szCs w:val="32"/>
        </w:rPr>
        <w:t xml:space="preserve"> </w:t>
      </w:r>
      <w:r>
        <w:rPr>
          <w:rFonts w:ascii="Times New Roman" w:eastAsia="黑体"/>
          <w:bCs/>
          <w:szCs w:val="32"/>
        </w:rPr>
        <w:t>合作子基金</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第十一条</w:t>
      </w:r>
      <w:r>
        <w:rPr>
          <w:rFonts w:ascii="Times New Roman" w:eastAsia="仿宋_GB2312"/>
          <w:bCs/>
          <w:szCs w:val="32"/>
        </w:rPr>
        <w:t xml:space="preserve">  </w:t>
      </w:r>
      <w:r>
        <w:rPr>
          <w:rFonts w:ascii="Times New Roman" w:eastAsia="仿宋_GB2312"/>
          <w:bCs/>
          <w:szCs w:val="32"/>
        </w:rPr>
        <w:t>合作子基金设立及遴选合作子基金管理公司程序：</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（一）各主管部门或镇（区）会同引导基金管理公司向市政府常务会议提交设立合作子基金申请。</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申请应包括但不限于基金规模、资金来源、主要合作伙伴、合作子基金遴选方式、基金投资方向、投资策略等主要要素；</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（二）引导基金管理公司根据市政府常务会议同意意见立项，经过尽调、评价等环节形成合作子基金设立实施方案，报引导基金管理委员会审批。</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引导基金管理公司经过相关程序认为不具备合作条件的，向市政府提交相关报告；</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（三）引导基金管理公司根据引导基金管理委员会批准的方案实施，确定合作子基金管理公司并形成最终合作协议，按引导基金管理公司内部决策程序进行决策；</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（四）采用公开遴选方式确定合作子基金管理公司的，相关决策结果需向社会进行公示，公示期为</w:t>
      </w:r>
      <w:r>
        <w:rPr>
          <w:rFonts w:ascii="Times New Roman" w:eastAsia="仿宋_GB2312"/>
          <w:bCs/>
          <w:szCs w:val="32"/>
        </w:rPr>
        <w:t>5</w:t>
      </w:r>
      <w:r>
        <w:rPr>
          <w:rFonts w:ascii="Times New Roman" w:eastAsia="仿宋_GB2312"/>
          <w:bCs/>
          <w:szCs w:val="32"/>
        </w:rPr>
        <w:t>个工作日。</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公示期内对决策结果有异议的，由引导基金管理委员会办公室启动相关调查程序处理争议，调查报告报引导基金管理委员会审批。根据引导基金管理委员会的决定重新遴选或维持决策结果；</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（五）合作子基金管理公司及合作协议决策通过后，报引导基金管理委员会办公室备案；</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（六）备案后，引导基金作为出资人与其他出资人以及合作子基金管理公司正式签订相关协议，并按约定履行出资及投后管理职责。</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第十二条</w:t>
      </w:r>
      <w:r>
        <w:rPr>
          <w:rFonts w:ascii="Times New Roman" w:eastAsia="仿宋_GB2312"/>
          <w:bCs/>
          <w:szCs w:val="32"/>
        </w:rPr>
        <w:t xml:space="preserve">  </w:t>
      </w:r>
      <w:r>
        <w:rPr>
          <w:rFonts w:ascii="Times New Roman" w:eastAsia="仿宋_GB2312"/>
          <w:bCs/>
          <w:szCs w:val="32"/>
        </w:rPr>
        <w:t>设立合作子基金原则上应具备以下条件：</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（一）合作子基金原则上以有限合伙制形式设立，必要时也可采取有限公司形式设立；</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应选择在太仓境内设立的并具有相应基金托管资质的商业银行进行托管（托管银行依据托管协议负责账户管理、资金清算、资产保管等事务，对投资活动实施动态监管，具体由托管协议详细约定）。引导基金对单个合作子基金出资额一般不超过合作子基金实际募资额的</w:t>
      </w:r>
      <w:r>
        <w:rPr>
          <w:rFonts w:ascii="Times New Roman" w:eastAsia="仿宋_GB2312"/>
          <w:bCs/>
          <w:szCs w:val="32"/>
        </w:rPr>
        <w:t>30</w:t>
      </w:r>
      <w:r>
        <w:rPr>
          <w:rFonts w:ascii="Times New Roman" w:eastAsia="仿宋_GB2312"/>
          <w:bCs/>
          <w:szCs w:val="32"/>
        </w:rPr>
        <w:t>％。鼓励合作子基金分散投资，原则上不做被投企业第一大股东；</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（三）应在太仓市内注册，并在规定时间内在中国证券投资基金业协会完成备案；</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（四）投资太仓市内注册的企业（包括投资后引进并注册到太仓的企业）的资金原则上不低于引导基金实际出资额的</w:t>
      </w:r>
      <w:r>
        <w:rPr>
          <w:rFonts w:ascii="Times New Roman" w:eastAsia="仿宋_GB2312"/>
          <w:bCs/>
          <w:szCs w:val="32"/>
        </w:rPr>
        <w:t>1.5</w:t>
      </w:r>
      <w:r>
        <w:rPr>
          <w:rFonts w:ascii="Times New Roman" w:eastAsia="仿宋_GB2312"/>
          <w:bCs/>
          <w:szCs w:val="32"/>
        </w:rPr>
        <w:t>倍，具体比例在协议中明确。以下情形之一可作为返投认定：</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1</w:t>
      </w:r>
      <w:r>
        <w:rPr>
          <w:rFonts w:ascii="Times New Roman" w:eastAsia="仿宋_GB2312"/>
          <w:bCs/>
          <w:szCs w:val="32"/>
        </w:rPr>
        <w:t>．合作子基金直接投资于注册地为太仓市的企业；</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2</w:t>
      </w:r>
      <w:r>
        <w:rPr>
          <w:rFonts w:ascii="Times New Roman" w:eastAsia="仿宋_GB2312"/>
          <w:bCs/>
          <w:szCs w:val="32"/>
        </w:rPr>
        <w:t>．合作子基金投资于太仓市以外注册的企业，该企业在基金投资期内将注册地迁往太仓市，并承诺</w:t>
      </w:r>
      <w:r>
        <w:rPr>
          <w:rFonts w:ascii="Times New Roman" w:eastAsia="仿宋_GB2312"/>
          <w:bCs/>
          <w:szCs w:val="32"/>
        </w:rPr>
        <w:t>3</w:t>
      </w:r>
      <w:r>
        <w:rPr>
          <w:rFonts w:ascii="Times New Roman" w:eastAsia="仿宋_GB2312"/>
          <w:bCs/>
          <w:szCs w:val="32"/>
        </w:rPr>
        <w:t>年内不迁出；</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3</w:t>
      </w:r>
      <w:r>
        <w:rPr>
          <w:rFonts w:ascii="Times New Roman" w:eastAsia="仿宋_GB2312"/>
          <w:bCs/>
          <w:szCs w:val="32"/>
        </w:rPr>
        <w:t>．合作子基金投资于太仓市以外注册的企业，该企业于基金投资期内在太仓市设立全资子公司或控股子公司（持股比例大于</w:t>
      </w:r>
      <w:r>
        <w:rPr>
          <w:rFonts w:ascii="Times New Roman" w:eastAsia="仿宋_GB2312"/>
          <w:bCs/>
          <w:szCs w:val="32"/>
        </w:rPr>
        <w:t>50%</w:t>
      </w:r>
      <w:r>
        <w:rPr>
          <w:rFonts w:ascii="Times New Roman" w:eastAsia="仿宋_GB2312"/>
          <w:bCs/>
          <w:szCs w:val="32"/>
        </w:rPr>
        <w:t>）；</w:t>
      </w:r>
    </w:p>
    <w:p w:rsidR="00AB2287" w:rsidRDefault="00F43D23" w:rsidP="008777C8">
      <w:pPr>
        <w:spacing w:line="520" w:lineRule="exact"/>
        <w:ind w:firstLineChars="200" w:firstLine="630"/>
        <w:rPr>
          <w:rFonts w:ascii="Times New Roman" w:eastAsia="仿宋_GB2312"/>
        </w:rPr>
      </w:pPr>
      <w:r>
        <w:rPr>
          <w:rFonts w:ascii="Times New Roman" w:eastAsia="仿宋_GB2312"/>
          <w:bCs/>
          <w:szCs w:val="32"/>
        </w:rPr>
        <w:t>4</w:t>
      </w:r>
      <w:r>
        <w:rPr>
          <w:rFonts w:ascii="Times New Roman" w:eastAsia="仿宋_GB2312"/>
          <w:bCs/>
          <w:szCs w:val="32"/>
        </w:rPr>
        <w:t>．合作子基金通过投资活动吸引太仓市以外注册的企业迁入太仓市或在太仓市新增投资项目、新设企业，经区镇政府直接出具书面文件，证明其对项目、企业落户太仓起到关键作用的，相关项目、企业的实收资本视同合作子基金投资于太仓市企业的资金；</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（五）引导基金参股期限原则上不超过</w:t>
      </w:r>
      <w:r>
        <w:rPr>
          <w:rFonts w:ascii="Times New Roman" w:eastAsia="仿宋_GB2312"/>
          <w:bCs/>
          <w:szCs w:val="32"/>
        </w:rPr>
        <w:t>8</w:t>
      </w:r>
      <w:r>
        <w:rPr>
          <w:rFonts w:ascii="Times New Roman" w:eastAsia="仿宋_GB2312"/>
          <w:bCs/>
          <w:szCs w:val="32"/>
        </w:rPr>
        <w:t>年，投资期原则上不超过</w:t>
      </w:r>
      <w:r>
        <w:rPr>
          <w:rFonts w:ascii="Times New Roman" w:eastAsia="仿宋_GB2312"/>
          <w:bCs/>
          <w:szCs w:val="32"/>
        </w:rPr>
        <w:t>3</w:t>
      </w:r>
      <w:r>
        <w:rPr>
          <w:rFonts w:ascii="Times New Roman" w:eastAsia="仿宋_GB2312"/>
          <w:bCs/>
          <w:szCs w:val="32"/>
        </w:rPr>
        <w:t>年，经引导基金管理委员会批准的除外；</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（六）合作子基金年度管理费用一般参照基金行业普遍性约定，具体比例在协议中明确；</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（七）合作子基金可进行结构化安排，引导基金根据需要以不同层级的投资人参股各子基金，但不得要求引导基金向其他出资人承诺本金不受损失；</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（八）各合作子基金其他方面要求。</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第十三条</w:t>
      </w:r>
      <w:r>
        <w:rPr>
          <w:rFonts w:ascii="Times New Roman" w:eastAsia="仿宋_GB2312"/>
          <w:bCs/>
          <w:szCs w:val="32"/>
        </w:rPr>
        <w:t xml:space="preserve">  </w:t>
      </w:r>
      <w:r>
        <w:rPr>
          <w:rFonts w:ascii="Times New Roman" w:eastAsia="仿宋_GB2312"/>
          <w:bCs/>
          <w:szCs w:val="32"/>
        </w:rPr>
        <w:t>合作子基金管理公司（</w:t>
      </w:r>
      <w:r>
        <w:rPr>
          <w:rFonts w:ascii="Times New Roman" w:eastAsia="仿宋_GB2312"/>
          <w:bCs/>
          <w:szCs w:val="32"/>
        </w:rPr>
        <w:t>GP</w:t>
      </w:r>
      <w:r>
        <w:rPr>
          <w:rFonts w:ascii="Times New Roman" w:eastAsia="仿宋_GB2312"/>
          <w:bCs/>
          <w:szCs w:val="32"/>
        </w:rPr>
        <w:t>）遴选原则上应具备以下条件：</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（一）具有国家规定的基金管理资质，在中国证券投资基金业协会进行登记和备案管理，管理团队稳定，专业性强，具有良好的职业操守和信誉；</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（二）具备严格合理的投资决策程序、风险控制机制以及健全的财务管理制度；</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（三）有较强的资金募集能力，有固定的营业场所和与其业务相适应的软硬件设施；实收资本原则上不低于</w:t>
      </w:r>
      <w:r>
        <w:rPr>
          <w:rFonts w:ascii="Times New Roman" w:eastAsia="仿宋_GB2312"/>
          <w:bCs/>
          <w:szCs w:val="32"/>
        </w:rPr>
        <w:t>1000</w:t>
      </w:r>
      <w:r>
        <w:rPr>
          <w:rFonts w:ascii="Times New Roman" w:eastAsia="仿宋_GB2312"/>
          <w:bCs/>
          <w:szCs w:val="32"/>
        </w:rPr>
        <w:t>万元；过去三年内受托管理的相关产业基金总资产规模不低于</w:t>
      </w:r>
      <w:r>
        <w:rPr>
          <w:rFonts w:ascii="Times New Roman" w:eastAsia="仿宋_GB2312"/>
          <w:bCs/>
          <w:szCs w:val="32"/>
        </w:rPr>
        <w:t>5</w:t>
      </w:r>
      <w:r>
        <w:rPr>
          <w:rFonts w:ascii="Times New Roman" w:eastAsia="仿宋_GB2312"/>
          <w:bCs/>
          <w:szCs w:val="32"/>
        </w:rPr>
        <w:t>亿元；</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（四）至少有</w:t>
      </w:r>
      <w:r>
        <w:rPr>
          <w:rFonts w:ascii="Times New Roman" w:eastAsia="仿宋_GB2312"/>
          <w:bCs/>
          <w:szCs w:val="32"/>
        </w:rPr>
        <w:t>3</w:t>
      </w:r>
      <w:r>
        <w:rPr>
          <w:rFonts w:ascii="Times New Roman" w:eastAsia="仿宋_GB2312"/>
          <w:bCs/>
          <w:szCs w:val="32"/>
        </w:rPr>
        <w:t>名具备</w:t>
      </w:r>
      <w:r>
        <w:rPr>
          <w:rFonts w:ascii="Times New Roman" w:eastAsia="仿宋_GB2312"/>
          <w:bCs/>
          <w:szCs w:val="32"/>
        </w:rPr>
        <w:t>3</w:t>
      </w:r>
      <w:r>
        <w:rPr>
          <w:rFonts w:ascii="Times New Roman" w:eastAsia="仿宋_GB2312"/>
          <w:bCs/>
          <w:szCs w:val="32"/>
        </w:rPr>
        <w:t>年以上股权投资基金管理工作经验的专职高级管理人员，至少主导过</w:t>
      </w:r>
      <w:r>
        <w:rPr>
          <w:rFonts w:ascii="Times New Roman" w:eastAsia="仿宋_GB2312"/>
          <w:bCs/>
          <w:szCs w:val="32"/>
        </w:rPr>
        <w:t>3</w:t>
      </w:r>
      <w:r>
        <w:rPr>
          <w:rFonts w:ascii="Times New Roman" w:eastAsia="仿宋_GB2312"/>
          <w:bCs/>
          <w:szCs w:val="32"/>
        </w:rPr>
        <w:t>个以上股权投资的成功案例；</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（五）机构及其工作人员无违法违纪等不良纪录；</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（六）各合作子基金其他方面的要求。</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优秀基金管理人单独或同本市国资公司合资组建在太仓注册成立新的基金管理公司，经引导基金管理委员会审核同意，条件可适当放宽。</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对于承诺投资在太仓市内企业的资金超过引导基金实际出资额</w:t>
      </w:r>
      <w:r>
        <w:rPr>
          <w:rFonts w:ascii="Times New Roman" w:eastAsia="仿宋_GB2312"/>
          <w:bCs/>
          <w:szCs w:val="32"/>
        </w:rPr>
        <w:t>1.5</w:t>
      </w:r>
      <w:r>
        <w:rPr>
          <w:rFonts w:ascii="Times New Roman" w:eastAsia="仿宋_GB2312"/>
          <w:bCs/>
          <w:szCs w:val="32"/>
        </w:rPr>
        <w:t>倍的合作子基金管理公司，在遴选时适当加分。</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第十四条</w:t>
      </w:r>
      <w:r>
        <w:rPr>
          <w:rFonts w:ascii="Times New Roman" w:eastAsia="仿宋_GB2312"/>
          <w:bCs/>
          <w:szCs w:val="32"/>
        </w:rPr>
        <w:t xml:space="preserve">  </w:t>
      </w:r>
      <w:r>
        <w:rPr>
          <w:rFonts w:ascii="Times New Roman" w:eastAsia="仿宋_GB2312"/>
          <w:bCs/>
          <w:szCs w:val="32"/>
        </w:rPr>
        <w:t>合作子基金的运作方式：</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（一）合作子基金设立投资决策委员会，根据基金投资管理流程，作出投资决策安排；</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（二）合作子基金管理公司（</w:t>
      </w:r>
      <w:r>
        <w:rPr>
          <w:rFonts w:ascii="Times New Roman" w:eastAsia="仿宋_GB2312"/>
          <w:bCs/>
          <w:szCs w:val="32"/>
        </w:rPr>
        <w:t>GP</w:t>
      </w:r>
      <w:r>
        <w:rPr>
          <w:rFonts w:ascii="Times New Roman" w:eastAsia="仿宋_GB2312"/>
          <w:bCs/>
          <w:szCs w:val="32"/>
        </w:rPr>
        <w:t>）提交给投资决策委员会或合伙人会议审议的与基金投资事项相关的议案，均应先提交引导基金管理公司进行政策合规性审查。事前，合作子基金管理公司（</w:t>
      </w:r>
      <w:r>
        <w:rPr>
          <w:rFonts w:ascii="Times New Roman" w:eastAsia="仿宋_GB2312"/>
          <w:bCs/>
          <w:szCs w:val="32"/>
        </w:rPr>
        <w:t>GP</w:t>
      </w:r>
      <w:r>
        <w:rPr>
          <w:rFonts w:ascii="Times New Roman" w:eastAsia="仿宋_GB2312"/>
          <w:bCs/>
          <w:szCs w:val="32"/>
        </w:rPr>
        <w:t>）应当就议案是否违反法律法规、国家和地方相关政策、合伙协议的禁止性或限制性规定进行自查，并将自查报告送引导基金管理公司审查，送引导基金管理委员会办公室备案；</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（三）引导基金管理公司在收到合作子基金管理公司（</w:t>
      </w:r>
      <w:r>
        <w:rPr>
          <w:rFonts w:ascii="Times New Roman" w:eastAsia="仿宋_GB2312"/>
          <w:bCs/>
          <w:szCs w:val="32"/>
        </w:rPr>
        <w:t>GP</w:t>
      </w:r>
      <w:r>
        <w:rPr>
          <w:rFonts w:ascii="Times New Roman" w:eastAsia="仿宋_GB2312"/>
          <w:bCs/>
          <w:szCs w:val="32"/>
        </w:rPr>
        <w:t>）的自查报告后，对议案进行政策合规性审查（</w:t>
      </w:r>
      <w:r>
        <w:rPr>
          <w:rFonts w:ascii="Times New Roman" w:eastAsia="仿宋_GB2312"/>
          <w:bCs/>
          <w:szCs w:val="32"/>
        </w:rPr>
        <w:t>7</w:t>
      </w:r>
      <w:r>
        <w:rPr>
          <w:rFonts w:ascii="Times New Roman" w:eastAsia="仿宋_GB2312"/>
          <w:bCs/>
          <w:szCs w:val="32"/>
        </w:rPr>
        <w:t>个工作日），对于不符合相关规定的议案，有权予以否决。被否决的议案，合作子基金管理公司（</w:t>
      </w:r>
      <w:r>
        <w:rPr>
          <w:rFonts w:ascii="Times New Roman" w:eastAsia="仿宋_GB2312"/>
          <w:bCs/>
          <w:szCs w:val="32"/>
        </w:rPr>
        <w:t>GP</w:t>
      </w:r>
      <w:r>
        <w:rPr>
          <w:rFonts w:ascii="Times New Roman" w:eastAsia="仿宋_GB2312"/>
          <w:bCs/>
          <w:szCs w:val="32"/>
        </w:rPr>
        <w:t>）不得提交投资决策委员会或合伙人会议表决亦不得施行，但可以根据否决意见进行修改后重新履行政策合规性审查程序；</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（四）引导基金管理公司可以根据合作子基金的运作需要委派观察员列席投资决策委员会会议，观察员有权对会议的审议事项发表意见，但没有表决权；</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（五）引导基金参股合作子基金可采取分期注资方式，与社会资本按比例同步到位。合作子基金可单独成立项目子基金；</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（六）引导基金管理公司依据合作子基金《合伙协议》《经营协议》等规定，行使出资人权利和履行监督权。</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第十五条</w:t>
      </w:r>
      <w:r>
        <w:rPr>
          <w:rFonts w:ascii="Times New Roman" w:eastAsia="仿宋_GB2312"/>
          <w:bCs/>
          <w:szCs w:val="32"/>
        </w:rPr>
        <w:t xml:space="preserve">  </w:t>
      </w:r>
      <w:r>
        <w:rPr>
          <w:rFonts w:ascii="Times New Roman" w:eastAsia="仿宋_GB2312"/>
          <w:bCs/>
          <w:szCs w:val="32"/>
        </w:rPr>
        <w:t>合作子基金的收益分配：</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（一）合作子基金各出资方应当按照</w:t>
      </w:r>
      <w:r>
        <w:rPr>
          <w:rFonts w:ascii="Times New Roman" w:eastAsia="仿宋_GB2312"/>
          <w:bCs/>
          <w:szCs w:val="32"/>
        </w:rPr>
        <w:t>“</w:t>
      </w:r>
      <w:r>
        <w:rPr>
          <w:rFonts w:ascii="Times New Roman" w:eastAsia="仿宋_GB2312"/>
          <w:bCs/>
          <w:szCs w:val="32"/>
        </w:rPr>
        <w:t>利益共享、风险共担</w:t>
      </w:r>
      <w:r>
        <w:rPr>
          <w:rFonts w:ascii="Times New Roman" w:eastAsia="仿宋_GB2312"/>
          <w:bCs/>
          <w:szCs w:val="32"/>
        </w:rPr>
        <w:t>”</w:t>
      </w:r>
      <w:r>
        <w:rPr>
          <w:rFonts w:ascii="Times New Roman" w:eastAsia="仿宋_GB2312"/>
          <w:bCs/>
          <w:szCs w:val="32"/>
        </w:rPr>
        <w:t>的原则，明确约定收益处理和亏损负担方式。合作子基金的亏损应由出资方共同承担，引导基金应以出资额为限承担有限责任；</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（二）在完成基金的税、费、债务等项目支付后根据相关《合伙协议》《经营协议》等约定进行分配，投资收益及本金在基金存续期内随每个项目退出不定期进行分配，不滚动投资；</w:t>
      </w:r>
    </w:p>
    <w:p w:rsidR="00AB2287" w:rsidRDefault="00F43D23" w:rsidP="008777C8">
      <w:pPr>
        <w:spacing w:line="520" w:lineRule="exact"/>
        <w:ind w:firstLine="640"/>
        <w:rPr>
          <w:rFonts w:ascii="Times New Roman" w:eastAsia="仿宋_GB2312"/>
          <w:bCs/>
          <w:szCs w:val="32"/>
        </w:rPr>
      </w:pPr>
      <w:r>
        <w:rPr>
          <w:rFonts w:ascii="Times New Roman" w:eastAsia="仿宋_GB2312"/>
          <w:bCs/>
          <w:szCs w:val="32"/>
        </w:rPr>
        <w:t>（三）为更好地发挥政府出资的引导作用，合作子基金中政府出资部分可在收回本金及门槛收益的基础上，约定对其他投资方给予一定让利，并对管理团队作适当奖励，具体收益分配在投资协议中明确。</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第五章</w:t>
      </w:r>
      <w:r>
        <w:rPr>
          <w:rFonts w:ascii="Times New Roman" w:eastAsia="黑体"/>
          <w:bCs/>
          <w:szCs w:val="32"/>
        </w:rPr>
        <w:t xml:space="preserve">  </w:t>
      </w:r>
      <w:r>
        <w:rPr>
          <w:rFonts w:ascii="Times New Roman" w:eastAsia="黑体"/>
          <w:bCs/>
          <w:szCs w:val="32"/>
        </w:rPr>
        <w:t>专项子基金</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第十六条</w:t>
      </w:r>
      <w:r>
        <w:rPr>
          <w:rFonts w:ascii="Times New Roman" w:eastAsia="黑体" w:hint="eastAsia"/>
          <w:bCs/>
          <w:szCs w:val="32"/>
        </w:rPr>
        <w:t xml:space="preserve">  </w:t>
      </w:r>
      <w:r>
        <w:rPr>
          <w:rFonts w:ascii="Times New Roman" w:eastAsia="仿宋_GB2312"/>
          <w:bCs/>
          <w:szCs w:val="32"/>
        </w:rPr>
        <w:t>专项子基金投资程序：</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（一）各镇（区）或主管部门负责推荐，经招商局初审同意后，将专项子基金立项申请报引导基金管理委员会；</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（二）引导基金管理委员会同意立项的，引导基金管理公司开展尽职调查（可聘请第三方机构），尽调报告积极正面的，编制实施方案报市政府常务会议审议；</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（三）市政府常务会议通过后，引导基金管理公司实施投资，并且根据合伙协议等约定，行使出资人权利。</w:t>
      </w:r>
    </w:p>
    <w:p w:rsidR="00AB2287" w:rsidRDefault="00F43D23" w:rsidP="008777C8">
      <w:pPr>
        <w:spacing w:line="520" w:lineRule="exact"/>
        <w:ind w:firstLineChars="200" w:firstLine="630"/>
        <w:rPr>
          <w:rFonts w:ascii="Times New Roman"/>
        </w:rPr>
      </w:pPr>
      <w:r>
        <w:rPr>
          <w:rFonts w:ascii="Times New Roman" w:eastAsia="黑体"/>
          <w:bCs/>
          <w:szCs w:val="32"/>
        </w:rPr>
        <w:t>第十七条</w:t>
      </w:r>
      <w:r>
        <w:rPr>
          <w:rFonts w:ascii="Times New Roman" w:eastAsia="黑体" w:hint="eastAsia"/>
          <w:bCs/>
          <w:szCs w:val="32"/>
        </w:rPr>
        <w:t xml:space="preserve">  </w:t>
      </w:r>
      <w:r>
        <w:rPr>
          <w:rFonts w:ascii="Times New Roman" w:eastAsia="仿宋_GB2312"/>
          <w:bCs/>
          <w:szCs w:val="32"/>
        </w:rPr>
        <w:t>专项子基金应具备的条件、专项子基金管理公司（</w:t>
      </w:r>
      <w:r>
        <w:rPr>
          <w:rFonts w:ascii="Times New Roman" w:eastAsia="仿宋_GB2312"/>
          <w:bCs/>
          <w:szCs w:val="32"/>
        </w:rPr>
        <w:t>GP</w:t>
      </w:r>
      <w:r>
        <w:rPr>
          <w:rFonts w:ascii="Times New Roman" w:eastAsia="仿宋_GB2312"/>
          <w:bCs/>
          <w:szCs w:val="32"/>
        </w:rPr>
        <w:t>）遴选应具备的条件、专项子基金的运作方式、专项子基金的收益分配参照合作子基金的条款执行，经引导基金管理委员会批准，条件可适当放宽。</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第六章</w:t>
      </w:r>
      <w:r>
        <w:rPr>
          <w:rFonts w:ascii="Times New Roman" w:eastAsia="黑体"/>
          <w:bCs/>
          <w:szCs w:val="32"/>
        </w:rPr>
        <w:t xml:space="preserve">  </w:t>
      </w:r>
      <w:r>
        <w:rPr>
          <w:rFonts w:ascii="Times New Roman" w:eastAsia="黑体"/>
          <w:bCs/>
          <w:szCs w:val="32"/>
        </w:rPr>
        <w:t>直投项目</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第十八条</w:t>
      </w:r>
      <w:r>
        <w:rPr>
          <w:rFonts w:ascii="Times New Roman" w:eastAsia="仿宋_GB2312"/>
          <w:bCs/>
          <w:szCs w:val="32"/>
        </w:rPr>
        <w:t xml:space="preserve">  </w:t>
      </w:r>
      <w:r>
        <w:rPr>
          <w:rFonts w:ascii="Times New Roman" w:eastAsia="仿宋_GB2312"/>
          <w:bCs/>
          <w:szCs w:val="32"/>
        </w:rPr>
        <w:t>直投项目投资基本要求：</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（一）申请直投项目投资的</w:t>
      </w:r>
      <w:r>
        <w:rPr>
          <w:rFonts w:ascii="Times New Roman" w:eastAsia="仿宋_GB2312"/>
          <w:bCs/>
          <w:szCs w:val="32"/>
          <w:lang w:val="zh-CN"/>
        </w:rPr>
        <w:t>企业</w:t>
      </w:r>
      <w:r>
        <w:rPr>
          <w:rFonts w:ascii="Times New Roman" w:eastAsia="仿宋_GB2312"/>
          <w:bCs/>
          <w:szCs w:val="32"/>
        </w:rPr>
        <w:t>为符合</w:t>
      </w:r>
      <w:r>
        <w:rPr>
          <w:rFonts w:ascii="Times New Roman" w:eastAsia="仿宋_GB2312"/>
          <w:bCs/>
          <w:szCs w:val="32"/>
          <w:lang w:val="zh-CN"/>
        </w:rPr>
        <w:t>本市重点招商项目、本市重点发展产业领域</w:t>
      </w:r>
      <w:r>
        <w:rPr>
          <w:rFonts w:ascii="Times New Roman" w:eastAsia="仿宋_GB2312"/>
          <w:bCs/>
          <w:szCs w:val="32"/>
        </w:rPr>
        <w:t>的非上市企业；具体满足以下条件之一：</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1.</w:t>
      </w:r>
      <w:r>
        <w:rPr>
          <w:rFonts w:ascii="Times New Roman" w:eastAsia="仿宋_GB2312"/>
          <w:bCs/>
          <w:szCs w:val="32"/>
        </w:rPr>
        <w:t>国家高新技术企业，企业上年度销售收入不低于人民币</w:t>
      </w:r>
      <w:r>
        <w:rPr>
          <w:rFonts w:ascii="Times New Roman" w:eastAsia="仿宋_GB2312"/>
          <w:bCs/>
          <w:szCs w:val="32"/>
        </w:rPr>
        <w:t>1</w:t>
      </w:r>
      <w:r>
        <w:rPr>
          <w:rFonts w:ascii="Times New Roman" w:eastAsia="仿宋_GB2312"/>
          <w:bCs/>
          <w:szCs w:val="32"/>
        </w:rPr>
        <w:t>亿元，近三年销售收入或净利润平均增长率不低于</w:t>
      </w:r>
      <w:r>
        <w:rPr>
          <w:rFonts w:ascii="Times New Roman" w:eastAsia="仿宋_GB2312"/>
          <w:bCs/>
          <w:szCs w:val="32"/>
        </w:rPr>
        <w:t>15%</w:t>
      </w:r>
      <w:r>
        <w:rPr>
          <w:rFonts w:ascii="Times New Roman" w:eastAsia="仿宋_GB2312"/>
          <w:bCs/>
          <w:szCs w:val="32"/>
        </w:rPr>
        <w:t>；</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2.</w:t>
      </w:r>
      <w:r>
        <w:rPr>
          <w:rFonts w:ascii="Times New Roman" w:eastAsia="仿宋_GB2312"/>
          <w:bCs/>
          <w:szCs w:val="32"/>
        </w:rPr>
        <w:t>最新一轮投后估值不低于人民币</w:t>
      </w:r>
      <w:r>
        <w:rPr>
          <w:rFonts w:ascii="Times New Roman" w:eastAsia="仿宋_GB2312"/>
          <w:bCs/>
          <w:szCs w:val="32"/>
        </w:rPr>
        <w:t>20</w:t>
      </w:r>
      <w:r>
        <w:rPr>
          <w:rFonts w:ascii="Times New Roman" w:eastAsia="仿宋_GB2312"/>
          <w:bCs/>
          <w:szCs w:val="32"/>
        </w:rPr>
        <w:t>亿元的科创类企业，且获得知名投资机构投资，拥有行业领先的专利技术或自主知识产权等产品；</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3.</w:t>
      </w:r>
      <w:r>
        <w:rPr>
          <w:rFonts w:ascii="Times New Roman" w:eastAsia="仿宋_GB2312"/>
          <w:bCs/>
          <w:szCs w:val="32"/>
        </w:rPr>
        <w:t>在太仓区域内（拟）投资总额超过人民币</w:t>
      </w:r>
      <w:r>
        <w:rPr>
          <w:rFonts w:ascii="Times New Roman" w:eastAsia="仿宋_GB2312"/>
          <w:bCs/>
          <w:szCs w:val="32"/>
        </w:rPr>
        <w:t>5</w:t>
      </w:r>
      <w:r>
        <w:rPr>
          <w:rFonts w:ascii="Times New Roman" w:eastAsia="仿宋_GB2312"/>
          <w:bCs/>
          <w:szCs w:val="32"/>
        </w:rPr>
        <w:t>亿元，且首次货币出资总额不低于人民币</w:t>
      </w:r>
      <w:r>
        <w:rPr>
          <w:rFonts w:ascii="Times New Roman" w:eastAsia="仿宋_GB2312"/>
          <w:bCs/>
          <w:szCs w:val="32"/>
        </w:rPr>
        <w:t>2</w:t>
      </w:r>
      <w:r>
        <w:rPr>
          <w:rFonts w:ascii="Times New Roman" w:eastAsia="仿宋_GB2312"/>
          <w:bCs/>
          <w:szCs w:val="32"/>
        </w:rPr>
        <w:t>亿元；</w:t>
      </w:r>
    </w:p>
    <w:p w:rsidR="00AB2287" w:rsidRDefault="00F43D23" w:rsidP="008777C8">
      <w:pPr>
        <w:spacing w:line="520" w:lineRule="exact"/>
        <w:ind w:firstLineChars="200" w:firstLine="630"/>
        <w:rPr>
          <w:rFonts w:ascii="Times New Roman"/>
        </w:rPr>
      </w:pPr>
      <w:r>
        <w:rPr>
          <w:rFonts w:ascii="Times New Roman" w:eastAsia="仿宋_GB2312"/>
          <w:bCs/>
          <w:szCs w:val="32"/>
        </w:rPr>
        <w:t>4.</w:t>
      </w:r>
      <w:r>
        <w:rPr>
          <w:rFonts w:ascii="Times New Roman" w:eastAsia="仿宋_GB2312"/>
          <w:bCs/>
          <w:szCs w:val="32"/>
        </w:rPr>
        <w:t>其他重点项目，经市政府同意，按照一事一议确定；</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（二）直投项目对单个企业原则上只进行一次项目投资；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（三）直投项目原则上对单个重大产业项目的出资比例不高于</w:t>
      </w:r>
      <w:r>
        <w:rPr>
          <w:rFonts w:ascii="Times New Roman" w:eastAsia="仿宋_GB2312"/>
          <w:bCs/>
          <w:szCs w:val="32"/>
        </w:rPr>
        <w:t>30%</w:t>
      </w:r>
      <w:r>
        <w:rPr>
          <w:rFonts w:ascii="Times New Roman" w:eastAsia="仿宋_GB2312"/>
          <w:bCs/>
          <w:szCs w:val="32"/>
        </w:rPr>
        <w:t>并不做第一大股东。</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第十九条</w:t>
      </w:r>
      <w:r>
        <w:rPr>
          <w:rFonts w:ascii="Times New Roman" w:eastAsia="仿宋_GB2312"/>
          <w:bCs/>
          <w:szCs w:val="32"/>
        </w:rPr>
        <w:t xml:space="preserve">  </w:t>
      </w:r>
      <w:r>
        <w:rPr>
          <w:rFonts w:ascii="Times New Roman" w:eastAsia="仿宋_GB2312"/>
          <w:bCs/>
          <w:szCs w:val="32"/>
        </w:rPr>
        <w:t>直投项目投资程序：</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（一）项目所在镇（区）或主管部门负责推荐，经招商局初审同意后，将直投项目立项申请报引导基金管理委员会；</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（二）引导基金管理委员会同意立项的，引导基金管理公司开展尽职调查（可聘请第三方机构），尽调报告积极正面的，编制投资方案报市政府常务会议审议；</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（三）市政府常务会议通过后，引导基金管理公司实施投资，并且根据投资协议等约定，行使出资人权利。</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第二十条</w:t>
      </w:r>
      <w:r>
        <w:rPr>
          <w:rFonts w:ascii="Times New Roman" w:eastAsia="仿宋_GB2312"/>
          <w:bCs/>
          <w:szCs w:val="32"/>
        </w:rPr>
        <w:t xml:space="preserve">  </w:t>
      </w:r>
      <w:r>
        <w:rPr>
          <w:rFonts w:ascii="Times New Roman" w:eastAsia="仿宋_GB2312"/>
          <w:bCs/>
          <w:szCs w:val="32"/>
        </w:rPr>
        <w:t>直投项目的收益分配：</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为更好地发挥政府出资的引导作用，引导基金出资部分可在收回本金及门槛收益的基础上，约定对直投项目给予一定让利。具体收益分配在投资协议中明确。</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第七章</w:t>
      </w:r>
      <w:r>
        <w:rPr>
          <w:rFonts w:ascii="Times New Roman" w:eastAsia="黑体"/>
          <w:bCs/>
          <w:szCs w:val="32"/>
        </w:rPr>
        <w:t xml:space="preserve">  </w:t>
      </w:r>
      <w:r>
        <w:rPr>
          <w:rFonts w:ascii="Times New Roman" w:eastAsia="黑体"/>
          <w:bCs/>
          <w:szCs w:val="32"/>
        </w:rPr>
        <w:t>引导基金退出</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第二十一条</w:t>
      </w:r>
      <w:r>
        <w:rPr>
          <w:rFonts w:ascii="Times New Roman" w:eastAsia="仿宋_GB2312"/>
          <w:bCs/>
          <w:szCs w:val="32"/>
        </w:rPr>
        <w:t xml:space="preserve">  </w:t>
      </w:r>
      <w:r>
        <w:rPr>
          <w:rFonts w:ascii="Times New Roman" w:eastAsia="仿宋_GB2312"/>
          <w:bCs/>
          <w:szCs w:val="32"/>
        </w:rPr>
        <w:t>申请引导基金参股的合作子基金、专项子基金发起人不得先于引导基金退出其在合作子基金、专项子基金中的份额；申请引导基金直投项目的企业，企业创始人及实控人原则上不得先于引导基金退出其在该企业的股权。</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第二十二条</w:t>
      </w:r>
      <w:r>
        <w:rPr>
          <w:rFonts w:ascii="Times New Roman" w:eastAsia="仿宋_GB2312"/>
          <w:bCs/>
          <w:szCs w:val="32"/>
        </w:rPr>
        <w:t xml:space="preserve">  </w:t>
      </w:r>
      <w:r>
        <w:rPr>
          <w:rFonts w:ascii="Times New Roman" w:eastAsia="仿宋_GB2312"/>
          <w:bCs/>
          <w:szCs w:val="32"/>
        </w:rPr>
        <w:t>引导基金从合作子基金、专项子基金或直投项目退出时，应当按照投资协议约定的条件退出；投资协议中没有约定的，应聘请具备资质的资产评估机构对出资权益进行评估，作为确定出资退出价格的依据，退出应符合国有资产管理要求及国家相关法律法规要求。</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第二十三条</w:t>
      </w:r>
      <w:r>
        <w:rPr>
          <w:rFonts w:ascii="Times New Roman" w:eastAsia="仿宋_GB2312"/>
          <w:bCs/>
          <w:szCs w:val="32"/>
        </w:rPr>
        <w:t xml:space="preserve">  </w:t>
      </w:r>
      <w:r>
        <w:rPr>
          <w:rFonts w:ascii="Times New Roman" w:eastAsia="仿宋_GB2312"/>
          <w:bCs/>
          <w:szCs w:val="32"/>
        </w:rPr>
        <w:t>直投项目发生下列情况之一的，可终止合作并选择退出，并由直投项目企业承担违约责任：</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（一）未按本办法要求、投资协议约定开展投资业务的；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（二）合作协议签订后，其它投资方未按约定程序和时间要求完成出资的；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（三）投资完成一年以后，直投项目企业未按投资协议使用投资资金的。</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第二十四条</w:t>
      </w:r>
      <w:r>
        <w:rPr>
          <w:rFonts w:ascii="Times New Roman" w:eastAsia="仿宋_GB2312"/>
          <w:bCs/>
          <w:szCs w:val="32"/>
        </w:rPr>
        <w:t xml:space="preserve">  </w:t>
      </w:r>
      <w:r>
        <w:rPr>
          <w:rFonts w:ascii="Times New Roman" w:eastAsia="仿宋_GB2312"/>
          <w:bCs/>
          <w:szCs w:val="32"/>
        </w:rPr>
        <w:t>合作子基金、专项子基金应在基金合伙协议中约定，发生下列情况之一的，引导基金可无需其他出资人同意，选择提前退出，违约责任由相应的基金管理公司承担：</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（一）未按本办法要求、合伙协议约定开展投资业务的；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（二）投资基金方案确认后超过一年，未按规定程序和时间要求完成设立手续的；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（三）合作子基金、专项子基金设立一年以上，未开展投资业务的；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（四）合作子基金、专项子基金投资领域和方向不符合政策目标的；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（五）其他不符合合伙协议约定情形的。</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第八章</w:t>
      </w:r>
      <w:r>
        <w:rPr>
          <w:rFonts w:ascii="Times New Roman" w:eastAsia="黑体"/>
          <w:bCs/>
          <w:szCs w:val="32"/>
        </w:rPr>
        <w:t xml:space="preserve">  </w:t>
      </w:r>
      <w:r>
        <w:rPr>
          <w:rFonts w:ascii="Times New Roman" w:eastAsia="黑体"/>
          <w:bCs/>
          <w:szCs w:val="32"/>
        </w:rPr>
        <w:t>风险控制与监督管理</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第二十五条</w:t>
      </w:r>
      <w:r>
        <w:rPr>
          <w:rFonts w:ascii="Times New Roman" w:eastAsia="仿宋_GB2312"/>
          <w:bCs/>
          <w:szCs w:val="32"/>
        </w:rPr>
        <w:t xml:space="preserve">  </w:t>
      </w:r>
      <w:r>
        <w:rPr>
          <w:rFonts w:ascii="Times New Roman" w:eastAsia="仿宋_GB2312"/>
          <w:bCs/>
          <w:szCs w:val="32"/>
        </w:rPr>
        <w:t>各基金应按照本办法规定的投资领域投资，不得从事以下业务：</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（一）从事融资担保以外的担保、抵押、委托贷款等业务；</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（二）从事二级市场股票、期货、房地产、证券投资基金、评级</w:t>
      </w:r>
      <w:r>
        <w:rPr>
          <w:rFonts w:ascii="Times New Roman" w:eastAsia="仿宋_GB2312"/>
          <w:bCs/>
          <w:szCs w:val="32"/>
        </w:rPr>
        <w:t>AAA</w:t>
      </w:r>
      <w:r>
        <w:rPr>
          <w:rFonts w:ascii="Times New Roman" w:eastAsia="仿宋_GB2312"/>
          <w:bCs/>
          <w:szCs w:val="32"/>
        </w:rPr>
        <w:t>以下的企业债、信托产品、非保本型理财产品、保险计划及其他金融衍生品；</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（三）向任何第三方提供赞助、捐赠（经批准的公益性捐赠除外）；</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（四）吸收或变相吸收存款，或向第三方提供贷款和资金拆借；</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（五）进行承担无限连带责任的对外投资；</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（六）发行信托或集合理财产品募集资金；</w:t>
      </w:r>
    </w:p>
    <w:p w:rsidR="00AB2287" w:rsidRDefault="00F43D23" w:rsidP="008777C8">
      <w:pPr>
        <w:spacing w:line="520" w:lineRule="exact"/>
        <w:ind w:firstLineChars="200" w:firstLine="630"/>
        <w:rPr>
          <w:rFonts w:ascii="Times New Roman"/>
        </w:rPr>
      </w:pPr>
      <w:r>
        <w:rPr>
          <w:rFonts w:ascii="Times New Roman" w:eastAsia="仿宋_GB2312"/>
          <w:bCs/>
          <w:szCs w:val="32"/>
        </w:rPr>
        <w:t>（七）名股实债等变相增加政府债务的业务；</w:t>
      </w:r>
    </w:p>
    <w:p w:rsidR="00AB2287" w:rsidRDefault="00F43D23" w:rsidP="008777C8">
      <w:pPr>
        <w:spacing w:line="520" w:lineRule="exact"/>
        <w:ind w:firstLineChars="200" w:firstLine="630"/>
        <w:rPr>
          <w:rFonts w:ascii="Times New Roman" w:eastAsia="仿宋_GB2312"/>
          <w:bCs/>
          <w:szCs w:val="32"/>
        </w:rPr>
      </w:pPr>
      <w:r>
        <w:rPr>
          <w:rFonts w:ascii="Times New Roman" w:eastAsia="仿宋_GB2312"/>
          <w:bCs/>
          <w:szCs w:val="32"/>
        </w:rPr>
        <w:t>（八）其他法律法规禁止从事的业务。</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第二十六条</w:t>
      </w:r>
      <w:r>
        <w:rPr>
          <w:rFonts w:ascii="Times New Roman" w:eastAsia="仿宋_GB2312"/>
          <w:bCs/>
          <w:szCs w:val="32"/>
        </w:rPr>
        <w:t xml:space="preserve">  </w:t>
      </w:r>
      <w:r>
        <w:rPr>
          <w:rFonts w:ascii="Times New Roman" w:eastAsia="仿宋_GB2312"/>
          <w:bCs/>
          <w:szCs w:val="32"/>
        </w:rPr>
        <w:t>引导基金管理公司及合作子基金管理公司（</w:t>
      </w:r>
      <w:r>
        <w:rPr>
          <w:rFonts w:ascii="Times New Roman" w:eastAsia="仿宋_GB2312"/>
          <w:bCs/>
          <w:szCs w:val="32"/>
        </w:rPr>
        <w:t>GP</w:t>
      </w:r>
      <w:r>
        <w:rPr>
          <w:rFonts w:ascii="Times New Roman" w:eastAsia="仿宋_GB2312"/>
          <w:bCs/>
          <w:szCs w:val="32"/>
        </w:rPr>
        <w:t>）、专项子基金管理公司（</w:t>
      </w:r>
      <w:r>
        <w:rPr>
          <w:rFonts w:ascii="Times New Roman" w:eastAsia="仿宋_GB2312"/>
          <w:bCs/>
          <w:szCs w:val="32"/>
        </w:rPr>
        <w:t>GP</w:t>
      </w:r>
      <w:r>
        <w:rPr>
          <w:rFonts w:ascii="Times New Roman" w:eastAsia="仿宋_GB2312"/>
          <w:bCs/>
          <w:szCs w:val="32"/>
        </w:rPr>
        <w:t>）应建立完善的投资管理制度和投资项目风险管理体系，对项目的内部控制、工作流程等进行规范。</w:t>
      </w:r>
    </w:p>
    <w:p w:rsidR="00AB2287" w:rsidRDefault="00F43D23" w:rsidP="008777C8">
      <w:pPr>
        <w:spacing w:line="520" w:lineRule="exact"/>
        <w:ind w:firstLineChars="200" w:firstLine="630"/>
        <w:rPr>
          <w:rFonts w:ascii="Times New Roman"/>
        </w:rPr>
      </w:pPr>
      <w:r>
        <w:rPr>
          <w:rFonts w:ascii="Times New Roman" w:eastAsia="黑体"/>
          <w:bCs/>
          <w:szCs w:val="32"/>
        </w:rPr>
        <w:t>第二十七条</w:t>
      </w:r>
      <w:r>
        <w:rPr>
          <w:rFonts w:ascii="Times New Roman" w:eastAsia="仿宋_GB2312"/>
          <w:bCs/>
          <w:szCs w:val="32"/>
        </w:rPr>
        <w:t xml:space="preserve">  </w:t>
      </w:r>
      <w:r>
        <w:rPr>
          <w:rFonts w:ascii="Times New Roman" w:eastAsia="仿宋_GB2312"/>
          <w:bCs/>
          <w:szCs w:val="32"/>
        </w:rPr>
        <w:t>引导基金从合作子基金、专项子基金、直投项目退出的，引导基金出资额和收益等应当及时收回。经引导基金管理委员会批准，收回的资金可用于引导基金滚动投资发展。</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第二十八条</w:t>
      </w:r>
      <w:r>
        <w:rPr>
          <w:rFonts w:ascii="Times New Roman" w:eastAsia="黑体" w:hint="eastAsia"/>
          <w:bCs/>
          <w:szCs w:val="32"/>
        </w:rPr>
        <w:t xml:space="preserve">  </w:t>
      </w:r>
      <w:r>
        <w:rPr>
          <w:rFonts w:ascii="Times New Roman" w:eastAsia="仿宋_GB2312"/>
          <w:bCs/>
          <w:szCs w:val="32"/>
        </w:rPr>
        <w:t>每季度结束后</w:t>
      </w:r>
      <w:r>
        <w:rPr>
          <w:rFonts w:ascii="Times New Roman" w:eastAsia="仿宋_GB2312"/>
          <w:bCs/>
          <w:szCs w:val="32"/>
        </w:rPr>
        <w:t>1</w:t>
      </w:r>
      <w:r>
        <w:rPr>
          <w:rFonts w:ascii="Times New Roman" w:eastAsia="仿宋_GB2312"/>
          <w:bCs/>
          <w:szCs w:val="32"/>
        </w:rPr>
        <w:t>个月内，引导基金管理公司需向引导基金管理委员会办公室报送引导基金季度运作情况报告，每会计年度结束后</w:t>
      </w:r>
      <w:r>
        <w:rPr>
          <w:rFonts w:ascii="Times New Roman" w:eastAsia="仿宋_GB2312"/>
          <w:bCs/>
          <w:szCs w:val="32"/>
        </w:rPr>
        <w:t>4</w:t>
      </w:r>
      <w:r>
        <w:rPr>
          <w:rFonts w:ascii="Times New Roman" w:eastAsia="仿宋_GB2312"/>
          <w:bCs/>
          <w:szCs w:val="32"/>
        </w:rPr>
        <w:t>个月内，报送引导基金年度运行情况报告、经审计的引导基金年度会计报告。</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第二十九条</w:t>
      </w:r>
      <w:r>
        <w:rPr>
          <w:rFonts w:ascii="Times New Roman" w:eastAsia="仿宋_GB2312"/>
          <w:bCs/>
          <w:szCs w:val="32"/>
        </w:rPr>
        <w:t xml:space="preserve">  </w:t>
      </w:r>
      <w:r>
        <w:rPr>
          <w:rFonts w:ascii="Times New Roman" w:eastAsia="仿宋_GB2312"/>
          <w:bCs/>
          <w:szCs w:val="32"/>
        </w:rPr>
        <w:t>引导基金管理委员会办公室会同市财政局探索建立并逐步完善引导基金绩效评价制度，对基金政策目标实现程度、投资运营情况等开展评价和检查，并向基金管理委员会报告。</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第三十条</w:t>
      </w:r>
      <w:r>
        <w:rPr>
          <w:rFonts w:ascii="Times New Roman" w:eastAsia="仿宋_GB2312"/>
          <w:bCs/>
          <w:szCs w:val="32"/>
        </w:rPr>
        <w:t xml:space="preserve">  </w:t>
      </w:r>
      <w:r>
        <w:rPr>
          <w:rFonts w:ascii="Times New Roman" w:eastAsia="仿宋_GB2312"/>
          <w:bCs/>
          <w:szCs w:val="32"/>
        </w:rPr>
        <w:t>引导基金和合作子基金、专项子基金、直投项目接受审计、财政以及监察部门的监督检查。对基金管理机构、个人以及政府部门在管理中出现的违规违纪行为，依照《中华人民共和国合伙企业法》《财政违法行为处罚处分条例》等有关规定进行严肃处理，并追究相应的民事责任、行政责任，涉嫌犯罪的移送司法机关处理；对于基金机构、个人及被投企业的违规违纪行为，将记入太仓征信体系。</w:t>
      </w:r>
    </w:p>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第九章</w:t>
      </w:r>
      <w:r>
        <w:rPr>
          <w:rFonts w:ascii="Times New Roman" w:eastAsia="黑体"/>
          <w:bCs/>
          <w:szCs w:val="32"/>
        </w:rPr>
        <w:t xml:space="preserve"> </w:t>
      </w:r>
      <w:r>
        <w:rPr>
          <w:rFonts w:ascii="Times New Roman" w:eastAsia="黑体"/>
          <w:bCs/>
          <w:szCs w:val="32"/>
        </w:rPr>
        <w:t>激励政策</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第三十一条</w:t>
      </w:r>
      <w:r>
        <w:rPr>
          <w:rFonts w:ascii="Times New Roman" w:eastAsia="仿宋_GB2312"/>
          <w:bCs/>
          <w:szCs w:val="32"/>
        </w:rPr>
        <w:t xml:space="preserve">  </w:t>
      </w:r>
      <w:r>
        <w:rPr>
          <w:rFonts w:ascii="Times New Roman" w:eastAsia="仿宋_GB2312"/>
          <w:bCs/>
          <w:szCs w:val="32"/>
        </w:rPr>
        <w:t>合作子基金、专项子基金从被投资项目退出时，按其对太仓地方贡献的</w:t>
      </w:r>
      <w:r>
        <w:rPr>
          <w:rFonts w:ascii="Times New Roman" w:eastAsia="仿宋_GB2312"/>
          <w:bCs/>
          <w:szCs w:val="32"/>
        </w:rPr>
        <w:t>50%</w:t>
      </w:r>
      <w:r>
        <w:rPr>
          <w:rFonts w:ascii="Times New Roman" w:eastAsia="仿宋_GB2312"/>
          <w:bCs/>
          <w:szCs w:val="32"/>
        </w:rPr>
        <w:t>奖励给除引导基金以外的其他投资人（其他</w:t>
      </w:r>
      <w:r>
        <w:rPr>
          <w:rFonts w:ascii="Times New Roman" w:eastAsia="仿宋_GB2312"/>
          <w:bCs/>
          <w:szCs w:val="32"/>
        </w:rPr>
        <w:t>LP</w:t>
      </w:r>
      <w:r>
        <w:rPr>
          <w:rFonts w:ascii="Times New Roman" w:eastAsia="仿宋_GB2312"/>
          <w:bCs/>
          <w:szCs w:val="32"/>
        </w:rPr>
        <w:t>）；剩余部分奖励给合作子基金管理公司（</w:t>
      </w:r>
      <w:r>
        <w:rPr>
          <w:rFonts w:ascii="Times New Roman" w:eastAsia="仿宋_GB2312"/>
          <w:bCs/>
          <w:szCs w:val="32"/>
        </w:rPr>
        <w:t>GP</w:t>
      </w:r>
      <w:r>
        <w:rPr>
          <w:rFonts w:ascii="Times New Roman" w:eastAsia="仿宋_GB2312"/>
          <w:bCs/>
          <w:szCs w:val="32"/>
        </w:rPr>
        <w:t>）、专项子基金管理公司（</w:t>
      </w:r>
      <w:r>
        <w:rPr>
          <w:rFonts w:ascii="Times New Roman" w:eastAsia="仿宋_GB2312"/>
          <w:bCs/>
          <w:szCs w:val="32"/>
        </w:rPr>
        <w:t>GP</w:t>
      </w:r>
      <w:r>
        <w:rPr>
          <w:rFonts w:ascii="Times New Roman" w:eastAsia="仿宋_GB2312"/>
          <w:bCs/>
          <w:szCs w:val="32"/>
        </w:rPr>
        <w:t>），具体奖励比例根据引导基金管理委员会办公室对其的考评分数计算确定。</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第三十二条</w:t>
      </w:r>
      <w:r>
        <w:rPr>
          <w:rFonts w:ascii="Times New Roman" w:eastAsia="仿宋_GB2312"/>
          <w:bCs/>
          <w:szCs w:val="32"/>
        </w:rPr>
        <w:t xml:space="preserve">  </w:t>
      </w:r>
      <w:r>
        <w:rPr>
          <w:rFonts w:ascii="Times New Roman" w:eastAsia="仿宋_GB2312"/>
          <w:bCs/>
          <w:szCs w:val="32"/>
        </w:rPr>
        <w:t>鼓励合作子基金管理公司（</w:t>
      </w:r>
      <w:r>
        <w:rPr>
          <w:rFonts w:ascii="Times New Roman" w:eastAsia="仿宋_GB2312"/>
          <w:bCs/>
          <w:szCs w:val="32"/>
        </w:rPr>
        <w:t>GP</w:t>
      </w:r>
      <w:r>
        <w:rPr>
          <w:rFonts w:ascii="Times New Roman" w:eastAsia="仿宋_GB2312"/>
          <w:bCs/>
          <w:szCs w:val="32"/>
        </w:rPr>
        <w:t>）、专项子基金管理公司（</w:t>
      </w:r>
      <w:r>
        <w:rPr>
          <w:rFonts w:ascii="Times New Roman" w:eastAsia="仿宋_GB2312"/>
          <w:bCs/>
          <w:szCs w:val="32"/>
        </w:rPr>
        <w:t>GP</w:t>
      </w:r>
      <w:r>
        <w:rPr>
          <w:rFonts w:ascii="Times New Roman" w:eastAsia="仿宋_GB2312"/>
          <w:bCs/>
          <w:szCs w:val="32"/>
        </w:rPr>
        <w:t>）注册在太仓。对公司按其对太仓地方贡献的</w:t>
      </w:r>
      <w:r>
        <w:rPr>
          <w:rFonts w:ascii="Times New Roman" w:eastAsia="仿宋_GB2312"/>
          <w:bCs/>
          <w:szCs w:val="32"/>
        </w:rPr>
        <w:t>100%</w:t>
      </w:r>
      <w:r>
        <w:rPr>
          <w:rFonts w:ascii="Times New Roman" w:eastAsia="仿宋_GB2312"/>
          <w:bCs/>
          <w:szCs w:val="32"/>
        </w:rPr>
        <w:t>奖励；对主要成员（不超过</w:t>
      </w:r>
      <w:r>
        <w:rPr>
          <w:rFonts w:ascii="Times New Roman" w:eastAsia="仿宋_GB2312"/>
          <w:bCs/>
          <w:szCs w:val="32"/>
        </w:rPr>
        <w:t>3</w:t>
      </w:r>
      <w:r>
        <w:rPr>
          <w:rFonts w:ascii="Times New Roman" w:eastAsia="仿宋_GB2312"/>
          <w:bCs/>
          <w:szCs w:val="32"/>
        </w:rPr>
        <w:t>人）按其个人对太仓地方贡献的</w:t>
      </w:r>
      <w:r>
        <w:rPr>
          <w:rFonts w:ascii="Times New Roman" w:eastAsia="仿宋_GB2312"/>
          <w:bCs/>
          <w:szCs w:val="32"/>
        </w:rPr>
        <w:t>100%</w:t>
      </w:r>
      <w:r>
        <w:rPr>
          <w:rFonts w:ascii="Times New Roman" w:eastAsia="仿宋_GB2312"/>
          <w:bCs/>
          <w:szCs w:val="32"/>
        </w:rPr>
        <w:t>奖励（不含股权转让）。</w:t>
      </w:r>
    </w:p>
    <w:p w:rsidR="00AB2287" w:rsidRDefault="00F43D23" w:rsidP="008777C8">
      <w:pPr>
        <w:spacing w:line="520" w:lineRule="exact"/>
        <w:ind w:firstLineChars="200" w:firstLine="630"/>
        <w:rPr>
          <w:rFonts w:ascii="Times New Roman" w:eastAsia="仿宋_GB2312"/>
          <w:bCs/>
          <w:szCs w:val="32"/>
        </w:rPr>
      </w:pPr>
      <w:r>
        <w:rPr>
          <w:rFonts w:ascii="Times New Roman" w:eastAsia="黑体"/>
          <w:bCs/>
          <w:szCs w:val="32"/>
        </w:rPr>
        <w:t>第三十三条</w:t>
      </w:r>
      <w:r>
        <w:rPr>
          <w:rFonts w:ascii="Times New Roman" w:eastAsia="仿宋_GB2312"/>
          <w:bCs/>
          <w:szCs w:val="32"/>
        </w:rPr>
        <w:t xml:space="preserve">  </w:t>
      </w:r>
      <w:r>
        <w:rPr>
          <w:rFonts w:ascii="Times New Roman" w:eastAsia="仿宋_GB2312"/>
          <w:bCs/>
          <w:szCs w:val="32"/>
        </w:rPr>
        <w:t>合作子基金、专项子基金和直投项目除可以享受本办法规定的激励政策外，还可享受国家、省、苏州市明确的相关扶持政策，按就高原则不重复享受。</w:t>
      </w:r>
    </w:p>
    <w:p w:rsidR="008777C8" w:rsidRDefault="008777C8" w:rsidP="008777C8">
      <w:pPr>
        <w:pStyle w:val="a0"/>
      </w:pPr>
    </w:p>
    <w:p w:rsidR="008777C8" w:rsidRPr="008777C8" w:rsidRDefault="008777C8" w:rsidP="008777C8"/>
    <w:p w:rsidR="00AB2287" w:rsidRDefault="00F43D23" w:rsidP="008777C8">
      <w:pPr>
        <w:spacing w:before="312" w:after="312" w:line="520" w:lineRule="exact"/>
        <w:ind w:firstLine="0"/>
        <w:jc w:val="center"/>
        <w:rPr>
          <w:rFonts w:ascii="Times New Roman" w:eastAsia="黑体"/>
          <w:bCs/>
          <w:szCs w:val="32"/>
        </w:rPr>
      </w:pPr>
      <w:r>
        <w:rPr>
          <w:rFonts w:ascii="Times New Roman" w:eastAsia="黑体"/>
          <w:bCs/>
          <w:szCs w:val="32"/>
        </w:rPr>
        <w:t>第十章</w:t>
      </w:r>
      <w:r>
        <w:rPr>
          <w:rFonts w:ascii="Times New Roman" w:eastAsia="黑体"/>
          <w:bCs/>
          <w:szCs w:val="32"/>
        </w:rPr>
        <w:t xml:space="preserve">  </w:t>
      </w:r>
      <w:r>
        <w:rPr>
          <w:rFonts w:ascii="Times New Roman" w:eastAsia="黑体"/>
          <w:bCs/>
          <w:szCs w:val="32"/>
        </w:rPr>
        <w:t>附则</w:t>
      </w:r>
    </w:p>
    <w:p w:rsidR="00AB2287" w:rsidRDefault="00F43D23" w:rsidP="008777C8">
      <w:pPr>
        <w:autoSpaceDE/>
        <w:autoSpaceDN/>
        <w:snapToGrid/>
        <w:spacing w:line="520" w:lineRule="exact"/>
        <w:rPr>
          <w:rFonts w:ascii="Times New Roman" w:eastAsia="仿宋_GB2312"/>
          <w:bCs/>
          <w:szCs w:val="32"/>
        </w:rPr>
      </w:pPr>
      <w:r>
        <w:rPr>
          <w:rFonts w:ascii="Times New Roman" w:eastAsia="黑体"/>
          <w:bCs/>
          <w:szCs w:val="32"/>
        </w:rPr>
        <w:t>第三十四条</w:t>
      </w:r>
      <w:r>
        <w:rPr>
          <w:rFonts w:ascii="Times New Roman" w:eastAsia="仿宋_GB2312"/>
          <w:bCs/>
          <w:szCs w:val="32"/>
        </w:rPr>
        <w:t xml:space="preserve">  </w:t>
      </w:r>
      <w:r>
        <w:rPr>
          <w:rFonts w:ascii="Times New Roman" w:eastAsia="仿宋_GB2312"/>
          <w:bCs/>
          <w:szCs w:val="32"/>
        </w:rPr>
        <w:t>引导基金与中央、省及苏州市基金共同参股发起设立基金的，按照国家、省及苏州市有关规定执行。涉及到对太仓地方贡献奖励资金，按现行财政结算体制市、镇（区）分级负担。</w:t>
      </w:r>
    </w:p>
    <w:p w:rsidR="00AB2287" w:rsidRDefault="00F43D23" w:rsidP="008777C8">
      <w:pPr>
        <w:autoSpaceDE/>
        <w:autoSpaceDN/>
        <w:snapToGrid/>
        <w:spacing w:line="520" w:lineRule="exact"/>
        <w:ind w:firstLineChars="200" w:firstLine="630"/>
        <w:rPr>
          <w:rFonts w:ascii="Times New Roman" w:eastAsia="仿宋_GB2312"/>
          <w:bCs/>
          <w:szCs w:val="32"/>
        </w:rPr>
      </w:pPr>
      <w:r>
        <w:rPr>
          <w:rFonts w:ascii="Times New Roman" w:eastAsia="黑体"/>
          <w:bCs/>
          <w:szCs w:val="32"/>
        </w:rPr>
        <w:t>第三十五条</w:t>
      </w:r>
      <w:r>
        <w:rPr>
          <w:rFonts w:ascii="Times New Roman" w:eastAsia="黑体" w:hint="eastAsia"/>
          <w:bCs/>
          <w:szCs w:val="32"/>
        </w:rPr>
        <w:t xml:space="preserve">  </w:t>
      </w:r>
      <w:r>
        <w:rPr>
          <w:rFonts w:ascii="Times New Roman" w:eastAsia="仿宋_GB2312"/>
          <w:bCs/>
          <w:szCs w:val="32"/>
        </w:rPr>
        <w:t>凡投资决策流程合规的合作子基金、专项子基金、直投项目，后因子基金或项目自身经营、市场变化、经济形式等原因以及其他不可抗力造成的投资损失，涉及的相关部门、单位、镇（区）均不承担相关责任。</w:t>
      </w:r>
    </w:p>
    <w:p w:rsidR="00AB2287" w:rsidRDefault="00F43D23" w:rsidP="008777C8">
      <w:pPr>
        <w:autoSpaceDE/>
        <w:autoSpaceDN/>
        <w:snapToGrid/>
        <w:spacing w:line="520" w:lineRule="exact"/>
        <w:ind w:firstLineChars="200" w:firstLine="630"/>
        <w:rPr>
          <w:rFonts w:ascii="Times New Roman" w:eastAsia="仿宋_GB2312"/>
          <w:bCs/>
          <w:szCs w:val="32"/>
        </w:rPr>
      </w:pPr>
      <w:r>
        <w:rPr>
          <w:rFonts w:ascii="Times New Roman" w:eastAsia="黑体"/>
          <w:bCs/>
          <w:szCs w:val="32"/>
        </w:rPr>
        <w:t>第三十六条</w:t>
      </w:r>
      <w:r>
        <w:rPr>
          <w:rFonts w:ascii="Times New Roman" w:eastAsia="仿宋_GB2312"/>
          <w:bCs/>
          <w:szCs w:val="32"/>
        </w:rPr>
        <w:t xml:space="preserve">  </w:t>
      </w:r>
      <w:r>
        <w:rPr>
          <w:rFonts w:ascii="Times New Roman" w:eastAsia="仿宋_GB2312"/>
          <w:bCs/>
          <w:szCs w:val="32"/>
        </w:rPr>
        <w:t>本办法由引导基金管理委员会办公室负责解释。</w:t>
      </w:r>
    </w:p>
    <w:p w:rsidR="00AB2287" w:rsidRDefault="00F43D23" w:rsidP="008777C8">
      <w:pPr>
        <w:spacing w:line="520" w:lineRule="exact"/>
        <w:ind w:firstLineChars="200" w:firstLine="630"/>
        <w:rPr>
          <w:rFonts w:ascii="Times New Roman" w:eastAsia="仿宋_GB2312"/>
        </w:rPr>
      </w:pPr>
      <w:r>
        <w:rPr>
          <w:rFonts w:ascii="Times New Roman" w:eastAsia="黑体"/>
          <w:bCs/>
          <w:szCs w:val="32"/>
        </w:rPr>
        <w:t>第三十七条</w:t>
      </w:r>
      <w:r>
        <w:rPr>
          <w:rFonts w:ascii="Times New Roman" w:eastAsia="仿宋_GB2312"/>
          <w:bCs/>
          <w:szCs w:val="32"/>
        </w:rPr>
        <w:t xml:space="preserve">  </w:t>
      </w:r>
      <w:r>
        <w:rPr>
          <w:rFonts w:ascii="Times New Roman" w:eastAsia="仿宋_GB2312"/>
          <w:bCs/>
          <w:szCs w:val="32"/>
        </w:rPr>
        <w:t>本办法自发布之日起施行。原《太仓市产业引导基金管理办法（试行）》（太政发〔</w:t>
      </w:r>
      <w:r>
        <w:rPr>
          <w:rFonts w:ascii="Times New Roman" w:eastAsia="仿宋_GB2312"/>
          <w:bCs/>
          <w:szCs w:val="32"/>
        </w:rPr>
        <w:t>2020</w:t>
      </w:r>
      <w:r>
        <w:rPr>
          <w:rFonts w:ascii="Times New Roman" w:eastAsia="仿宋_GB2312"/>
          <w:bCs/>
          <w:szCs w:val="32"/>
        </w:rPr>
        <w:t>〕</w:t>
      </w:r>
      <w:r>
        <w:rPr>
          <w:rFonts w:ascii="Times New Roman" w:eastAsia="仿宋_GB2312"/>
          <w:bCs/>
          <w:szCs w:val="32"/>
        </w:rPr>
        <w:t>52</w:t>
      </w:r>
      <w:r>
        <w:rPr>
          <w:rFonts w:ascii="Times New Roman" w:eastAsia="仿宋_GB2312"/>
          <w:bCs/>
          <w:szCs w:val="32"/>
        </w:rPr>
        <w:t>号）停止执行。</w:t>
      </w:r>
    </w:p>
    <w:p w:rsidR="00AB2287" w:rsidRDefault="00AB2287" w:rsidP="00AB2287">
      <w:pPr>
        <w:pStyle w:val="af1"/>
        <w:overflowPunct w:val="0"/>
        <w:snapToGrid w:val="0"/>
        <w:spacing w:line="560" w:lineRule="exact"/>
        <w:rPr>
          <w:rFonts w:ascii="Times New Roman"/>
        </w:rPr>
      </w:pPr>
    </w:p>
    <w:p w:rsidR="00AB2287" w:rsidRDefault="00AB2287" w:rsidP="00AB2287">
      <w:pPr>
        <w:pStyle w:val="af1"/>
        <w:overflowPunct w:val="0"/>
        <w:snapToGrid w:val="0"/>
        <w:spacing w:line="560" w:lineRule="exact"/>
        <w:rPr>
          <w:rFonts w:ascii="Times New Roman"/>
        </w:rPr>
      </w:pPr>
    </w:p>
    <w:p w:rsidR="00AB2287" w:rsidRDefault="00AB2287" w:rsidP="00AB2287">
      <w:pPr>
        <w:pStyle w:val="af1"/>
        <w:overflowPunct w:val="0"/>
        <w:snapToGrid w:val="0"/>
        <w:spacing w:line="560" w:lineRule="exact"/>
        <w:rPr>
          <w:rFonts w:ascii="Times New Roman"/>
        </w:rPr>
      </w:pPr>
    </w:p>
    <w:p w:rsidR="00E50160" w:rsidRDefault="00E50160">
      <w:pPr>
        <w:pStyle w:val="af1"/>
        <w:overflowPunct w:val="0"/>
        <w:snapToGrid w:val="0"/>
        <w:spacing w:line="560" w:lineRule="exact"/>
        <w:rPr>
          <w:rFonts w:ascii="Times New Roman"/>
        </w:rPr>
      </w:pPr>
    </w:p>
    <w:p w:rsidR="00E50160" w:rsidRDefault="00E50160">
      <w:pPr>
        <w:pStyle w:val="af1"/>
        <w:overflowPunct w:val="0"/>
        <w:snapToGrid w:val="0"/>
        <w:spacing w:line="560" w:lineRule="exact"/>
        <w:rPr>
          <w:rFonts w:ascii="Times New Roman"/>
        </w:rPr>
      </w:pPr>
    </w:p>
    <w:p w:rsidR="00E50160" w:rsidRDefault="00E50160">
      <w:pPr>
        <w:pStyle w:val="af1"/>
        <w:overflowPunct w:val="0"/>
        <w:snapToGrid w:val="0"/>
        <w:spacing w:line="560" w:lineRule="exact"/>
        <w:rPr>
          <w:rFonts w:ascii="Times New Roman"/>
        </w:rPr>
      </w:pPr>
    </w:p>
    <w:p w:rsidR="00E50160" w:rsidRDefault="00E50160">
      <w:pPr>
        <w:pStyle w:val="af1"/>
        <w:overflowPunct w:val="0"/>
        <w:snapToGrid w:val="0"/>
        <w:spacing w:line="560" w:lineRule="exact"/>
        <w:rPr>
          <w:rFonts w:ascii="Times New Roman"/>
        </w:rPr>
      </w:pPr>
    </w:p>
    <w:p w:rsidR="00465C4F" w:rsidRPr="00A729A9" w:rsidRDefault="00465C4F" w:rsidP="00465C4F">
      <w:pPr>
        <w:pStyle w:val="ad"/>
        <w:tabs>
          <w:tab w:val="left" w:pos="1588"/>
        </w:tabs>
        <w:spacing w:line="580" w:lineRule="exact"/>
        <w:ind w:firstLine="0"/>
        <w:jc w:val="left"/>
        <w:rPr>
          <w:rFonts w:ascii="Times New Roman" w:eastAsia="仿宋_GB231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465C4F" w:rsidRPr="00A729A9" w:rsidTr="007829D3">
        <w:trPr>
          <w:cantSplit/>
        </w:trPr>
        <w:tc>
          <w:tcPr>
            <w:tcW w:w="8820" w:type="dxa"/>
            <w:tcBorders>
              <w:top w:val="single" w:sz="12" w:space="0" w:color="auto"/>
              <w:left w:val="nil"/>
              <w:right w:val="nil"/>
            </w:tcBorders>
          </w:tcPr>
          <w:p w:rsidR="00465C4F" w:rsidRDefault="00465C4F" w:rsidP="007829D3">
            <w:pPr>
              <w:pStyle w:val="af1"/>
              <w:overflowPunct w:val="0"/>
              <w:snapToGrid w:val="0"/>
              <w:spacing w:line="360" w:lineRule="exact"/>
              <w:ind w:left="1078" w:hangingChars="392" w:hanging="1078"/>
              <w:rPr>
                <w:rFonts w:ascii="Times New Roman" w:eastAsia="仿宋_GB2312"/>
                <w:b w:val="0"/>
                <w:spacing w:val="-6"/>
                <w:sz w:val="28"/>
                <w:szCs w:val="28"/>
              </w:rPr>
            </w:pPr>
            <w:r w:rsidRPr="00A729A9">
              <w:rPr>
                <w:rFonts w:ascii="Times New Roman" w:eastAsia="仿宋_GB2312"/>
                <w:b w:val="0"/>
                <w:sz w:val="28"/>
                <w:szCs w:val="28"/>
              </w:rPr>
              <w:t>抄送：</w:t>
            </w:r>
            <w:r w:rsidRPr="00A729A9">
              <w:rPr>
                <w:rFonts w:ascii="Times New Roman" w:eastAsia="仿宋_GB2312"/>
                <w:b w:val="0"/>
                <w:spacing w:val="-6"/>
                <w:sz w:val="28"/>
                <w:szCs w:val="28"/>
              </w:rPr>
              <w:t>市委各部委办局，市人大常委会办公室，市政协办公室，市监委、</w:t>
            </w:r>
          </w:p>
          <w:p w:rsidR="00465C4F" w:rsidRDefault="00465C4F" w:rsidP="007829D3">
            <w:pPr>
              <w:pStyle w:val="af1"/>
              <w:overflowPunct w:val="0"/>
              <w:snapToGrid w:val="0"/>
              <w:spacing w:line="360" w:lineRule="exact"/>
              <w:ind w:left="1031" w:hangingChars="392" w:hanging="1031"/>
              <w:rPr>
                <w:rFonts w:ascii="Times New Roman" w:eastAsia="仿宋_GB2312"/>
                <w:b w:val="0"/>
                <w:sz w:val="28"/>
                <w:szCs w:val="28"/>
              </w:rPr>
            </w:pPr>
            <w:r>
              <w:rPr>
                <w:rFonts w:ascii="Times New Roman" w:eastAsia="仿宋_GB2312" w:hint="eastAsia"/>
                <w:b w:val="0"/>
                <w:spacing w:val="-6"/>
                <w:sz w:val="28"/>
                <w:szCs w:val="28"/>
              </w:rPr>
              <w:t xml:space="preserve">       </w:t>
            </w:r>
            <w:r w:rsidRPr="00A729A9">
              <w:rPr>
                <w:rFonts w:ascii="Times New Roman" w:eastAsia="仿宋_GB2312"/>
                <w:b w:val="0"/>
                <w:spacing w:val="-6"/>
                <w:sz w:val="28"/>
                <w:szCs w:val="28"/>
              </w:rPr>
              <w:t>市法院、检察院，市人武部，市各人民团体。</w:t>
            </w:r>
          </w:p>
        </w:tc>
      </w:tr>
      <w:tr w:rsidR="00465C4F" w:rsidRPr="00A729A9" w:rsidTr="007829D3">
        <w:trPr>
          <w:cantSplit/>
        </w:trPr>
        <w:tc>
          <w:tcPr>
            <w:tcW w:w="8820" w:type="dxa"/>
            <w:tcBorders>
              <w:left w:val="nil"/>
              <w:bottom w:val="single" w:sz="12" w:space="0" w:color="auto"/>
              <w:right w:val="nil"/>
            </w:tcBorders>
          </w:tcPr>
          <w:p w:rsidR="00E50160" w:rsidRDefault="00465C4F">
            <w:pPr>
              <w:pStyle w:val="af1"/>
              <w:overflowPunct w:val="0"/>
              <w:snapToGrid w:val="0"/>
              <w:spacing w:line="360" w:lineRule="exact"/>
              <w:rPr>
                <w:rFonts w:ascii="Times New Roman" w:eastAsia="仿宋_GB2312"/>
                <w:b w:val="0"/>
                <w:sz w:val="28"/>
                <w:szCs w:val="28"/>
              </w:rPr>
            </w:pPr>
            <w:r w:rsidRPr="00A729A9">
              <w:rPr>
                <w:rFonts w:ascii="Times New Roman" w:eastAsia="仿宋_GB2312"/>
                <w:b w:val="0"/>
                <w:sz w:val="28"/>
                <w:szCs w:val="28"/>
              </w:rPr>
              <w:t>太仓市人民政府办公室</w:t>
            </w:r>
            <w:r w:rsidRPr="00A729A9">
              <w:rPr>
                <w:rFonts w:ascii="Times New Roman" w:eastAsia="仿宋_GB2312"/>
                <w:b w:val="0"/>
                <w:sz w:val="28"/>
                <w:szCs w:val="28"/>
              </w:rPr>
              <w:t xml:space="preserve">              </w:t>
            </w:r>
            <w:r>
              <w:rPr>
                <w:rFonts w:ascii="Times New Roman" w:eastAsia="仿宋_GB2312" w:hint="eastAsia"/>
                <w:b w:val="0"/>
                <w:sz w:val="28"/>
                <w:szCs w:val="28"/>
              </w:rPr>
              <w:t xml:space="preserve">    </w:t>
            </w:r>
            <w:r w:rsidRPr="00A729A9">
              <w:rPr>
                <w:rFonts w:ascii="Times New Roman" w:eastAsia="仿宋_GB2312"/>
                <w:b w:val="0"/>
                <w:sz w:val="28"/>
                <w:szCs w:val="28"/>
              </w:rPr>
              <w:t xml:space="preserve">      202</w:t>
            </w:r>
            <w:r>
              <w:rPr>
                <w:rFonts w:ascii="Times New Roman" w:eastAsia="仿宋_GB2312"/>
                <w:b w:val="0"/>
                <w:sz w:val="28"/>
                <w:szCs w:val="28"/>
              </w:rPr>
              <w:t>1</w:t>
            </w:r>
            <w:r w:rsidRPr="00A729A9">
              <w:rPr>
                <w:rFonts w:ascii="Times New Roman" w:eastAsia="仿宋_GB2312"/>
                <w:b w:val="0"/>
                <w:sz w:val="28"/>
                <w:szCs w:val="28"/>
              </w:rPr>
              <w:t>年</w:t>
            </w:r>
            <w:r>
              <w:rPr>
                <w:rFonts w:ascii="Times New Roman" w:eastAsia="仿宋_GB2312" w:hint="eastAsia"/>
                <w:b w:val="0"/>
                <w:sz w:val="28"/>
                <w:szCs w:val="28"/>
              </w:rPr>
              <w:t>5</w:t>
            </w:r>
            <w:r w:rsidRPr="00A729A9">
              <w:rPr>
                <w:rFonts w:ascii="Times New Roman" w:eastAsia="仿宋_GB2312"/>
                <w:b w:val="0"/>
                <w:sz w:val="28"/>
                <w:szCs w:val="28"/>
              </w:rPr>
              <w:t>月</w:t>
            </w:r>
            <w:r>
              <w:rPr>
                <w:rFonts w:ascii="Times New Roman" w:eastAsia="仿宋_GB2312" w:hint="eastAsia"/>
                <w:b w:val="0"/>
                <w:sz w:val="28"/>
                <w:szCs w:val="28"/>
              </w:rPr>
              <w:t>31</w:t>
            </w:r>
            <w:r w:rsidRPr="00A729A9">
              <w:rPr>
                <w:rFonts w:ascii="Times New Roman" w:eastAsia="仿宋_GB2312"/>
                <w:b w:val="0"/>
                <w:sz w:val="28"/>
                <w:szCs w:val="28"/>
              </w:rPr>
              <w:t>日印发</w:t>
            </w:r>
          </w:p>
        </w:tc>
      </w:tr>
    </w:tbl>
    <w:p w:rsidR="00465C4F" w:rsidRPr="00A729A9" w:rsidRDefault="00465C4F" w:rsidP="00465C4F">
      <w:pPr>
        <w:pStyle w:val="af1"/>
        <w:overflowPunct w:val="0"/>
        <w:snapToGrid w:val="0"/>
        <w:spacing w:line="20" w:lineRule="exact"/>
        <w:rPr>
          <w:rFonts w:ascii="Times New Roman"/>
          <w:b w:val="0"/>
        </w:rPr>
      </w:pPr>
    </w:p>
    <w:p w:rsidR="00AB2287" w:rsidRPr="00465C4F" w:rsidRDefault="00AB2287" w:rsidP="00465C4F">
      <w:pPr>
        <w:pStyle w:val="af1"/>
        <w:overflowPunct w:val="0"/>
        <w:snapToGrid w:val="0"/>
        <w:spacing w:line="20" w:lineRule="exact"/>
        <w:rPr>
          <w:rFonts w:ascii="Times New Roman"/>
        </w:rPr>
      </w:pPr>
    </w:p>
    <w:sectPr w:rsidR="00AB2287" w:rsidRPr="00465C4F" w:rsidSect="00C556FE">
      <w:footerReference w:type="default" r:id="rId8"/>
      <w:pgSz w:w="11906" w:h="16838"/>
      <w:pgMar w:top="1814" w:right="1531" w:bottom="1985" w:left="1531" w:header="851" w:footer="1474" w:gutter="0"/>
      <w:pgNumType w:start="1"/>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56FE" w:rsidRDefault="00F43D23">
      <w:pPr>
        <w:spacing w:line="240" w:lineRule="auto"/>
      </w:pPr>
      <w:r>
        <w:separator/>
      </w:r>
    </w:p>
  </w:endnote>
  <w:endnote w:type="continuationSeparator" w:id="1">
    <w:p w:rsidR="00C556FE" w:rsidRDefault="00F43D2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modern"/>
    <w:pitch w:val="default"/>
    <w:sig w:usb0="00000000" w:usb1="00000000" w:usb2="00000000" w:usb3="00000000" w:csb0="00000000"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大宋">
    <w:altName w:val="宋体"/>
    <w:charset w:val="86"/>
    <w:family w:val="modern"/>
    <w:pitch w:val="default"/>
    <w:sig w:usb0="00000000" w:usb1="00000000" w:usb2="00000010" w:usb3="00000000" w:csb0="00040000" w:csb1="00000000"/>
  </w:font>
  <w:font w:name="汉鼎简黑体">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6FE" w:rsidRDefault="00F43D23">
    <w:pPr>
      <w:pStyle w:val="a6"/>
      <w:rPr>
        <w:rFonts w:ascii="Times New Roman" w:hAnsi="Times New Roman"/>
      </w:rPr>
    </w:pPr>
    <w:r>
      <w:rPr>
        <w:rFonts w:ascii="Times New Roman" w:hAnsi="Times New Roman"/>
      </w:rPr>
      <w:t xml:space="preserve">— </w:t>
    </w:r>
    <w:r w:rsidR="00E50160">
      <w:rPr>
        <w:rFonts w:ascii="Times New Roman" w:hAnsi="Times New Roman"/>
      </w:rPr>
      <w:fldChar w:fldCharType="begin"/>
    </w:r>
    <w:r>
      <w:rPr>
        <w:rStyle w:val="a8"/>
        <w:rFonts w:ascii="Times New Roman" w:hAnsi="Times New Roman"/>
      </w:rPr>
      <w:instrText xml:space="preserve"> PAGE </w:instrText>
    </w:r>
    <w:r w:rsidR="00E50160">
      <w:rPr>
        <w:rFonts w:ascii="Times New Roman" w:hAnsi="Times New Roman"/>
      </w:rPr>
      <w:fldChar w:fldCharType="separate"/>
    </w:r>
    <w:r w:rsidR="009D046E">
      <w:rPr>
        <w:rStyle w:val="a8"/>
        <w:rFonts w:ascii="Times New Roman" w:hAnsi="Times New Roman"/>
        <w:noProof/>
      </w:rPr>
      <w:t>15</w:t>
    </w:r>
    <w:r w:rsidR="00E50160">
      <w:rPr>
        <w:rFonts w:ascii="Times New Roman" w:hAnsi="Times New Roman"/>
      </w:rPr>
      <w:fldChar w:fldCharType="end"/>
    </w:r>
    <w:r>
      <w:rPr>
        <w:rFonts w:ascii="Times New Roman"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56FE" w:rsidRDefault="00F43D23">
      <w:pPr>
        <w:spacing w:line="240" w:lineRule="auto"/>
      </w:pPr>
      <w:r>
        <w:separator/>
      </w:r>
    </w:p>
  </w:footnote>
  <w:footnote w:type="continuationSeparator" w:id="1">
    <w:p w:rsidR="00C556FE" w:rsidRDefault="00F43D2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attachedTemplate r:id="rId1"/>
  <w:trackRevision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compat>
  <w:rsids>
    <w:rsidRoot w:val="6FE46DAD"/>
    <w:rsid w:val="00000D19"/>
    <w:rsid w:val="00003841"/>
    <w:rsid w:val="00081671"/>
    <w:rsid w:val="000D3AA4"/>
    <w:rsid w:val="001021A3"/>
    <w:rsid w:val="00102DF7"/>
    <w:rsid w:val="00112728"/>
    <w:rsid w:val="00122C9F"/>
    <w:rsid w:val="001A571D"/>
    <w:rsid w:val="002930B6"/>
    <w:rsid w:val="003023FC"/>
    <w:rsid w:val="003304E1"/>
    <w:rsid w:val="00365C1A"/>
    <w:rsid w:val="00385E1B"/>
    <w:rsid w:val="00423CBB"/>
    <w:rsid w:val="00443EAB"/>
    <w:rsid w:val="00447723"/>
    <w:rsid w:val="00452798"/>
    <w:rsid w:val="004631A1"/>
    <w:rsid w:val="00463453"/>
    <w:rsid w:val="00465C4F"/>
    <w:rsid w:val="004A5E94"/>
    <w:rsid w:val="004B7D21"/>
    <w:rsid w:val="00506B71"/>
    <w:rsid w:val="005110E9"/>
    <w:rsid w:val="005B2DEB"/>
    <w:rsid w:val="005D4F62"/>
    <w:rsid w:val="006131E7"/>
    <w:rsid w:val="00615B05"/>
    <w:rsid w:val="006663F1"/>
    <w:rsid w:val="00681CD0"/>
    <w:rsid w:val="00692939"/>
    <w:rsid w:val="006E0540"/>
    <w:rsid w:val="006F21AC"/>
    <w:rsid w:val="006F5F5E"/>
    <w:rsid w:val="00720F2E"/>
    <w:rsid w:val="00723E52"/>
    <w:rsid w:val="00744461"/>
    <w:rsid w:val="00764BA1"/>
    <w:rsid w:val="007726EF"/>
    <w:rsid w:val="00774593"/>
    <w:rsid w:val="007A417A"/>
    <w:rsid w:val="007C0B84"/>
    <w:rsid w:val="007C77FD"/>
    <w:rsid w:val="007D2FF7"/>
    <w:rsid w:val="007F6318"/>
    <w:rsid w:val="00837743"/>
    <w:rsid w:val="008424AA"/>
    <w:rsid w:val="0086406E"/>
    <w:rsid w:val="008777C8"/>
    <w:rsid w:val="00891C1C"/>
    <w:rsid w:val="0090290D"/>
    <w:rsid w:val="009154B8"/>
    <w:rsid w:val="00947613"/>
    <w:rsid w:val="00993D60"/>
    <w:rsid w:val="009C1E29"/>
    <w:rsid w:val="009C6D7E"/>
    <w:rsid w:val="009D046E"/>
    <w:rsid w:val="009D2441"/>
    <w:rsid w:val="009D405C"/>
    <w:rsid w:val="009D40E0"/>
    <w:rsid w:val="009D4655"/>
    <w:rsid w:val="009F5851"/>
    <w:rsid w:val="00A176E9"/>
    <w:rsid w:val="00A530BE"/>
    <w:rsid w:val="00A91AC5"/>
    <w:rsid w:val="00AA52BA"/>
    <w:rsid w:val="00AA7FA6"/>
    <w:rsid w:val="00AB2287"/>
    <w:rsid w:val="00AF289D"/>
    <w:rsid w:val="00B737CD"/>
    <w:rsid w:val="00B82947"/>
    <w:rsid w:val="00B839BD"/>
    <w:rsid w:val="00B909C5"/>
    <w:rsid w:val="00BC1586"/>
    <w:rsid w:val="00BF23D4"/>
    <w:rsid w:val="00C30F6D"/>
    <w:rsid w:val="00C556FE"/>
    <w:rsid w:val="00C64067"/>
    <w:rsid w:val="00C64242"/>
    <w:rsid w:val="00D144E1"/>
    <w:rsid w:val="00D35EE3"/>
    <w:rsid w:val="00D53A91"/>
    <w:rsid w:val="00D707F0"/>
    <w:rsid w:val="00D72867"/>
    <w:rsid w:val="00DA311A"/>
    <w:rsid w:val="00DB52DE"/>
    <w:rsid w:val="00DC4E10"/>
    <w:rsid w:val="00DE6BB2"/>
    <w:rsid w:val="00DF7192"/>
    <w:rsid w:val="00E206FC"/>
    <w:rsid w:val="00E50160"/>
    <w:rsid w:val="00EB2056"/>
    <w:rsid w:val="00ED33AE"/>
    <w:rsid w:val="00ED55C5"/>
    <w:rsid w:val="00EE0E61"/>
    <w:rsid w:val="00F43D23"/>
    <w:rsid w:val="00F44326"/>
    <w:rsid w:val="00F977BA"/>
    <w:rsid w:val="10740F89"/>
    <w:rsid w:val="30917B40"/>
    <w:rsid w:val="34D503F6"/>
    <w:rsid w:val="42C460DC"/>
    <w:rsid w:val="59815E5C"/>
    <w:rsid w:val="6FE46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rsid w:val="00C556FE"/>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rsid w:val="00C556FE"/>
    <w:pPr>
      <w:keepNext/>
      <w:keepLines/>
      <w:spacing w:before="340" w:after="330" w:line="578" w:lineRule="atLeast"/>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qFormat/>
    <w:rsid w:val="00C556FE"/>
    <w:pPr>
      <w:autoSpaceDE w:val="0"/>
      <w:autoSpaceDN w:val="0"/>
      <w:ind w:firstLine="200"/>
      <w:jc w:val="both"/>
    </w:pPr>
    <w:rPr>
      <w:rFonts w:ascii="宋体"/>
      <w:sz w:val="21"/>
      <w:szCs w:val="22"/>
    </w:rPr>
  </w:style>
  <w:style w:type="paragraph" w:styleId="a4">
    <w:name w:val="Normal Indent"/>
    <w:basedOn w:val="a"/>
    <w:next w:val="a"/>
    <w:qFormat/>
    <w:rsid w:val="00C556FE"/>
    <w:pPr>
      <w:adjustRightInd w:val="0"/>
      <w:snapToGrid/>
      <w:ind w:firstLine="0"/>
      <w:jc w:val="left"/>
    </w:pPr>
    <w:rPr>
      <w:spacing w:val="-25"/>
    </w:rPr>
  </w:style>
  <w:style w:type="paragraph" w:styleId="a5">
    <w:name w:val="Balloon Text"/>
    <w:basedOn w:val="a"/>
    <w:semiHidden/>
    <w:qFormat/>
    <w:rsid w:val="00C556FE"/>
    <w:rPr>
      <w:sz w:val="18"/>
      <w:szCs w:val="18"/>
    </w:rPr>
  </w:style>
  <w:style w:type="paragraph" w:styleId="a6">
    <w:name w:val="footer"/>
    <w:basedOn w:val="a"/>
    <w:qFormat/>
    <w:rsid w:val="00C556FE"/>
    <w:pPr>
      <w:tabs>
        <w:tab w:val="center" w:pos="4153"/>
        <w:tab w:val="right" w:pos="8306"/>
      </w:tabs>
      <w:spacing w:line="400" w:lineRule="atLeast"/>
      <w:ind w:firstLine="0"/>
      <w:jc w:val="center"/>
    </w:pPr>
    <w:rPr>
      <w:rFonts w:ascii="宋体" w:eastAsia="宋体" w:hAnsi="宋体"/>
      <w:sz w:val="28"/>
    </w:rPr>
  </w:style>
  <w:style w:type="paragraph" w:styleId="a7">
    <w:name w:val="header"/>
    <w:basedOn w:val="a"/>
    <w:qFormat/>
    <w:rsid w:val="00C556FE"/>
    <w:pPr>
      <w:pBdr>
        <w:bottom w:val="single" w:sz="6" w:space="1" w:color="auto"/>
      </w:pBdr>
      <w:tabs>
        <w:tab w:val="center" w:pos="4153"/>
        <w:tab w:val="right" w:pos="8306"/>
      </w:tabs>
      <w:spacing w:line="240" w:lineRule="atLeast"/>
      <w:jc w:val="center"/>
    </w:pPr>
    <w:rPr>
      <w:sz w:val="18"/>
    </w:rPr>
  </w:style>
  <w:style w:type="character" w:styleId="a8">
    <w:name w:val="page number"/>
    <w:basedOn w:val="a1"/>
    <w:qFormat/>
    <w:rsid w:val="00C556FE"/>
  </w:style>
  <w:style w:type="paragraph" w:customStyle="1" w:styleId="2">
    <w:name w:val="标题2"/>
    <w:basedOn w:val="a"/>
    <w:next w:val="a"/>
    <w:qFormat/>
    <w:rsid w:val="00C556FE"/>
    <w:pPr>
      <w:ind w:firstLine="0"/>
      <w:jc w:val="center"/>
    </w:pPr>
    <w:rPr>
      <w:rFonts w:ascii="汉鼎简楷体" w:eastAsia="汉鼎简楷体" w:hAnsi="Book Antiqua"/>
    </w:rPr>
  </w:style>
  <w:style w:type="paragraph" w:customStyle="1" w:styleId="10">
    <w:name w:val="标题1"/>
    <w:basedOn w:val="a"/>
    <w:next w:val="a"/>
    <w:qFormat/>
    <w:rsid w:val="00C556FE"/>
    <w:pPr>
      <w:tabs>
        <w:tab w:val="left" w:pos="9193"/>
        <w:tab w:val="left" w:pos="9827"/>
      </w:tabs>
      <w:spacing w:line="700" w:lineRule="atLeast"/>
      <w:ind w:firstLine="0"/>
      <w:jc w:val="center"/>
    </w:pPr>
    <w:rPr>
      <w:rFonts w:ascii="汉鼎简大宋" w:eastAsia="汉鼎简大宋"/>
      <w:sz w:val="44"/>
    </w:rPr>
  </w:style>
  <w:style w:type="paragraph" w:customStyle="1" w:styleId="a9">
    <w:name w:val="印数"/>
    <w:basedOn w:val="aa"/>
    <w:qFormat/>
    <w:rsid w:val="00C556FE"/>
    <w:pPr>
      <w:jc w:val="right"/>
    </w:pPr>
  </w:style>
  <w:style w:type="paragraph" w:customStyle="1" w:styleId="aa">
    <w:name w:val="印发栏"/>
    <w:basedOn w:val="a4"/>
    <w:qFormat/>
    <w:rsid w:val="00C556FE"/>
    <w:pPr>
      <w:tabs>
        <w:tab w:val="left" w:pos="284"/>
        <w:tab w:val="left" w:pos="5387"/>
      </w:tabs>
      <w:spacing w:line="397" w:lineRule="atLeast"/>
    </w:pPr>
    <w:rPr>
      <w:spacing w:val="0"/>
      <w:sz w:val="28"/>
    </w:rPr>
  </w:style>
  <w:style w:type="paragraph" w:customStyle="1" w:styleId="ab">
    <w:name w:val="紧急程度"/>
    <w:basedOn w:val="ac"/>
    <w:qFormat/>
    <w:rsid w:val="00C556FE"/>
    <w:pPr>
      <w:spacing w:line="397" w:lineRule="atLeast"/>
    </w:pPr>
    <w:rPr>
      <w:rFonts w:ascii="汉鼎简黑体" w:eastAsia="汉鼎简黑体" w:hAnsi="汉鼎简黑体"/>
      <w:sz w:val="32"/>
    </w:rPr>
  </w:style>
  <w:style w:type="paragraph" w:customStyle="1" w:styleId="ac">
    <w:name w:val="密级"/>
    <w:basedOn w:val="a"/>
    <w:qFormat/>
    <w:rsid w:val="00C556FE"/>
    <w:pPr>
      <w:adjustRightInd w:val="0"/>
      <w:snapToGrid/>
      <w:spacing w:line="425" w:lineRule="atLeast"/>
      <w:ind w:firstLine="0"/>
      <w:jc w:val="right"/>
    </w:pPr>
    <w:rPr>
      <w:rFonts w:ascii="黑体" w:eastAsia="黑体"/>
      <w:sz w:val="30"/>
    </w:rPr>
  </w:style>
  <w:style w:type="paragraph" w:customStyle="1" w:styleId="ad">
    <w:name w:val="附件栏"/>
    <w:basedOn w:val="a"/>
    <w:qFormat/>
    <w:rsid w:val="00C556FE"/>
  </w:style>
  <w:style w:type="paragraph" w:customStyle="1" w:styleId="ae">
    <w:name w:val="红线"/>
    <w:basedOn w:val="1"/>
    <w:qFormat/>
    <w:rsid w:val="00C556FE"/>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3">
    <w:name w:val="标题3"/>
    <w:basedOn w:val="a"/>
    <w:next w:val="a"/>
    <w:qFormat/>
    <w:rsid w:val="00C556FE"/>
    <w:rPr>
      <w:rFonts w:ascii="汉鼎简黑体" w:eastAsia="汉鼎简黑体"/>
    </w:rPr>
  </w:style>
  <w:style w:type="paragraph" w:customStyle="1" w:styleId="af">
    <w:name w:val="线型"/>
    <w:basedOn w:val="af0"/>
    <w:qFormat/>
    <w:rsid w:val="00C556FE"/>
    <w:pPr>
      <w:spacing w:line="240" w:lineRule="auto"/>
      <w:ind w:left="0" w:firstLine="0"/>
      <w:jc w:val="center"/>
    </w:pPr>
    <w:rPr>
      <w:sz w:val="21"/>
    </w:rPr>
  </w:style>
  <w:style w:type="paragraph" w:customStyle="1" w:styleId="af0">
    <w:name w:val="抄送栏"/>
    <w:basedOn w:val="a"/>
    <w:qFormat/>
    <w:rsid w:val="00C556FE"/>
    <w:pPr>
      <w:adjustRightInd w:val="0"/>
      <w:snapToGrid/>
      <w:spacing w:line="454" w:lineRule="atLeast"/>
      <w:ind w:left="851" w:hanging="851"/>
    </w:pPr>
    <w:rPr>
      <w:sz w:val="28"/>
    </w:rPr>
  </w:style>
  <w:style w:type="paragraph" w:customStyle="1" w:styleId="af1">
    <w:name w:val="主题词"/>
    <w:basedOn w:val="a"/>
    <w:qFormat/>
    <w:rsid w:val="00C556FE"/>
    <w:pPr>
      <w:adjustRightInd w:val="0"/>
      <w:snapToGrid/>
      <w:spacing w:line="240" w:lineRule="atLeast"/>
      <w:ind w:firstLine="0"/>
      <w:jc w:val="left"/>
    </w:pPr>
    <w:rPr>
      <w:rFonts w:ascii="宋体" w:eastAsia="宋体"/>
      <w:b/>
    </w:rPr>
  </w:style>
  <w:style w:type="paragraph" w:customStyle="1" w:styleId="af2">
    <w:name w:val="文头"/>
    <w:basedOn w:val="a"/>
    <w:qFormat/>
    <w:rsid w:val="00C556FE"/>
    <w:pPr>
      <w:tabs>
        <w:tab w:val="left" w:pos="6663"/>
      </w:tabs>
      <w:spacing w:after="800" w:line="1500" w:lineRule="atLeast"/>
      <w:ind w:left="511" w:right="227" w:hanging="284"/>
      <w:jc w:val="distribute"/>
    </w:pPr>
    <w:rPr>
      <w:rFonts w:ascii="汉鼎简大宋" w:eastAsia="汉鼎简大宋"/>
      <w:b/>
      <w:color w:val="FF0000"/>
      <w:w w:val="62"/>
      <w:sz w:val="14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457;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太政发2020.wpt</Template>
  <TotalTime>23</TotalTime>
  <Pages>15</Pages>
  <Words>1124</Words>
  <Characters>6410</Characters>
  <Application>Microsoft Office Word</Application>
  <DocSecurity>0</DocSecurity>
  <Lines>53</Lines>
  <Paragraphs>15</Paragraphs>
  <ScaleCrop>false</ScaleCrop>
  <Company>Microsoft</Company>
  <LinksUpToDate>false</LinksUpToDate>
  <CharactersWithSpaces>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华浩春</cp:lastModifiedBy>
  <cp:revision>8</cp:revision>
  <cp:lastPrinted>2020-04-07T10:08:00Z</cp:lastPrinted>
  <dcterms:created xsi:type="dcterms:W3CDTF">2020-01-14T02:26:00Z</dcterms:created>
  <dcterms:modified xsi:type="dcterms:W3CDTF">2021-05-27T08:24:00Z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640C0195A13E42D19BD271E6B6BC1394</vt:lpwstr>
  </property>
</Properties>
</file>