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bCs/>
          <w:color w:val="000000"/>
          <w:szCs w:val="32"/>
        </w:rPr>
      </w:pPr>
      <w:r>
        <w:rPr>
          <w:rFonts w:ascii="黑体" w:hAnsi="黑体" w:eastAsia="黑体"/>
          <w:bCs/>
          <w:color w:val="000000"/>
          <w:kern w:val="0"/>
          <w:sz w:val="32"/>
          <w:szCs w:val="32"/>
        </w:rPr>
        <w:t xml:space="preserve">附件1 </w:t>
      </w:r>
    </w:p>
    <w:p>
      <w:pPr>
        <w:spacing w:line="580" w:lineRule="exact"/>
        <w:jc w:val="center"/>
        <w:rPr>
          <w:rFonts w:ascii="Times New Roman" w:hAnsi="Times New Roman" w:eastAsia="方正小标宋简体"/>
          <w:sz w:val="40"/>
          <w:szCs w:val="36"/>
        </w:rPr>
      </w:pPr>
      <w:r>
        <w:rPr>
          <w:rFonts w:ascii="Times New Roman" w:hAnsi="Times New Roman" w:eastAsia="方正小标宋简体"/>
          <w:sz w:val="40"/>
          <w:szCs w:val="36"/>
        </w:rPr>
        <w:t>太仓市进一步深化对德经贸合作 打造中德中小企业合作示范区</w:t>
      </w:r>
    </w:p>
    <w:p>
      <w:pPr>
        <w:spacing w:after="240" w:afterLines="100" w:line="580" w:lineRule="exact"/>
        <w:jc w:val="center"/>
        <w:rPr>
          <w:rFonts w:ascii="Times New Roman" w:hAnsi="Times New Roman" w:eastAsia="楷体_GB2312"/>
          <w:sz w:val="36"/>
          <w:szCs w:val="32"/>
        </w:rPr>
      </w:pPr>
      <w:r>
        <w:rPr>
          <w:rFonts w:ascii="Times New Roman" w:hAnsi="Times New Roman" w:eastAsia="方正小标宋简体"/>
          <w:sz w:val="40"/>
          <w:szCs w:val="36"/>
        </w:rPr>
        <w:t>“十四五”实施方案</w:t>
      </w:r>
      <w:r>
        <w:rPr>
          <w:rFonts w:ascii="Times New Roman" w:hAnsi="Times New Roman" w:eastAsia="方正小标宋简体"/>
          <w:bCs/>
          <w:color w:val="000000"/>
          <w:kern w:val="0"/>
          <w:sz w:val="40"/>
          <w:szCs w:val="36"/>
        </w:rPr>
        <w:t>主要任务分解表</w:t>
      </w:r>
    </w:p>
    <w:tbl>
      <w:tblPr>
        <w:tblStyle w:val="4"/>
        <w:tblW w:w="14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25"/>
        <w:gridCol w:w="851"/>
        <w:gridCol w:w="1711"/>
        <w:gridCol w:w="1276"/>
        <w:gridCol w:w="1275"/>
        <w:gridCol w:w="1276"/>
        <w:gridCol w:w="1276"/>
        <w:gridCol w:w="207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0" w:type="dxa"/>
            <w:vMerge w:val="restart"/>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序号</w:t>
            </w:r>
          </w:p>
        </w:tc>
        <w:tc>
          <w:tcPr>
            <w:tcW w:w="2225" w:type="dxa"/>
            <w:vMerge w:val="restart"/>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指标名称</w:t>
            </w:r>
          </w:p>
        </w:tc>
        <w:tc>
          <w:tcPr>
            <w:tcW w:w="851" w:type="dxa"/>
            <w:vMerge w:val="restart"/>
            <w:shd w:val="clear" w:color="auto" w:fill="FFFFFF"/>
            <w:noWrap w:val="0"/>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单位</w:t>
            </w:r>
          </w:p>
        </w:tc>
        <w:tc>
          <w:tcPr>
            <w:tcW w:w="8885" w:type="dxa"/>
            <w:gridSpan w:val="6"/>
            <w:shd w:val="clear" w:color="auto" w:fill="FFFFFF"/>
            <w:noWrap w:val="0"/>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目标任务</w:t>
            </w:r>
          </w:p>
        </w:tc>
        <w:tc>
          <w:tcPr>
            <w:tcW w:w="1418" w:type="dxa"/>
            <w:vMerge w:val="restart"/>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dxa"/>
            <w:vMerge w:val="continue"/>
            <w:shd w:val="clear" w:color="auto" w:fill="FFFFFF"/>
            <w:noWrap w:val="0"/>
            <w:vAlign w:val="center"/>
          </w:tcPr>
          <w:p>
            <w:pPr>
              <w:jc w:val="center"/>
              <w:rPr>
                <w:rFonts w:ascii="Times New Roman" w:hAnsi="Times New Roman" w:eastAsia="仿宋_GB2312"/>
                <w:b/>
                <w:color w:val="000000"/>
                <w:szCs w:val="21"/>
              </w:rPr>
            </w:pPr>
          </w:p>
        </w:tc>
        <w:tc>
          <w:tcPr>
            <w:tcW w:w="2225" w:type="dxa"/>
            <w:vMerge w:val="continue"/>
            <w:shd w:val="clear" w:color="auto" w:fill="FFFFFF"/>
            <w:noWrap w:val="0"/>
            <w:vAlign w:val="center"/>
          </w:tcPr>
          <w:p>
            <w:pPr>
              <w:jc w:val="center"/>
              <w:rPr>
                <w:rFonts w:ascii="Times New Roman" w:hAnsi="Times New Roman" w:eastAsia="仿宋_GB2312"/>
                <w:b/>
                <w:color w:val="000000"/>
                <w:szCs w:val="21"/>
              </w:rPr>
            </w:pPr>
          </w:p>
        </w:tc>
        <w:tc>
          <w:tcPr>
            <w:tcW w:w="851" w:type="dxa"/>
            <w:vMerge w:val="continue"/>
            <w:shd w:val="clear" w:color="auto" w:fill="FFFFFF"/>
            <w:noWrap w:val="0"/>
            <w:vAlign w:val="top"/>
          </w:tcPr>
          <w:p>
            <w:pPr>
              <w:jc w:val="center"/>
              <w:rPr>
                <w:rFonts w:ascii="Times New Roman" w:hAnsi="Times New Roman" w:eastAsia="仿宋_GB2312"/>
                <w:b/>
                <w:color w:val="000000"/>
                <w:szCs w:val="21"/>
              </w:rPr>
            </w:pPr>
          </w:p>
        </w:tc>
        <w:tc>
          <w:tcPr>
            <w:tcW w:w="1711" w:type="dxa"/>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2021年</w:t>
            </w:r>
          </w:p>
        </w:tc>
        <w:tc>
          <w:tcPr>
            <w:tcW w:w="1276" w:type="dxa"/>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2022年</w:t>
            </w:r>
          </w:p>
        </w:tc>
        <w:tc>
          <w:tcPr>
            <w:tcW w:w="1275" w:type="dxa"/>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2023年</w:t>
            </w:r>
          </w:p>
        </w:tc>
        <w:tc>
          <w:tcPr>
            <w:tcW w:w="1276" w:type="dxa"/>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2024年</w:t>
            </w:r>
          </w:p>
        </w:tc>
        <w:tc>
          <w:tcPr>
            <w:tcW w:w="1276" w:type="dxa"/>
            <w:shd w:val="clear" w:color="auto" w:fill="FFFFFF"/>
            <w:noWrap w:val="0"/>
            <w:vAlign w:val="center"/>
          </w:tcPr>
          <w:p>
            <w:pPr>
              <w:jc w:val="center"/>
              <w:rPr>
                <w:rFonts w:ascii="Times New Roman" w:hAnsi="Times New Roman" w:eastAsia="仿宋_GB2312"/>
                <w:b/>
                <w:szCs w:val="21"/>
              </w:rPr>
            </w:pPr>
            <w:r>
              <w:rPr>
                <w:rFonts w:ascii="Times New Roman" w:hAnsi="Times New Roman" w:eastAsia="仿宋_GB2312"/>
                <w:b/>
                <w:kern w:val="0"/>
                <w:szCs w:val="21"/>
              </w:rPr>
              <w:t>2025年</w:t>
            </w:r>
          </w:p>
        </w:tc>
        <w:tc>
          <w:tcPr>
            <w:tcW w:w="2071" w:type="dxa"/>
            <w:shd w:val="clear" w:color="auto" w:fill="FFFFFF"/>
            <w:noWrap w:val="0"/>
            <w:vAlign w:val="center"/>
          </w:tcPr>
          <w:p>
            <w:pPr>
              <w:jc w:val="center"/>
              <w:rPr>
                <w:rFonts w:ascii="Times New Roman" w:hAnsi="Times New Roman" w:eastAsia="仿宋_GB2312"/>
                <w:b/>
                <w:color w:val="FFFFFF"/>
                <w:szCs w:val="21"/>
              </w:rPr>
            </w:pPr>
            <w:r>
              <w:rPr>
                <w:rFonts w:ascii="Times New Roman" w:hAnsi="Times New Roman" w:eastAsia="仿宋_GB2312"/>
                <w:b/>
                <w:kern w:val="0"/>
                <w:szCs w:val="21"/>
              </w:rPr>
              <w:t>至2025年</w:t>
            </w:r>
          </w:p>
        </w:tc>
        <w:tc>
          <w:tcPr>
            <w:tcW w:w="1418" w:type="dxa"/>
            <w:vMerge w:val="continue"/>
            <w:shd w:val="clear" w:color="auto" w:fill="FFFFFF"/>
            <w:noWrap w:val="0"/>
            <w:vAlign w:val="top"/>
          </w:tcPr>
          <w:p>
            <w:pPr>
              <w:jc w:val="center"/>
              <w:rPr>
                <w:rFonts w:ascii="Times New Roman" w:hAnsi="Times New Roman" w:eastAsia="仿宋_GB2312"/>
                <w:b/>
                <w:color w:val="FFFF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710" w:type="dxa"/>
            <w:shd w:val="clear" w:color="auto" w:fill="FFFFFF"/>
            <w:noWrap w:val="0"/>
            <w:vAlign w:val="center"/>
          </w:tcPr>
          <w:p>
            <w:pPr>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1</w:t>
            </w:r>
          </w:p>
        </w:tc>
        <w:tc>
          <w:tcPr>
            <w:tcW w:w="222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国家级平台创建</w:t>
            </w:r>
          </w:p>
        </w:tc>
        <w:tc>
          <w:tcPr>
            <w:tcW w:w="851" w:type="dxa"/>
            <w:shd w:val="clear" w:color="auto" w:fill="FFFFFF"/>
            <w:noWrap w:val="0"/>
            <w:vAlign w:val="center"/>
          </w:tcPr>
          <w:p>
            <w:pPr>
              <w:jc w:val="center"/>
              <w:rPr>
                <w:rFonts w:ascii="Times New Roman" w:hAnsi="Times New Roman" w:eastAsia="仿宋_GB2312"/>
                <w:color w:val="000000"/>
                <w:szCs w:val="21"/>
              </w:rPr>
            </w:pPr>
          </w:p>
        </w:tc>
        <w:tc>
          <w:tcPr>
            <w:tcW w:w="171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完成战略规划编制和对上申报，开展对上争取</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示范区获批国家级对德合作平台</w:t>
            </w:r>
          </w:p>
        </w:tc>
        <w:tc>
          <w:tcPr>
            <w:tcW w:w="127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示范区加快建设推进</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示范区加快建设推进</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示范区加快建设推进</w:t>
            </w:r>
          </w:p>
        </w:tc>
        <w:tc>
          <w:tcPr>
            <w:tcW w:w="2071" w:type="dxa"/>
            <w:shd w:val="clear" w:color="auto" w:fill="FFFFFF"/>
            <w:noWrap w:val="0"/>
            <w:vAlign w:val="center"/>
          </w:tcPr>
          <w:p>
            <w:pPr>
              <w:rPr>
                <w:rFonts w:ascii="Times New Roman" w:hAnsi="Times New Roman" w:eastAsia="仿宋_GB2312"/>
                <w:color w:val="000000"/>
                <w:szCs w:val="21"/>
              </w:rPr>
            </w:pPr>
            <w:r>
              <w:rPr>
                <w:rFonts w:ascii="Times New Roman" w:hAnsi="Times New Roman" w:eastAsia="仿宋_GB2312"/>
                <w:color w:val="000000"/>
                <w:szCs w:val="21"/>
              </w:rPr>
              <w:t>示范区基本建成全国对德中小企业合作的示范样板和服务国内国际双循环的重要支点，影响力和辐射带动作用显著提升</w:t>
            </w:r>
          </w:p>
        </w:tc>
        <w:tc>
          <w:tcPr>
            <w:tcW w:w="1418"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发改委、商务局、市各有关部门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0" w:type="dxa"/>
            <w:shd w:val="clear" w:color="auto" w:fill="FFFFFF"/>
            <w:noWrap w:val="0"/>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kern w:val="0"/>
                <w:szCs w:val="21"/>
              </w:rPr>
              <w:t>2</w:t>
            </w:r>
          </w:p>
        </w:tc>
        <w:tc>
          <w:tcPr>
            <w:tcW w:w="222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引进德企</w:t>
            </w:r>
          </w:p>
        </w:tc>
        <w:tc>
          <w:tcPr>
            <w:tcW w:w="85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个</w:t>
            </w:r>
          </w:p>
        </w:tc>
        <w:tc>
          <w:tcPr>
            <w:tcW w:w="171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127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207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超500</w:t>
            </w:r>
          </w:p>
        </w:tc>
        <w:tc>
          <w:tcPr>
            <w:tcW w:w="1418"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招商局、各区镇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0" w:type="dxa"/>
            <w:shd w:val="clear" w:color="auto" w:fill="FFFFFF"/>
            <w:noWrap w:val="0"/>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kern w:val="0"/>
                <w:szCs w:val="21"/>
              </w:rPr>
              <w:t>3</w:t>
            </w:r>
          </w:p>
        </w:tc>
        <w:tc>
          <w:tcPr>
            <w:tcW w:w="222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引进隐形冠军德企</w:t>
            </w:r>
          </w:p>
        </w:tc>
        <w:tc>
          <w:tcPr>
            <w:tcW w:w="85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个</w:t>
            </w:r>
          </w:p>
        </w:tc>
        <w:tc>
          <w:tcPr>
            <w:tcW w:w="171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207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超80</w:t>
            </w:r>
          </w:p>
        </w:tc>
        <w:tc>
          <w:tcPr>
            <w:tcW w:w="1418"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招商局、各区镇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710" w:type="dxa"/>
            <w:shd w:val="clear" w:color="auto" w:fill="FFFFFF"/>
            <w:noWrap w:val="0"/>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kern w:val="0"/>
                <w:szCs w:val="21"/>
              </w:rPr>
              <w:t>4</w:t>
            </w:r>
          </w:p>
        </w:tc>
        <w:tc>
          <w:tcPr>
            <w:tcW w:w="222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引进和培育地区总部、功能性机构</w:t>
            </w:r>
          </w:p>
        </w:tc>
        <w:tc>
          <w:tcPr>
            <w:tcW w:w="85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个</w:t>
            </w:r>
          </w:p>
        </w:tc>
        <w:tc>
          <w:tcPr>
            <w:tcW w:w="171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5"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6"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2071"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超20</w:t>
            </w:r>
          </w:p>
        </w:tc>
        <w:tc>
          <w:tcPr>
            <w:tcW w:w="1418" w:type="dxa"/>
            <w:shd w:val="clear" w:color="auto" w:fill="FFFFFF"/>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商务局、发改委、各区镇</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60251"/>
    <w:rsid w:val="71B6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fight for myself</dc:creator>
  <cp:lastModifiedBy>fight for myself</cp:lastModifiedBy>
  <dcterms:modified xsi:type="dcterms:W3CDTF">2021-07-13T03:15:04Z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29BB26A6F8654C7A91E0E2DCFBAE0CDF</vt:lpwstr>
  </property>
</Properties>
</file>