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spacing w:line="560" w:lineRule="exact"/>
        <w:rPr>
          <w:rFonts w:ascii="仿宋_GB2312"/>
          <w:color w:val="000000"/>
          <w:szCs w:val="32"/>
        </w:rPr>
      </w:pPr>
    </w:p>
    <w:p>
      <w:pPr>
        <w:spacing w:line="600" w:lineRule="exact"/>
        <w:jc w:val="center"/>
        <w:rPr>
          <w:rFonts w:eastAsia="方正小标宋简体"/>
          <w:color w:val="000000" w:themeColor="text1"/>
          <w:sz w:val="44"/>
          <w:szCs w:val="44"/>
          <w14:textFill>
            <w14:solidFill>
              <w14:schemeClr w14:val="tx1"/>
            </w14:solidFill>
          </w14:textFill>
        </w:rPr>
      </w:pPr>
      <w:r>
        <w:rPr>
          <w:rFonts w:eastAsia="方正小标宋简体" w:hint="eastAsia"/>
          <w:color w:val="000000" w:themeColor="text1"/>
          <w:sz w:val="44"/>
          <w:szCs w:val="44"/>
          <w14:textFill>
            <w14:solidFill>
              <w14:schemeClr w14:val="tx1"/>
            </w14:solidFill>
          </w14:textFill>
        </w:rPr>
        <w:t>沙溪镇</w:t>
      </w:r>
      <w:r>
        <w:rPr>
          <w:rFonts w:eastAsia="方正小标宋简体"/>
          <w:color w:val="000000" w:themeColor="text1"/>
          <w:sz w:val="44"/>
          <w:szCs w:val="44"/>
          <w14:textFill>
            <w14:solidFill>
              <w14:schemeClr w14:val="tx1"/>
            </w14:solidFill>
          </w14:textFill>
        </w:rPr>
        <w:t>浦南片区城市更新一期工程</w:t>
      </w:r>
      <w:r>
        <w:rPr>
          <w:rFonts w:eastAsia="方正小标宋简体" w:hint="eastAsia"/>
          <w:color w:val="000000" w:themeColor="text1"/>
          <w:sz w:val="44"/>
          <w:szCs w:val="44"/>
          <w14:textFill>
            <w14:solidFill>
              <w14:schemeClr w14:val="tx1"/>
            </w14:solidFill>
          </w14:textFill>
        </w:rPr>
        <w:t>2号地块改造工程项目房屋征收补偿方案</w:t>
      </w:r>
    </w:p>
    <w:p>
      <w:pPr>
        <w:spacing w:line="600" w:lineRule="exact"/>
        <w:jc w:val="center"/>
        <w:rPr>
          <w:rFonts w:ascii="宋体" w:eastAsia="宋体" w:hAnsi="宋体" w:cs="宋体"/>
          <w:b/>
          <w:sz w:val="44"/>
          <w:szCs w:val="44"/>
        </w:rPr>
      </w:pPr>
    </w:p>
    <w:p>
      <w:pPr>
        <w:spacing w:line="560" w:lineRule="exact"/>
        <w:ind w:firstLine="640" w:firstLineChars="200"/>
        <w:rPr>
          <w:color w:val="000000"/>
          <w:szCs w:val="32"/>
        </w:rPr>
      </w:pPr>
      <w:r>
        <w:rPr>
          <w:color w:val="000000"/>
          <w:szCs w:val="32"/>
        </w:rPr>
        <w:t>根据《国有土地上房屋征收与补偿条例》</w:t>
      </w:r>
      <w:r>
        <w:rPr>
          <w:rFonts w:hint="eastAsia"/>
          <w:color w:val="000000"/>
          <w:szCs w:val="32"/>
        </w:rPr>
        <w:t>、</w:t>
      </w:r>
      <w:r>
        <w:rPr>
          <w:color w:val="000000"/>
          <w:szCs w:val="32"/>
        </w:rPr>
        <w:t>《太仓市国有土地上房屋征收与补偿暂行办法》（太政规〔2011〕11号）</w:t>
      </w:r>
      <w:r>
        <w:rPr>
          <w:rFonts w:hint="eastAsia"/>
          <w:color w:val="000000"/>
          <w:szCs w:val="32"/>
        </w:rPr>
        <w:t>等</w:t>
      </w:r>
      <w:r>
        <w:rPr>
          <w:color w:val="000000"/>
          <w:szCs w:val="32"/>
        </w:rPr>
        <w:t>规定，结合调查登记和采样评估等情况，制定本项目房屋征收补偿方案。</w:t>
      </w:r>
    </w:p>
    <w:p>
      <w:pPr>
        <w:adjustRightInd w:val="0"/>
        <w:spacing w:line="580" w:lineRule="exact"/>
        <w:ind w:firstLine="640" w:firstLineChars="200"/>
        <w:rPr>
          <w:rFonts w:eastAsia="黑体"/>
          <w:color w:val="000000"/>
          <w:szCs w:val="32"/>
        </w:rPr>
      </w:pPr>
      <w:r>
        <w:rPr>
          <w:rFonts w:eastAsia="黑体"/>
          <w:color w:val="000000"/>
          <w:szCs w:val="32"/>
        </w:rPr>
        <w:t>一、征收范围</w:t>
      </w:r>
      <w:bookmarkStart w:id="0" w:name="_GoBack"/>
      <w:bookmarkEnd w:id="0"/>
    </w:p>
    <w:p>
      <w:pPr>
        <w:spacing w:line="536" w:lineRule="exact"/>
        <w:ind w:firstLine="640" w:firstLineChars="200"/>
        <w:rPr>
          <w:szCs w:val="32"/>
        </w:rPr>
      </w:pPr>
      <w:r>
        <w:rPr>
          <w:color w:val="000000" w:themeColor="text1"/>
          <w:szCs w:val="32"/>
          <w14:textFill>
            <w14:solidFill>
              <w14:schemeClr w14:val="tx1"/>
            </w14:solidFill>
          </w14:textFill>
        </w:rPr>
        <w:t>沙溪镇浦南二村80幢101室、102室、202室、402室，81幢101室、102室、201室、401室、402室，83幢504室，84幢101室、102室、103室、104室、105室、106室、201室、204室、206室、301室、304室、305室、401室、402室、403室、404室、503室、504室、505室、506室，85幢102室、301室、401室、402室，86幢401室、501室、502室。</w:t>
      </w:r>
      <w:r>
        <w:rPr>
          <w:szCs w:val="32"/>
        </w:rPr>
        <w:t>上述门牌如有出入，以拟征收范围红线图确定的范围为准。</w:t>
      </w:r>
    </w:p>
    <w:p>
      <w:pPr>
        <w:spacing w:line="560" w:lineRule="exact"/>
        <w:ind w:firstLine="640" w:firstLineChars="200"/>
        <w:rPr>
          <w:szCs w:val="32"/>
        </w:rPr>
      </w:pPr>
      <w:r>
        <w:rPr>
          <w:szCs w:val="32"/>
        </w:rPr>
        <w:t>该项目共计征收住宅37户，面积约0.35万平方米。</w:t>
      </w:r>
    </w:p>
    <w:p>
      <w:pPr>
        <w:adjustRightInd w:val="0"/>
        <w:spacing w:line="580" w:lineRule="exact"/>
        <w:ind w:firstLine="640" w:firstLineChars="200"/>
        <w:rPr>
          <w:rFonts w:eastAsia="黑体"/>
          <w:color w:val="000000"/>
          <w:szCs w:val="32"/>
        </w:rPr>
      </w:pPr>
      <w:r>
        <w:rPr>
          <w:rFonts w:eastAsia="黑体"/>
          <w:color w:val="000000"/>
          <w:szCs w:val="32"/>
        </w:rPr>
        <w:t>二、实施时间</w:t>
      </w:r>
    </w:p>
    <w:p>
      <w:pPr>
        <w:spacing w:line="536" w:lineRule="exact"/>
        <w:ind w:firstLine="640" w:firstLineChars="200"/>
        <w:rPr>
          <w:color w:val="000000"/>
          <w:szCs w:val="32"/>
        </w:rPr>
      </w:pPr>
      <w:r>
        <w:rPr>
          <w:color w:val="000000"/>
          <w:szCs w:val="32"/>
        </w:rPr>
        <w:t>自房屋征收决定公告之日起。</w:t>
      </w:r>
    </w:p>
    <w:p>
      <w:pPr>
        <w:adjustRightInd w:val="0"/>
        <w:spacing w:line="580" w:lineRule="exact"/>
        <w:ind w:firstLine="640" w:firstLineChars="200"/>
        <w:rPr>
          <w:rFonts w:eastAsia="黑体"/>
          <w:color w:val="000000"/>
          <w:szCs w:val="32"/>
        </w:rPr>
      </w:pPr>
      <w:r>
        <w:rPr>
          <w:rFonts w:eastAsia="黑体"/>
          <w:color w:val="000000"/>
          <w:szCs w:val="32"/>
        </w:rPr>
        <w:t>三、征收补偿政策</w:t>
      </w:r>
    </w:p>
    <w:p>
      <w:pPr>
        <w:spacing w:line="536" w:lineRule="exact"/>
        <w:ind w:firstLine="640" w:firstLineChars="200"/>
        <w:rPr>
          <w:color w:val="000000"/>
          <w:szCs w:val="32"/>
        </w:rPr>
      </w:pPr>
      <w:r>
        <w:rPr>
          <w:color w:val="000000"/>
          <w:szCs w:val="32"/>
        </w:rPr>
        <w:t>（一）补偿方式</w:t>
      </w:r>
    </w:p>
    <w:p>
      <w:pPr>
        <w:spacing w:line="560" w:lineRule="exact"/>
        <w:ind w:firstLine="634" w:firstLineChars="198"/>
        <w:rPr>
          <w:color w:val="000000"/>
          <w:szCs w:val="32"/>
        </w:rPr>
      </w:pPr>
      <w:r>
        <w:rPr>
          <w:color w:val="000000"/>
          <w:szCs w:val="32"/>
        </w:rPr>
        <w:t>被征收人可以选择货币补偿，也可以选择产权调换。选择产权调换方式的被征收住宅户，由征收实施单位提供安置房</w:t>
      </w:r>
      <w:r>
        <w:rPr>
          <w:rFonts w:hint="eastAsia"/>
          <w:color w:val="000000"/>
          <w:szCs w:val="32"/>
        </w:rPr>
        <w:t>（现房）</w:t>
      </w:r>
      <w:r>
        <w:rPr>
          <w:color w:val="000000"/>
          <w:szCs w:val="32"/>
        </w:rPr>
        <w:t>。</w:t>
      </w:r>
    </w:p>
    <w:p>
      <w:pPr>
        <w:spacing w:line="560" w:lineRule="exact"/>
        <w:ind w:firstLine="634" w:firstLineChars="198"/>
        <w:rPr>
          <w:color w:val="000000"/>
          <w:szCs w:val="32"/>
        </w:rPr>
      </w:pPr>
      <w:r>
        <w:rPr>
          <w:rFonts w:hint="eastAsia"/>
          <w:color w:val="000000"/>
          <w:szCs w:val="32"/>
        </w:rPr>
        <w:t>被征收人在收到征收实施单位向其送达的《补偿安置方式选择通知书》后，应及时选定补偿方式并书面回复征收实施单位；逾期未作出选择的，由征收实施单位视实际情况确定补偿安置方式。</w:t>
      </w:r>
    </w:p>
    <w:p>
      <w:pPr>
        <w:spacing w:line="536" w:lineRule="exact"/>
        <w:ind w:firstLine="634" w:firstLineChars="198"/>
        <w:rPr>
          <w:color w:val="000000"/>
          <w:szCs w:val="32"/>
        </w:rPr>
      </w:pPr>
      <w:r>
        <w:rPr>
          <w:color w:val="000000"/>
          <w:szCs w:val="32"/>
        </w:rPr>
        <w:t>（二）评估机构的选择方法</w:t>
      </w:r>
    </w:p>
    <w:p>
      <w:pPr>
        <w:pStyle w:val="NormalWeb"/>
        <w:spacing w:before="0" w:beforeAutospacing="0" w:after="0" w:afterAutospacing="0" w:line="550" w:lineRule="atLeast"/>
        <w:ind w:firstLine="640"/>
        <w:jc w:val="both"/>
        <w:rPr>
          <w:rFonts w:ascii="Times New Roman" w:hAnsi="Times New Roman" w:cs="Times New Roman"/>
          <w:sz w:val="32"/>
        </w:rPr>
      </w:pPr>
      <w:r>
        <w:rPr>
          <w:rFonts w:ascii="Times New Roman" w:hAnsi="Times New Roman" w:cs="Times New Roman"/>
          <w:color w:val="000000"/>
          <w:sz w:val="32"/>
          <w:shd w:val="clear" w:color="auto" w:fill="FFFFFF"/>
        </w:rPr>
        <w:t>按照太政规〔2011〕11号文件规定执行。</w:t>
      </w:r>
    </w:p>
    <w:p>
      <w:pPr>
        <w:spacing w:line="536" w:lineRule="exact"/>
        <w:ind w:firstLine="634" w:firstLineChars="198"/>
        <w:rPr>
          <w:color w:val="000000"/>
          <w:szCs w:val="32"/>
        </w:rPr>
      </w:pPr>
      <w:r>
        <w:rPr>
          <w:color w:val="000000"/>
          <w:szCs w:val="32"/>
        </w:rPr>
        <w:t>（三）被征收人对评估报告有异议的处理方法</w:t>
      </w:r>
    </w:p>
    <w:p>
      <w:pPr>
        <w:spacing w:line="536" w:lineRule="exact"/>
        <w:ind w:firstLine="640" w:firstLineChars="200"/>
        <w:rPr>
          <w:szCs w:val="32"/>
        </w:rPr>
      </w:pPr>
      <w:r>
        <w:rPr>
          <w:szCs w:val="32"/>
        </w:rPr>
        <w:t>被征收人对评估报告有疑问的，房地产价格评估机构应当作出解释说明。被征收人对评估结果有异议的，应当自收到评估报告之日起15日内，向房地产价格评估机构申请复核评估。申请复核评估的，应当向原房地产价格评估机构提出书面复核评估申请，并指出评估报告存在的问题。</w:t>
      </w:r>
    </w:p>
    <w:p>
      <w:pPr>
        <w:spacing w:line="536" w:lineRule="exact"/>
        <w:ind w:firstLine="640" w:firstLineChars="200"/>
        <w:rPr>
          <w:szCs w:val="32"/>
        </w:rPr>
      </w:pPr>
      <w:r>
        <w:rPr>
          <w:szCs w:val="32"/>
        </w:rPr>
        <w:t>房地产价格评估机构自收到复核评估申请之日起5日内给予答复。</w:t>
      </w:r>
      <w:r>
        <w:rPr>
          <w:rFonts w:hint="eastAsia"/>
          <w:szCs w:val="32"/>
        </w:rPr>
        <w:t>改变原评估结果的，应当重新出具评估报告；评估结果没有改变的，应当书面告知复核评估申请人。</w:t>
      </w:r>
    </w:p>
    <w:p>
      <w:pPr>
        <w:spacing w:line="536" w:lineRule="exact"/>
        <w:ind w:firstLine="640" w:firstLineChars="200"/>
        <w:rPr>
          <w:color w:val="000000"/>
          <w:szCs w:val="32"/>
        </w:rPr>
      </w:pPr>
      <w:r>
        <w:rPr>
          <w:color w:val="000000"/>
          <w:szCs w:val="32"/>
        </w:rPr>
        <w:t>被征收人对房地产价格评估机构的复核结果有异议的，应当自收到复核结果之日起15日内，向苏州市房地产评估专家委员会申请鉴定</w:t>
      </w:r>
      <w:r>
        <w:rPr>
          <w:rFonts w:hint="eastAsia"/>
          <w:color w:val="000000"/>
          <w:szCs w:val="32"/>
        </w:rPr>
        <w:t>。</w:t>
      </w:r>
    </w:p>
    <w:p>
      <w:pPr>
        <w:spacing w:line="536" w:lineRule="exact"/>
        <w:ind w:firstLine="634" w:firstLineChars="198"/>
        <w:rPr>
          <w:color w:val="000000"/>
          <w:szCs w:val="32"/>
        </w:rPr>
      </w:pPr>
      <w:r>
        <w:rPr>
          <w:color w:val="000000"/>
          <w:szCs w:val="32"/>
        </w:rPr>
        <w:t>被征收房屋价值评估时点为房屋征收决定公告之日。</w:t>
      </w:r>
    </w:p>
    <w:p>
      <w:pPr>
        <w:spacing w:line="536" w:lineRule="exact"/>
        <w:ind w:firstLine="634" w:firstLineChars="198"/>
        <w:rPr>
          <w:color w:val="000000"/>
          <w:szCs w:val="32"/>
        </w:rPr>
      </w:pPr>
      <w:r>
        <w:rPr>
          <w:color w:val="000000"/>
          <w:szCs w:val="32"/>
        </w:rPr>
        <w:t>（四）不履行市政府作出的征收补偿决定的处理方法</w:t>
      </w:r>
    </w:p>
    <w:p>
      <w:pPr>
        <w:spacing w:line="536" w:lineRule="exact"/>
        <w:ind w:firstLine="634" w:firstLineChars="198"/>
        <w:rPr>
          <w:color w:val="000000"/>
          <w:szCs w:val="32"/>
        </w:rPr>
      </w:pPr>
      <w:r>
        <w:rPr>
          <w:color w:val="000000"/>
          <w:szCs w:val="32"/>
        </w:rPr>
        <w:t>房屋征收部门与被征收人在征收补偿方案确定的签约期限内达不成补偿协议的，或者被征收房屋所有权人不明确的，由房屋征收部门报请市政府作出补偿决定，并在房屋征收范围内予以公告。</w:t>
      </w:r>
    </w:p>
    <w:p>
      <w:pPr>
        <w:spacing w:line="536" w:lineRule="exact"/>
        <w:ind w:firstLine="634" w:firstLineChars="198"/>
        <w:rPr>
          <w:color w:val="000000"/>
          <w:szCs w:val="32"/>
        </w:rPr>
      </w:pPr>
      <w:r>
        <w:rPr>
          <w:color w:val="000000"/>
          <w:szCs w:val="32"/>
        </w:rPr>
        <w:t>被征收人对补偿决定不服的，可以依法申请行政复议，也可以依法提起行政诉讼。</w:t>
      </w:r>
    </w:p>
    <w:p>
      <w:pPr>
        <w:spacing w:line="536" w:lineRule="exact"/>
        <w:ind w:firstLine="640" w:firstLineChars="200"/>
        <w:rPr>
          <w:color w:val="000000"/>
          <w:szCs w:val="32"/>
        </w:rPr>
      </w:pPr>
      <w:r>
        <w:rPr>
          <w:color w:val="000000"/>
          <w:szCs w:val="32"/>
        </w:rPr>
        <w:t>被征收人在法定期限内不申请行政复议或者不提起行政诉讼，在补偿决定确定的期限内又不搬迁的，由市政府依法申请人民法院强制执行。</w:t>
      </w:r>
    </w:p>
    <w:p>
      <w:pPr>
        <w:spacing w:line="560" w:lineRule="exact"/>
        <w:ind w:firstLine="640" w:firstLineChars="200"/>
        <w:rPr>
          <w:color w:val="000000"/>
          <w:szCs w:val="32"/>
        </w:rPr>
      </w:pPr>
      <w:r>
        <w:rPr>
          <w:color w:val="000000"/>
          <w:szCs w:val="32"/>
        </w:rPr>
        <w:t>（五）基本居住需求保障及处理方法</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本项目内具有本市户籍居民家庭未享受过住房保障相关政策，且该住宅为家庭唯一住宅的：</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1. 选择货币补偿的，获得的补偿金额低于45平方米房屋安置总价的（45平方米×安置基准价），按45平方米房屋安置总价对该户予以货币补偿，原房屋不再补偿。</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2. 选择产权调换的，安置房60平方米内（含60平方米）互不结价；超过面积按市场价结算。</w:t>
      </w:r>
    </w:p>
    <w:p>
      <w:pPr>
        <w:adjustRightInd w:val="0"/>
        <w:spacing w:line="580" w:lineRule="exact"/>
        <w:ind w:firstLine="640" w:firstLineChars="200"/>
        <w:rPr>
          <w:color w:val="000000"/>
          <w:szCs w:val="32"/>
        </w:rPr>
      </w:pPr>
      <w:r>
        <w:rPr>
          <w:color w:val="000000" w:themeColor="text1"/>
          <w:szCs w:val="32"/>
          <w14:textFill>
            <w14:solidFill>
              <w14:schemeClr w14:val="tx1"/>
            </w14:solidFill>
          </w14:textFill>
        </w:rPr>
        <w:t>享受基本居住需求保障对象的情况，应当在项目范围内公示7天，无举报或异议的方能办理相关手续。</w:t>
      </w:r>
    </w:p>
    <w:p>
      <w:pPr>
        <w:spacing w:line="560" w:lineRule="exact"/>
        <w:ind w:firstLine="640" w:firstLineChars="200"/>
        <w:rPr>
          <w:color w:val="000000"/>
          <w:szCs w:val="32"/>
        </w:rPr>
      </w:pPr>
      <w:r>
        <w:rPr>
          <w:color w:val="000000"/>
          <w:szCs w:val="32"/>
        </w:rPr>
        <w:t>（六）计户规则</w:t>
      </w:r>
    </w:p>
    <w:p>
      <w:pPr>
        <w:spacing w:line="536" w:lineRule="exact"/>
        <w:ind w:firstLine="640" w:firstLineChars="200"/>
        <w:rPr>
          <w:color w:val="000000"/>
          <w:szCs w:val="32"/>
        </w:rPr>
      </w:pPr>
      <w:r>
        <w:rPr>
          <w:color w:val="000000"/>
          <w:szCs w:val="32"/>
        </w:rPr>
        <w:t>按照太仓市人民政府办公室太政办〔2018〕59号文件规定执行。</w:t>
      </w:r>
    </w:p>
    <w:p>
      <w:pPr>
        <w:spacing w:line="560" w:lineRule="exact"/>
        <w:ind w:firstLine="640" w:firstLineChars="200"/>
        <w:rPr>
          <w:color w:val="000000"/>
          <w:szCs w:val="32"/>
        </w:rPr>
      </w:pPr>
      <w:r>
        <w:rPr>
          <w:color w:val="000000"/>
          <w:szCs w:val="32"/>
        </w:rPr>
        <w:t>（七）住宅认定标准和面积认定标准</w:t>
      </w:r>
    </w:p>
    <w:p>
      <w:pPr>
        <w:spacing w:line="536" w:lineRule="exact"/>
        <w:ind w:firstLine="640" w:firstLineChars="200"/>
        <w:rPr>
          <w:color w:val="000000"/>
          <w:szCs w:val="32"/>
        </w:rPr>
      </w:pPr>
      <w:r>
        <w:rPr>
          <w:color w:val="000000"/>
          <w:szCs w:val="32"/>
        </w:rPr>
        <w:t>按照太仓市人民政府办公室太政办〔2018〕59号文件规定执行。</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未认定为合法住宅面积的处理方式</w:t>
      </w:r>
      <w:r>
        <w:rPr>
          <w:rFonts w:hint="eastAsia"/>
          <w:color w:val="000000" w:themeColor="text1"/>
          <w:szCs w:val="32"/>
          <w14:textFill>
            <w14:solidFill>
              <w14:schemeClr w14:val="tx1"/>
            </w14:solidFill>
          </w14:textFill>
        </w:rPr>
        <w:t>：</w:t>
      </w:r>
      <w:r>
        <w:rPr>
          <w:rFonts w:hint="eastAsia"/>
          <w:szCs w:val="32"/>
        </w:rPr>
        <w:t>房屋所有权证上载明车库面积的，或者房屋所有权证上没有载明但与主体建筑一体的车库，</w:t>
      </w:r>
      <w:r>
        <w:rPr>
          <w:rFonts w:hint="eastAsia"/>
          <w:color w:val="000000" w:themeColor="text1"/>
          <w:szCs w:val="32"/>
          <w14:textFill>
            <w14:solidFill>
              <w14:schemeClr w14:val="tx1"/>
            </w14:solidFill>
          </w14:textFill>
        </w:rPr>
        <w:t>按车库房地产市场价格评估值给予补偿。房屋所有权证上没有载明但与主体建筑一体的阁楼，按阁楼房地产市场价格评估值给予补偿。车库和阁楼面积不计入安</w:t>
      </w:r>
      <w:r>
        <w:rPr>
          <w:rFonts w:hint="eastAsia"/>
          <w:szCs w:val="32"/>
        </w:rPr>
        <w:t>置面积。</w:t>
      </w:r>
    </w:p>
    <w:p>
      <w:pPr>
        <w:spacing w:line="560" w:lineRule="exact"/>
        <w:ind w:firstLine="640" w:firstLineChars="200"/>
        <w:rPr>
          <w:color w:val="000000"/>
          <w:szCs w:val="32"/>
        </w:rPr>
      </w:pPr>
      <w:r>
        <w:rPr>
          <w:color w:val="000000"/>
          <w:szCs w:val="32"/>
        </w:rPr>
        <w:t>（八）</w:t>
      </w:r>
      <w:r>
        <w:rPr>
          <w:rFonts w:hint="eastAsia"/>
          <w:color w:val="000000"/>
          <w:szCs w:val="32"/>
        </w:rPr>
        <w:t>住宅</w:t>
      </w:r>
      <w:r>
        <w:rPr>
          <w:color w:val="000000"/>
          <w:szCs w:val="32"/>
        </w:rPr>
        <w:t>相关补偿、补助及奖励标准</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1. 经采样评估，本项目内</w:t>
      </w:r>
      <w:r>
        <w:rPr>
          <w:rFonts w:hint="eastAsia"/>
          <w:color w:val="000000" w:themeColor="text1"/>
          <w:szCs w:val="32"/>
          <w14:textFill>
            <w14:solidFill>
              <w14:schemeClr w14:val="tx1"/>
            </w14:solidFill>
          </w14:textFill>
        </w:rPr>
        <w:t>住宅</w:t>
      </w:r>
      <w:r>
        <w:rPr>
          <w:color w:val="000000" w:themeColor="text1"/>
          <w:szCs w:val="32"/>
          <w14:textFill>
            <w14:solidFill>
              <w14:schemeClr w14:val="tx1"/>
            </w14:solidFill>
          </w14:textFill>
        </w:rPr>
        <w:t>房屋类似房地产市场价格为：每平方米9200元。</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2. 本项目内房屋的价值，由具有相应资质的房地产价格评估机构根据房屋情况，按照相关评估办法评估确定。</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3.搬迁补助费</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住宅房屋合法面积40平方米(含40平方米)以下的，每户按1000元发放；40平方米以上的，每增加20平方米（不足20平方米按20平方米计算），增加100元搬迁补助费，但最高不超过2000元。</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4. 临时安置补助费</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住宅房屋临时安置补助费，以房屋的基准建筑面积为基数，按每平方米每月15元发放。发放中每户每月不足1400元的，按1400元发放。对被征收人，一次性发放六个月临时安置补助费。</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5. 住宅房屋的相关奖励</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本项目设立住宅房屋的签约奖、搬迁奖，自</w:t>
      </w:r>
      <w:r>
        <w:rPr>
          <w:color w:val="000000"/>
          <w:szCs w:val="32"/>
        </w:rPr>
        <w:t>房屋征收决定公告之日</w:t>
      </w:r>
      <w:r>
        <w:rPr>
          <w:color w:val="000000" w:themeColor="text1"/>
          <w:szCs w:val="32"/>
          <w14:textFill>
            <w14:solidFill>
              <w14:schemeClr w14:val="tx1"/>
            </w14:solidFill>
          </w14:textFill>
        </w:rPr>
        <w:t>起</w:t>
      </w:r>
      <w:r>
        <w:rPr>
          <w:rFonts w:hint="eastAsia"/>
          <w:color w:val="000000"/>
          <w:szCs w:val="32"/>
        </w:rPr>
        <w:t>三</w:t>
      </w:r>
      <w:r>
        <w:rPr>
          <w:color w:val="000000"/>
          <w:szCs w:val="32"/>
        </w:rPr>
        <w:t>个月内</w:t>
      </w:r>
      <w:r>
        <w:rPr>
          <w:color w:val="000000" w:themeColor="text1"/>
          <w:szCs w:val="32"/>
          <w14:textFill>
            <w14:solidFill>
              <w14:schemeClr w14:val="tx1"/>
            </w14:solidFill>
          </w14:textFill>
        </w:rPr>
        <w:t>签约的可获得以下奖励：</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（1）签约奖：按房屋合法住宅面积给予</w:t>
      </w:r>
      <w:r>
        <w:rPr>
          <w:rFonts w:hint="eastAsia"/>
          <w:color w:val="000000" w:themeColor="text1"/>
          <w:szCs w:val="32"/>
          <w14:textFill>
            <w14:solidFill>
              <w14:schemeClr w14:val="tx1"/>
            </w14:solidFill>
          </w14:textFill>
        </w:rPr>
        <w:t>每</w:t>
      </w:r>
      <w:r>
        <w:rPr>
          <w:color w:val="000000" w:themeColor="text1"/>
          <w:szCs w:val="32"/>
          <w14:textFill>
            <w14:solidFill>
              <w14:schemeClr w14:val="tx1"/>
            </w14:solidFill>
          </w14:textFill>
        </w:rPr>
        <w:t>平方米200元的签约奖。</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（2）搬迁奖：在约定时间内搬迁完毕的，按每户3万元的标准给予搬迁奖。</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6. 货币补偿奖</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住宅</w:t>
      </w:r>
      <w:r>
        <w:rPr>
          <w:rFonts w:hint="eastAsia"/>
          <w:color w:val="000000" w:themeColor="text1"/>
          <w:szCs w:val="32"/>
          <w14:textFill>
            <w14:solidFill>
              <w14:schemeClr w14:val="tx1"/>
            </w14:solidFill>
          </w14:textFill>
        </w:rPr>
        <w:t>房屋</w:t>
      </w:r>
      <w:r>
        <w:rPr>
          <w:color w:val="000000" w:themeColor="text1"/>
          <w:szCs w:val="32"/>
          <w14:textFill>
            <w14:solidFill>
              <w14:schemeClr w14:val="tx1"/>
            </w14:solidFill>
          </w14:textFill>
        </w:rPr>
        <w:t>选择货币补偿的，按房地产市场评估价值（不含室内装饰装修价值）×20%（补偿奖励系数）给予一次性奖励。</w:t>
      </w:r>
    </w:p>
    <w:p>
      <w:pPr>
        <w:spacing w:line="560" w:lineRule="exact"/>
        <w:ind w:firstLine="640" w:firstLineChars="200"/>
        <w:rPr>
          <w:szCs w:val="32"/>
        </w:rPr>
      </w:pPr>
      <w:r>
        <w:rPr>
          <w:rFonts w:hint="eastAsia"/>
          <w:szCs w:val="32"/>
        </w:rPr>
        <w:t>（九）未经登记建筑的处理方式</w:t>
      </w:r>
    </w:p>
    <w:p>
      <w:pPr>
        <w:spacing w:line="560" w:lineRule="exact"/>
        <w:ind w:firstLine="640" w:firstLineChars="200"/>
        <w:rPr>
          <w:szCs w:val="32"/>
        </w:rPr>
      </w:pPr>
      <w:r>
        <w:rPr>
          <w:szCs w:val="32"/>
        </w:rPr>
        <w:t>未经登记建筑按照国家相关规定进行调查、认定、处理</w:t>
      </w:r>
      <w:r>
        <w:rPr>
          <w:rFonts w:eastAsia="仿宋"/>
          <w:color w:val="000000"/>
          <w:szCs w:val="32"/>
          <w:shd w:val="clear" w:color="auto" w:fill="FFFFFF"/>
        </w:rPr>
        <w:t>。</w:t>
      </w:r>
    </w:p>
    <w:p>
      <w:pPr>
        <w:adjustRightInd w:val="0"/>
        <w:spacing w:line="580" w:lineRule="exact"/>
        <w:ind w:firstLine="640" w:firstLineChars="200"/>
        <w:rPr>
          <w:rFonts w:eastAsia="黑体"/>
          <w:color w:val="000000"/>
          <w:szCs w:val="32"/>
        </w:rPr>
      </w:pPr>
      <w:r>
        <w:rPr>
          <w:rFonts w:eastAsia="黑体"/>
          <w:color w:val="000000"/>
          <w:szCs w:val="32"/>
        </w:rPr>
        <w:t>四、安置用房</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（一）产权调换房</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本项目提供原址附近溪畔院住宅</w:t>
      </w:r>
      <w:r>
        <w:rPr>
          <w:rFonts w:hint="eastAsia"/>
          <w:color w:val="000000" w:themeColor="text1"/>
          <w:szCs w:val="32"/>
          <w14:textFill>
            <w14:solidFill>
              <w14:schemeClr w14:val="tx1"/>
            </w14:solidFill>
          </w14:textFill>
        </w:rPr>
        <w:t>房屋</w:t>
      </w:r>
      <w:r>
        <w:rPr>
          <w:color w:val="000000" w:themeColor="text1"/>
          <w:szCs w:val="32"/>
          <w14:textFill>
            <w14:solidFill>
              <w14:schemeClr w14:val="tx1"/>
            </w14:solidFill>
          </w14:textFill>
        </w:rPr>
        <w:t>（现房，高层，</w:t>
      </w:r>
      <w:r>
        <w:rPr>
          <w:rFonts w:hint="eastAsia"/>
          <w:color w:val="000000" w:themeColor="text1"/>
          <w:szCs w:val="32"/>
          <w14:textFill>
            <w14:solidFill>
              <w14:schemeClr w14:val="tx1"/>
            </w14:solidFill>
          </w14:textFill>
        </w:rPr>
        <w:t>房源信息</w:t>
      </w:r>
      <w:r>
        <w:rPr>
          <w:color w:val="000000" w:themeColor="text1"/>
          <w:szCs w:val="32"/>
          <w14:textFill>
            <w14:solidFill>
              <w14:schemeClr w14:val="tx1"/>
            </w14:solidFill>
          </w14:textFill>
        </w:rPr>
        <w:t>具体见现场公示）用于产权调换。</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住宅安置</w:t>
      </w:r>
      <w:r>
        <w:rPr>
          <w:rFonts w:hint="eastAsia"/>
          <w:color w:val="000000" w:themeColor="text1"/>
          <w:szCs w:val="32"/>
          <w14:textFill>
            <w14:solidFill>
              <w14:schemeClr w14:val="tx1"/>
            </w14:solidFill>
          </w14:textFill>
        </w:rPr>
        <w:t>房屋</w:t>
      </w:r>
      <w:r>
        <w:rPr>
          <w:color w:val="000000" w:themeColor="text1"/>
          <w:szCs w:val="32"/>
          <w14:textFill>
            <w14:solidFill>
              <w14:schemeClr w14:val="tx1"/>
            </w14:solidFill>
          </w14:textFill>
        </w:rPr>
        <w:t>共有5种户型: A户型（123.75平方米）</w:t>
      </w:r>
      <w:r>
        <w:rPr>
          <w:rFonts w:hint="eastAsia"/>
          <w:color w:val="000000" w:themeColor="text1"/>
          <w:szCs w:val="32"/>
          <w14:textFill>
            <w14:solidFill>
              <w14:schemeClr w14:val="tx1"/>
            </w14:solidFill>
          </w14:textFill>
        </w:rPr>
        <w:t>1</w:t>
      </w:r>
      <w:r>
        <w:rPr>
          <w:color w:val="000000" w:themeColor="text1"/>
          <w:szCs w:val="32"/>
          <w14:textFill>
            <w14:solidFill>
              <w14:schemeClr w14:val="tx1"/>
            </w14:solidFill>
          </w14:textFill>
        </w:rPr>
        <w:t>3</w:t>
      </w:r>
      <w:r>
        <w:rPr>
          <w:rFonts w:hint="eastAsia"/>
          <w:color w:val="000000" w:themeColor="text1"/>
          <w:szCs w:val="32"/>
          <w14:textFill>
            <w14:solidFill>
              <w14:schemeClr w14:val="tx1"/>
            </w14:solidFill>
          </w14:textFill>
        </w:rPr>
        <w:t>套</w:t>
      </w:r>
      <w:r>
        <w:rPr>
          <w:color w:val="000000" w:themeColor="text1"/>
          <w:szCs w:val="32"/>
          <w14:textFill>
            <w14:solidFill>
              <w14:schemeClr w14:val="tx1"/>
            </w14:solidFill>
          </w14:textFill>
        </w:rPr>
        <w:t>、B户型（86.59平方米和87.33平方米）</w:t>
      </w:r>
      <w:r>
        <w:rPr>
          <w:rFonts w:hint="eastAsia"/>
          <w:color w:val="000000" w:themeColor="text1"/>
          <w:szCs w:val="32"/>
          <w14:textFill>
            <w14:solidFill>
              <w14:schemeClr w14:val="tx1"/>
            </w14:solidFill>
          </w14:textFill>
        </w:rPr>
        <w:t>4套</w:t>
      </w:r>
      <w:r>
        <w:rPr>
          <w:color w:val="000000" w:themeColor="text1"/>
          <w:szCs w:val="32"/>
          <w14:textFill>
            <w14:solidFill>
              <w14:schemeClr w14:val="tx1"/>
            </w14:solidFill>
          </w14:textFill>
        </w:rPr>
        <w:t>、C户型（90.82平方米）</w:t>
      </w:r>
      <w:r>
        <w:rPr>
          <w:rFonts w:hint="eastAsia"/>
          <w:color w:val="000000" w:themeColor="text1"/>
          <w:szCs w:val="32"/>
          <w14:textFill>
            <w14:solidFill>
              <w14:schemeClr w14:val="tx1"/>
            </w14:solidFill>
          </w14:textFill>
        </w:rPr>
        <w:t>8套</w:t>
      </w:r>
      <w:r>
        <w:rPr>
          <w:color w:val="000000" w:themeColor="text1"/>
          <w:szCs w:val="32"/>
          <w14:textFill>
            <w14:solidFill>
              <w14:schemeClr w14:val="tx1"/>
            </w14:solidFill>
          </w14:textFill>
        </w:rPr>
        <w:t>、D户型（103.8平方米）</w:t>
      </w:r>
      <w:r>
        <w:rPr>
          <w:rFonts w:hint="eastAsia"/>
          <w:color w:val="000000" w:themeColor="text1"/>
          <w:szCs w:val="32"/>
          <w14:textFill>
            <w14:solidFill>
              <w14:schemeClr w14:val="tx1"/>
            </w14:solidFill>
          </w14:textFill>
        </w:rPr>
        <w:t>7套</w:t>
      </w:r>
      <w:r>
        <w:rPr>
          <w:color w:val="000000" w:themeColor="text1"/>
          <w:szCs w:val="32"/>
          <w14:textFill>
            <w14:solidFill>
              <w14:schemeClr w14:val="tx1"/>
            </w14:solidFill>
          </w14:textFill>
        </w:rPr>
        <w:t>、E户型（82.49平方米和82.88平方米）</w:t>
      </w:r>
      <w:r>
        <w:rPr>
          <w:rFonts w:hint="eastAsia"/>
          <w:color w:val="000000" w:themeColor="text1"/>
          <w:szCs w:val="32"/>
          <w14:textFill>
            <w14:solidFill>
              <w14:schemeClr w14:val="tx1"/>
            </w14:solidFill>
          </w14:textFill>
        </w:rPr>
        <w:t>1</w:t>
      </w:r>
      <w:r>
        <w:rPr>
          <w:color w:val="000000" w:themeColor="text1"/>
          <w:szCs w:val="32"/>
          <w14:textFill>
            <w14:solidFill>
              <w14:schemeClr w14:val="tx1"/>
            </w14:solidFill>
          </w14:textFill>
        </w:rPr>
        <w:t>3</w:t>
      </w:r>
      <w:r>
        <w:rPr>
          <w:rFonts w:hint="eastAsia"/>
          <w:color w:val="000000" w:themeColor="text1"/>
          <w:szCs w:val="32"/>
          <w14:textFill>
            <w14:solidFill>
              <w14:schemeClr w14:val="tx1"/>
            </w14:solidFill>
          </w14:textFill>
        </w:rPr>
        <w:t>套，总面积4</w:t>
      </w:r>
      <w:r>
        <w:rPr>
          <w:color w:val="000000" w:themeColor="text1"/>
          <w:szCs w:val="32"/>
          <w14:textFill>
            <w14:solidFill>
              <w14:schemeClr w14:val="tx1"/>
            </w14:solidFill>
          </w14:textFill>
        </w:rPr>
        <w:t>487.1</w:t>
      </w:r>
      <w:r>
        <w:rPr>
          <w:rFonts w:hint="eastAsia"/>
          <w:color w:val="000000" w:themeColor="text1"/>
          <w:szCs w:val="32"/>
          <w14:textFill>
            <w14:solidFill>
              <w14:schemeClr w14:val="tx1"/>
            </w14:solidFill>
          </w14:textFill>
        </w:rPr>
        <w:t>平方米。</w:t>
      </w:r>
      <w:r>
        <w:rPr>
          <w:color w:val="000000" w:themeColor="text1"/>
          <w:szCs w:val="32"/>
          <w14:textFill>
            <w14:solidFill>
              <w14:schemeClr w14:val="tx1"/>
            </w14:solidFill>
          </w14:textFill>
        </w:rPr>
        <w:t>（在房屋征收过程中如有变化，根据实际情况再行调整）。</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（二）安置方式及安置价格</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1. 住宅安置方式</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（1）</w:t>
      </w:r>
      <w:r>
        <w:rPr>
          <w:rFonts w:hint="eastAsia"/>
          <w:color w:val="000000" w:themeColor="text1"/>
          <w:szCs w:val="32"/>
          <w14:textFill>
            <w14:solidFill>
              <w14:schemeClr w14:val="tx1"/>
            </w14:solidFill>
          </w14:textFill>
        </w:rPr>
        <w:t>住宅</w:t>
      </w:r>
      <w:r>
        <w:rPr>
          <w:color w:val="000000" w:themeColor="text1"/>
          <w:szCs w:val="32"/>
          <w14:textFill>
            <w14:solidFill>
              <w14:schemeClr w14:val="tx1"/>
            </w14:solidFill>
          </w14:textFill>
        </w:rPr>
        <w:t>安置房面积按</w:t>
      </w:r>
      <w:r>
        <w:rPr>
          <w:rFonts w:hint="eastAsia"/>
          <w:color w:val="000000" w:themeColor="text1"/>
          <w:szCs w:val="32"/>
          <w14:textFill>
            <w14:solidFill>
              <w14:schemeClr w14:val="tx1"/>
            </w14:solidFill>
          </w14:textFill>
        </w:rPr>
        <w:t>原</w:t>
      </w:r>
      <w:r>
        <w:rPr>
          <w:color w:val="000000" w:themeColor="text1"/>
          <w:szCs w:val="32"/>
          <w14:textFill>
            <w14:solidFill>
              <w14:schemeClr w14:val="tx1"/>
            </w14:solidFill>
          </w14:textFill>
        </w:rPr>
        <w:t>房屋合法住宅面积1.2倍就近上靠相应套型。</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（2）结算标准</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房屋原合法住宅面积1.2倍以内的安置房按基准价结算；超出房屋原合法住宅面积1.2倍的面积按市场价结算。</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（3）房源选定</w:t>
      </w:r>
    </w:p>
    <w:p>
      <w:pPr>
        <w:spacing w:line="56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在约定的时间内，完成签约手续并提交不动产权证书（房屋所有权证和土地使用证）的，按腾房的先后顺序选房。</w:t>
      </w:r>
    </w:p>
    <w:p>
      <w:pPr>
        <w:spacing w:line="56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（4）层次差价</w:t>
      </w:r>
    </w:p>
    <w:p>
      <w:pPr>
        <w:spacing w:line="56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安置房基准价</w:t>
      </w:r>
      <w:r>
        <w:rPr>
          <w:rFonts w:hint="eastAsia"/>
          <w:color w:val="000000" w:themeColor="text1"/>
          <w:szCs w:val="32"/>
          <w14:textFill>
            <w14:solidFill>
              <w14:schemeClr w14:val="tx1"/>
            </w14:solidFill>
          </w14:textFill>
        </w:rPr>
        <w:t>的</w:t>
      </w:r>
      <w:r>
        <w:rPr>
          <w:color w:val="000000" w:themeColor="text1"/>
          <w:szCs w:val="32"/>
          <w14:textFill>
            <w14:solidFill>
              <w14:schemeClr w14:val="tx1"/>
            </w14:solidFill>
          </w14:textFill>
        </w:rPr>
        <w:t>层次差价以六</w:t>
      </w:r>
      <w:r>
        <w:rPr>
          <w:rFonts w:hint="eastAsia"/>
          <w:color w:val="000000" w:themeColor="text1"/>
          <w:szCs w:val="32"/>
          <w14:textFill>
            <w14:solidFill>
              <w14:schemeClr w14:val="tx1"/>
            </w14:solidFill>
          </w14:textFill>
        </w:rPr>
        <w:t>层</w:t>
      </w:r>
      <w:r>
        <w:rPr>
          <w:color w:val="000000" w:themeColor="text1"/>
          <w:szCs w:val="32"/>
          <w14:textFill>
            <w14:solidFill>
              <w14:schemeClr w14:val="tx1"/>
            </w14:solidFill>
          </w14:textFill>
        </w:rPr>
        <w:t>为基准，不加不减，六层以上每层递加20元/平方米，六层以下每层递减40元/平方米，以此类推，顶楼和底楼同价。</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2. 住宅安置房价格</w:t>
      </w:r>
    </w:p>
    <w:p>
      <w:pPr>
        <w:adjustRightInd w:val="0"/>
        <w:spacing w:line="58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安置房基准价为每平方米8100元（不含层次差），市场价按照溪畔院备案价结算（不再另行结算层次差）</w:t>
      </w:r>
      <w:r>
        <w:rPr>
          <w:rFonts w:hint="eastAsia"/>
          <w:color w:val="000000" w:themeColor="text1"/>
          <w:szCs w:val="32"/>
          <w14:textFill>
            <w14:solidFill>
              <w14:schemeClr w14:val="tx1"/>
            </w14:solidFill>
          </w14:textFill>
        </w:rPr>
        <w:t>，具体见现场公示。</w:t>
      </w:r>
    </w:p>
    <w:p>
      <w:pPr>
        <w:adjustRightInd w:val="0"/>
        <w:spacing w:line="580" w:lineRule="exact"/>
        <w:ind w:firstLine="640" w:firstLineChars="200"/>
        <w:rPr>
          <w:rFonts w:eastAsia="黑体"/>
          <w:color w:val="000000"/>
          <w:szCs w:val="32"/>
        </w:rPr>
      </w:pPr>
      <w:r>
        <w:rPr>
          <w:rFonts w:eastAsia="黑体"/>
          <w:color w:val="000000"/>
          <w:szCs w:val="32"/>
        </w:rPr>
        <w:t>五、搬迁过渡方式</w:t>
      </w:r>
    </w:p>
    <w:p>
      <w:pPr>
        <w:spacing w:line="560" w:lineRule="exact"/>
        <w:ind w:firstLine="698" w:firstLineChars="218"/>
        <w:rPr>
          <w:color w:val="000000"/>
          <w:szCs w:val="32"/>
        </w:rPr>
      </w:pPr>
      <w:r>
        <w:rPr>
          <w:color w:val="000000"/>
          <w:szCs w:val="32"/>
        </w:rPr>
        <w:t>被征收人应当在征收补偿协议约定或者征收补偿决定确定的搬迁期限内完成搬迁，自行过渡。住宅用房被征收人过渡期间</w:t>
      </w:r>
      <w:r>
        <w:rPr>
          <w:rFonts w:hint="eastAsia"/>
          <w:color w:val="000000"/>
          <w:szCs w:val="32"/>
        </w:rPr>
        <w:t>可</w:t>
      </w:r>
      <w:r>
        <w:rPr>
          <w:color w:val="000000"/>
          <w:szCs w:val="32"/>
        </w:rPr>
        <w:t>保留原学区学籍。</w:t>
      </w:r>
    </w:p>
    <w:p>
      <w:pPr>
        <w:adjustRightInd w:val="0"/>
        <w:spacing w:line="580" w:lineRule="exact"/>
        <w:ind w:firstLine="640" w:firstLineChars="200"/>
        <w:rPr>
          <w:rFonts w:eastAsia="黑体"/>
          <w:color w:val="000000"/>
          <w:szCs w:val="32"/>
        </w:rPr>
      </w:pPr>
      <w:r>
        <w:rPr>
          <w:rFonts w:eastAsia="黑体"/>
          <w:color w:val="000000"/>
          <w:szCs w:val="32"/>
        </w:rPr>
        <w:t>六、搬迁过渡期限</w:t>
      </w:r>
    </w:p>
    <w:p>
      <w:pPr>
        <w:spacing w:line="536" w:lineRule="exact"/>
        <w:ind w:firstLine="698" w:firstLineChars="218"/>
        <w:rPr>
          <w:color w:val="000000"/>
          <w:szCs w:val="32"/>
        </w:rPr>
      </w:pPr>
      <w:r>
        <w:rPr>
          <w:color w:val="000000"/>
          <w:szCs w:val="32"/>
        </w:rPr>
        <w:t>搬迁过渡期限自被征收人腾空验房之日起，至得到安置房之月止(以书面通知入户时间为准)。</w:t>
      </w:r>
    </w:p>
    <w:p>
      <w:pPr>
        <w:adjustRightInd w:val="0"/>
        <w:spacing w:line="580" w:lineRule="exact"/>
        <w:ind w:firstLine="640" w:firstLineChars="200"/>
        <w:rPr>
          <w:rFonts w:eastAsia="黑体"/>
          <w:color w:val="000000"/>
          <w:szCs w:val="32"/>
        </w:rPr>
      </w:pPr>
      <w:r>
        <w:rPr>
          <w:rFonts w:eastAsia="黑体"/>
          <w:color w:val="000000"/>
          <w:szCs w:val="32"/>
        </w:rPr>
        <w:t>七、拟定的签约期限</w:t>
      </w:r>
    </w:p>
    <w:p>
      <w:pPr>
        <w:spacing w:line="536" w:lineRule="exact"/>
        <w:ind w:firstLine="640" w:firstLineChars="200"/>
        <w:rPr>
          <w:color w:val="000000"/>
          <w:szCs w:val="32"/>
        </w:rPr>
      </w:pPr>
      <w:r>
        <w:rPr>
          <w:color w:val="000000"/>
          <w:szCs w:val="32"/>
        </w:rPr>
        <w:t>自房屋征收决定公告之日起</w:t>
      </w:r>
      <w:r>
        <w:rPr>
          <w:rFonts w:hint="eastAsia"/>
          <w:color w:val="000000"/>
          <w:szCs w:val="32"/>
        </w:rPr>
        <w:t>三</w:t>
      </w:r>
      <w:r>
        <w:rPr>
          <w:color w:val="000000"/>
          <w:szCs w:val="32"/>
        </w:rPr>
        <w:t>个月。</w:t>
      </w:r>
    </w:p>
    <w:p>
      <w:pPr>
        <w:adjustRightInd w:val="0"/>
        <w:spacing w:line="580" w:lineRule="exact"/>
        <w:ind w:firstLine="640" w:firstLineChars="200"/>
        <w:rPr>
          <w:rFonts w:eastAsia="黑体"/>
          <w:color w:val="000000"/>
          <w:szCs w:val="32"/>
        </w:rPr>
      </w:pPr>
      <w:r>
        <w:rPr>
          <w:rFonts w:eastAsia="黑体"/>
          <w:color w:val="000000"/>
          <w:szCs w:val="32"/>
        </w:rPr>
        <w:t>八、拟定的签约奖励期限</w:t>
      </w:r>
    </w:p>
    <w:p>
      <w:pPr>
        <w:spacing w:line="560" w:lineRule="exact"/>
        <w:ind w:firstLine="640" w:firstLineChars="200"/>
        <w:rPr>
          <w:color w:val="000000"/>
          <w:szCs w:val="32"/>
        </w:rPr>
      </w:pPr>
      <w:r>
        <w:rPr>
          <w:color w:val="000000"/>
          <w:szCs w:val="32"/>
        </w:rPr>
        <w:t>签约奖励期为自房屋征收决定公告之日起</w:t>
      </w:r>
      <w:r>
        <w:rPr>
          <w:rFonts w:hint="eastAsia"/>
          <w:color w:val="000000"/>
          <w:szCs w:val="32"/>
        </w:rPr>
        <w:t>三</w:t>
      </w:r>
      <w:r>
        <w:rPr>
          <w:color w:val="000000"/>
          <w:szCs w:val="32"/>
        </w:rPr>
        <w:t>个月内。</w:t>
      </w:r>
    </w:p>
    <w:p>
      <w:pPr>
        <w:adjustRightInd w:val="0"/>
        <w:spacing w:line="580" w:lineRule="exact"/>
        <w:ind w:firstLine="640" w:firstLineChars="200"/>
        <w:rPr>
          <w:rFonts w:eastAsia="黑体"/>
          <w:color w:val="000000"/>
          <w:szCs w:val="32"/>
        </w:rPr>
      </w:pPr>
      <w:r>
        <w:rPr>
          <w:rFonts w:eastAsia="黑体"/>
          <w:color w:val="000000"/>
          <w:szCs w:val="32"/>
        </w:rPr>
        <w:t>九、其他</w:t>
      </w:r>
    </w:p>
    <w:p>
      <w:pPr>
        <w:spacing w:line="560" w:lineRule="exact"/>
        <w:ind w:firstLine="640" w:firstLineChars="200"/>
        <w:rPr>
          <w:color w:val="000000"/>
          <w:szCs w:val="32"/>
        </w:rPr>
      </w:pPr>
      <w:r>
        <w:rPr>
          <w:szCs w:val="32"/>
        </w:rPr>
        <w:t xml:space="preserve">1. </w:t>
      </w:r>
      <w:r>
        <w:rPr>
          <w:color w:val="000000"/>
          <w:szCs w:val="32"/>
        </w:rPr>
        <w:t>本方案经公布后生效。</w:t>
      </w:r>
    </w:p>
    <w:p>
      <w:pPr>
        <w:spacing w:line="560" w:lineRule="exact"/>
        <w:ind w:firstLine="640" w:firstLineChars="200"/>
        <w:rPr>
          <w:color w:val="000000"/>
          <w:szCs w:val="32"/>
        </w:rPr>
      </w:pPr>
      <w:r>
        <w:rPr>
          <w:szCs w:val="32"/>
        </w:rPr>
        <w:t xml:space="preserve">2. </w:t>
      </w:r>
      <w:r>
        <w:rPr>
          <w:color w:val="000000"/>
          <w:szCs w:val="32"/>
        </w:rPr>
        <w:t>货币补偿，是指在沙溪镇浦南片区城市更新一期工程2号地块改造工程项目内房屋以市场评估价为标准，对其房屋的所有权人进行货币形式的补偿。</w:t>
      </w:r>
    </w:p>
    <w:p>
      <w:pPr>
        <w:spacing w:line="560" w:lineRule="exact"/>
        <w:ind w:firstLine="640" w:firstLineChars="200"/>
        <w:rPr>
          <w:color w:val="000000"/>
          <w:szCs w:val="32"/>
        </w:rPr>
      </w:pPr>
      <w:r>
        <w:rPr>
          <w:szCs w:val="32"/>
        </w:rPr>
        <w:t xml:space="preserve">3. </w:t>
      </w:r>
      <w:r>
        <w:rPr>
          <w:color w:val="000000"/>
          <w:szCs w:val="32"/>
        </w:rPr>
        <w:t>产权调换，是</w:t>
      </w:r>
      <w:r>
        <w:rPr>
          <w:szCs w:val="32"/>
        </w:rPr>
        <w:t>指征收实施单位提供用</w:t>
      </w:r>
      <w:r>
        <w:rPr>
          <w:color w:val="000000"/>
          <w:szCs w:val="32"/>
        </w:rPr>
        <w:t>于产权调换的房屋与征收范围内房屋进行调换。</w:t>
      </w:r>
    </w:p>
    <w:p>
      <w:pPr>
        <w:spacing w:line="560" w:lineRule="exact"/>
        <w:ind w:firstLine="640" w:firstLineChars="200"/>
        <w:rPr>
          <w:szCs w:val="32"/>
        </w:rPr>
      </w:pPr>
      <w:r>
        <w:rPr>
          <w:szCs w:val="32"/>
        </w:rPr>
        <w:t>4. 契税按相关规定执行。</w:t>
      </w:r>
    </w:p>
    <w:p>
      <w:pPr>
        <w:spacing w:line="560" w:lineRule="exact"/>
        <w:ind w:firstLine="640" w:firstLineChars="200"/>
        <w:rPr>
          <w:color w:val="000000"/>
          <w:szCs w:val="32"/>
        </w:rPr>
      </w:pPr>
      <w:r>
        <w:rPr>
          <w:szCs w:val="32"/>
        </w:rPr>
        <w:t xml:space="preserve">5. </w:t>
      </w:r>
      <w:r>
        <w:rPr>
          <w:color w:val="000000"/>
          <w:szCs w:val="32"/>
        </w:rPr>
        <w:t>关于大</w:t>
      </w:r>
      <w:r>
        <w:rPr>
          <w:szCs w:val="32"/>
        </w:rPr>
        <w:t>病、残疾、贫困、高龄等补助标准同时在政府网站和征收现场公布。</w:t>
      </w:r>
    </w:p>
    <w:p>
      <w:pPr>
        <w:spacing w:line="536" w:lineRule="exact"/>
        <w:ind w:firstLine="640" w:firstLineChars="200"/>
        <w:rPr>
          <w:color w:val="000000"/>
          <w:szCs w:val="32"/>
        </w:rPr>
      </w:pPr>
      <w:r>
        <w:rPr>
          <w:szCs w:val="32"/>
        </w:rPr>
        <w:t xml:space="preserve">6. </w:t>
      </w:r>
      <w:r>
        <w:rPr>
          <w:color w:val="000000"/>
          <w:szCs w:val="32"/>
        </w:rPr>
        <w:t>本方案未尽事宜，按太仓市</w:t>
      </w:r>
      <w:r>
        <w:rPr>
          <w:rFonts w:hint="eastAsia"/>
          <w:color w:val="000000"/>
          <w:szCs w:val="32"/>
        </w:rPr>
        <w:t>国有土地上</w:t>
      </w:r>
      <w:r>
        <w:rPr>
          <w:color w:val="000000"/>
          <w:szCs w:val="32"/>
        </w:rPr>
        <w:t>房屋征收相关规定执行。</w:t>
      </w:r>
    </w:p>
    <w:p>
      <w:pPr>
        <w:spacing w:line="536" w:lineRule="exact"/>
        <w:ind w:firstLine="640" w:firstLineChars="200"/>
        <w:rPr>
          <w:rFonts w:ascii="仿宋_GB2312" w:hAnsi="仿宋_GB2312" w:cs="仿宋_GB2312"/>
          <w:color w:val="000000"/>
          <w:szCs w:val="32"/>
        </w:rPr>
      </w:pPr>
    </w:p>
    <w:p>
      <w:pPr>
        <w:spacing w:line="536" w:lineRule="exact"/>
        <w:ind w:firstLine="640" w:firstLineChars="200"/>
        <w:rPr>
          <w:rFonts w:ascii="仿宋_GB2312" w:hAnsi="仿宋_GB2312" w:cs="仿宋_GB2312"/>
          <w:color w:val="000000"/>
          <w:szCs w:val="32"/>
        </w:rPr>
      </w:pPr>
    </w:p>
    <w:p>
      <w:pPr>
        <w:spacing w:line="536" w:lineRule="exact"/>
        <w:ind w:firstLine="640" w:firstLineChars="200"/>
        <w:rPr>
          <w:rFonts w:ascii="仿宋_GB2312" w:hAnsi="仿宋_GB2312" w:cs="仿宋_GB2312"/>
          <w:color w:val="000000"/>
          <w:szCs w:val="32"/>
        </w:rPr>
      </w:pPr>
    </w:p>
    <w:p>
      <w:pPr>
        <w:spacing w:line="536" w:lineRule="exact"/>
        <w:ind w:firstLine="640" w:firstLineChars="200"/>
        <w:rPr>
          <w:rFonts w:ascii="仿宋_GB2312" w:hAnsi="仿宋_GB2312" w:cs="仿宋_GB2312"/>
          <w:color w:val="000000"/>
          <w:szCs w:val="32"/>
        </w:rPr>
      </w:pPr>
    </w:p>
    <w:p>
      <w:pPr>
        <w:spacing w:line="536" w:lineRule="exact"/>
        <w:ind w:firstLine="640" w:firstLineChars="200"/>
        <w:rPr>
          <w:rFonts w:ascii="仿宋_GB2312" w:hAnsi="仿宋_GB2312" w:cs="仿宋_GB2312"/>
          <w:color w:val="000000"/>
          <w:szCs w:val="32"/>
        </w:rPr>
      </w:pPr>
    </w:p>
    <w:p>
      <w:pPr>
        <w:spacing w:line="536" w:lineRule="exact"/>
        <w:rPr>
          <w:rFonts w:ascii="仿宋_GB2312" w:hAnsi="仿宋_GB2312" w:cs="仿宋_GB2312"/>
          <w:color w:val="000000"/>
          <w:szCs w:val="32"/>
        </w:rPr>
      </w:pPr>
    </w:p>
    <w:p>
      <w:pPr>
        <w:spacing w:line="536" w:lineRule="exact"/>
        <w:ind w:firstLine="640" w:firstLineChars="200"/>
        <w:rPr>
          <w:rFonts w:ascii="仿宋_GB2312" w:hAnsi="仿宋_GB2312" w:cs="仿宋_GB2312"/>
          <w:color w:val="000000"/>
          <w:szCs w:val="32"/>
        </w:rPr>
      </w:pPr>
    </w:p>
    <w:p>
      <w:pPr>
        <w:widowControl/>
        <w:jc w:val="left"/>
        <w:rPr>
          <w:rFonts w:ascii="黑体" w:eastAsia="黑体" w:cs="仿宋_GB2312"/>
          <w:spacing w:val="-4"/>
          <w:szCs w:val="32"/>
        </w:rPr>
      </w:pPr>
      <w:r>
        <w:rPr>
          <w:rFonts w:ascii="黑体" w:eastAsia="黑体" w:cs="仿宋_GB2312"/>
          <w:spacing w:val="-4"/>
          <w:szCs w:val="32"/>
        </w:rPr>
        <w:br w:type="page"/>
      </w:r>
    </w:p>
    <w:p>
      <w:pPr>
        <w:spacing w:line="220" w:lineRule="atLeast"/>
        <w:rPr>
          <w:rFonts w:ascii="黑体" w:eastAsia="黑体"/>
          <w:sz w:val="44"/>
          <w:szCs w:val="44"/>
        </w:rPr>
      </w:pPr>
      <w:r>
        <w:rPr>
          <w:rFonts w:ascii="黑体" w:eastAsia="黑体" w:cs="仿宋_GB2312" w:hint="eastAsia"/>
          <w:spacing w:val="-4"/>
          <w:szCs w:val="32"/>
        </w:rPr>
        <w:t>附件：</w:t>
      </w:r>
    </w:p>
    <w:p>
      <w:pPr>
        <w:spacing w:line="220" w:lineRule="atLeast"/>
        <w:rPr>
          <w:rFonts w:eastAsia="宋体" w:hAnsi="宋体" w:cs="宋体"/>
          <w:b/>
          <w:bCs/>
          <w:sz w:val="44"/>
          <w:szCs w:val="44"/>
        </w:rPr>
      </w:pPr>
    </w:p>
    <w:p>
      <w:pPr>
        <w:spacing w:line="220" w:lineRule="atLeas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太仓市房屋征收特殊特困补助标准</w:t>
      </w:r>
    </w:p>
    <w:tbl>
      <w:tblPr>
        <w:tblStyle w:val="TableNormal"/>
        <w:tblW w:w="92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46"/>
        <w:gridCol w:w="1848"/>
        <w:gridCol w:w="1485"/>
        <w:gridCol w:w="4445"/>
      </w:tblGrid>
      <w:tr>
        <w:tblPrEx>
          <w:tblW w:w="92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294" w:type="dxa"/>
            <w:gridSpan w:val="2"/>
            <w:vAlign w:val="center"/>
          </w:tcPr>
          <w:p>
            <w:pPr>
              <w:spacing w:line="360" w:lineRule="exact"/>
              <w:jc w:val="center"/>
              <w:rPr>
                <w:rFonts w:ascii="黑体" w:eastAsia="黑体"/>
                <w:sz w:val="24"/>
                <w:szCs w:val="24"/>
              </w:rPr>
            </w:pPr>
            <w:r>
              <w:rPr>
                <w:rFonts w:ascii="黑体" w:eastAsia="黑体" w:hint="eastAsia"/>
                <w:sz w:val="24"/>
                <w:szCs w:val="24"/>
              </w:rPr>
              <w:t>补助类别</w:t>
            </w:r>
          </w:p>
        </w:tc>
        <w:tc>
          <w:tcPr>
            <w:tcW w:w="1485" w:type="dxa"/>
            <w:vAlign w:val="center"/>
          </w:tcPr>
          <w:p>
            <w:pPr>
              <w:spacing w:line="360" w:lineRule="exact"/>
              <w:jc w:val="center"/>
              <w:rPr>
                <w:rFonts w:ascii="黑体" w:eastAsia="黑体"/>
                <w:sz w:val="24"/>
                <w:szCs w:val="24"/>
              </w:rPr>
            </w:pPr>
            <w:r>
              <w:rPr>
                <w:rFonts w:ascii="黑体" w:eastAsia="黑体" w:hint="eastAsia"/>
                <w:sz w:val="24"/>
                <w:szCs w:val="24"/>
              </w:rPr>
              <w:t>最高补助金额（万元）</w:t>
            </w:r>
          </w:p>
        </w:tc>
        <w:tc>
          <w:tcPr>
            <w:tcW w:w="4445" w:type="dxa"/>
            <w:vAlign w:val="center"/>
          </w:tcPr>
          <w:p>
            <w:pPr>
              <w:spacing w:line="360" w:lineRule="exact"/>
              <w:jc w:val="center"/>
              <w:rPr>
                <w:rFonts w:ascii="黑体" w:eastAsia="黑体"/>
                <w:sz w:val="24"/>
                <w:szCs w:val="24"/>
              </w:rPr>
            </w:pPr>
            <w:r>
              <w:rPr>
                <w:rFonts w:ascii="黑体" w:eastAsia="黑体" w:hint="eastAsia"/>
                <w:sz w:val="24"/>
                <w:szCs w:val="24"/>
              </w:rPr>
              <w:t>备   注</w:t>
            </w:r>
          </w:p>
        </w:tc>
      </w:tr>
      <w:tr>
        <w:tblPrEx>
          <w:tblW w:w="9224" w:type="dxa"/>
          <w:tblInd w:w="-106" w:type="dxa"/>
          <w:tblLayout w:type="fixed"/>
          <w:tblCellMar>
            <w:top w:w="0" w:type="dxa"/>
            <w:left w:w="108" w:type="dxa"/>
            <w:bottom w:w="0" w:type="dxa"/>
            <w:right w:w="108" w:type="dxa"/>
          </w:tblCellMar>
        </w:tblPrEx>
        <w:tc>
          <w:tcPr>
            <w:tcW w:w="1446" w:type="dxa"/>
            <w:vMerge w:val="restart"/>
            <w:vAlign w:val="center"/>
          </w:tcPr>
          <w:p>
            <w:pPr>
              <w:spacing w:line="360" w:lineRule="exact"/>
              <w:jc w:val="center"/>
              <w:rPr>
                <w:sz w:val="24"/>
                <w:szCs w:val="24"/>
              </w:rPr>
            </w:pPr>
            <w:r>
              <w:rPr>
                <w:sz w:val="24"/>
                <w:szCs w:val="24"/>
              </w:rPr>
              <w:t>大病</w:t>
            </w:r>
          </w:p>
        </w:tc>
        <w:tc>
          <w:tcPr>
            <w:tcW w:w="1848" w:type="dxa"/>
            <w:vAlign w:val="center"/>
          </w:tcPr>
          <w:p>
            <w:pPr>
              <w:spacing w:line="360" w:lineRule="exact"/>
              <w:jc w:val="center"/>
              <w:rPr>
                <w:sz w:val="24"/>
                <w:szCs w:val="24"/>
              </w:rPr>
            </w:pPr>
            <w:r>
              <w:rPr>
                <w:sz w:val="24"/>
                <w:szCs w:val="24"/>
              </w:rPr>
              <w:t>危重病</w:t>
            </w:r>
          </w:p>
        </w:tc>
        <w:tc>
          <w:tcPr>
            <w:tcW w:w="1485" w:type="dxa"/>
            <w:vAlign w:val="center"/>
          </w:tcPr>
          <w:p>
            <w:pPr>
              <w:spacing w:line="360" w:lineRule="exact"/>
              <w:jc w:val="center"/>
              <w:rPr>
                <w:sz w:val="24"/>
                <w:szCs w:val="24"/>
              </w:rPr>
            </w:pPr>
            <w:r>
              <w:rPr>
                <w:sz w:val="24"/>
                <w:szCs w:val="24"/>
              </w:rPr>
              <w:t>3</w:t>
            </w:r>
          </w:p>
        </w:tc>
        <w:tc>
          <w:tcPr>
            <w:tcW w:w="4445" w:type="dxa"/>
            <w:vAlign w:val="center"/>
          </w:tcPr>
          <w:p>
            <w:pPr>
              <w:spacing w:line="360" w:lineRule="exact"/>
              <w:jc w:val="left"/>
              <w:rPr>
                <w:sz w:val="24"/>
                <w:szCs w:val="24"/>
              </w:rPr>
            </w:pPr>
            <w:r>
              <w:rPr>
                <w:sz w:val="24"/>
                <w:szCs w:val="24"/>
              </w:rPr>
              <w:t>包括：癌症、白血病、尿毒症、血友病、系统性红斑狼疮、再生障碍性贫血、器官移植抗排异药物治疗</w:t>
            </w:r>
          </w:p>
        </w:tc>
      </w:tr>
      <w:tr>
        <w:tblPrEx>
          <w:tblW w:w="9224" w:type="dxa"/>
          <w:tblInd w:w="-106" w:type="dxa"/>
          <w:tblLayout w:type="fixed"/>
          <w:tblCellMar>
            <w:top w:w="0" w:type="dxa"/>
            <w:left w:w="108" w:type="dxa"/>
            <w:bottom w:w="0" w:type="dxa"/>
            <w:right w:w="108" w:type="dxa"/>
          </w:tblCellMar>
        </w:tblPrEx>
        <w:tc>
          <w:tcPr>
            <w:tcW w:w="1446" w:type="dxa"/>
            <w:vMerge/>
            <w:vAlign w:val="center"/>
          </w:tcPr>
          <w:p>
            <w:pPr>
              <w:spacing w:line="360" w:lineRule="exact"/>
              <w:jc w:val="center"/>
              <w:rPr>
                <w:sz w:val="24"/>
                <w:szCs w:val="24"/>
              </w:rPr>
            </w:pPr>
          </w:p>
        </w:tc>
        <w:tc>
          <w:tcPr>
            <w:tcW w:w="1848" w:type="dxa"/>
            <w:vAlign w:val="center"/>
          </w:tcPr>
          <w:p>
            <w:pPr>
              <w:spacing w:line="360" w:lineRule="exact"/>
              <w:jc w:val="center"/>
              <w:rPr>
                <w:sz w:val="24"/>
                <w:szCs w:val="24"/>
              </w:rPr>
            </w:pPr>
            <w:r>
              <w:rPr>
                <w:sz w:val="24"/>
                <w:szCs w:val="24"/>
              </w:rPr>
              <w:t>其他类疾病</w:t>
            </w:r>
          </w:p>
        </w:tc>
        <w:tc>
          <w:tcPr>
            <w:tcW w:w="1485" w:type="dxa"/>
            <w:vAlign w:val="center"/>
          </w:tcPr>
          <w:p>
            <w:pPr>
              <w:spacing w:line="360" w:lineRule="exact"/>
              <w:jc w:val="center"/>
              <w:rPr>
                <w:sz w:val="24"/>
                <w:szCs w:val="24"/>
              </w:rPr>
            </w:pPr>
            <w:r>
              <w:rPr>
                <w:sz w:val="24"/>
                <w:szCs w:val="24"/>
              </w:rPr>
              <w:t>1-2</w:t>
            </w:r>
          </w:p>
        </w:tc>
        <w:tc>
          <w:tcPr>
            <w:tcW w:w="4445" w:type="dxa"/>
            <w:vAlign w:val="center"/>
          </w:tcPr>
          <w:p>
            <w:pPr>
              <w:spacing w:line="360" w:lineRule="exact"/>
              <w:jc w:val="left"/>
              <w:rPr>
                <w:sz w:val="24"/>
                <w:szCs w:val="24"/>
              </w:rPr>
            </w:pPr>
            <w:r>
              <w:rPr>
                <w:sz w:val="24"/>
                <w:szCs w:val="24"/>
              </w:rPr>
              <w:t>在征收决定公告发布后医院证明未愈，且一次性治疗自费超过2万（含2万）的贫困家庭补助2万，自费在1-2万以内的贫困家庭补助1万</w:t>
            </w:r>
          </w:p>
        </w:tc>
      </w:tr>
      <w:tr>
        <w:tblPrEx>
          <w:tblW w:w="9224" w:type="dxa"/>
          <w:tblInd w:w="-106" w:type="dxa"/>
          <w:tblLayout w:type="fixed"/>
          <w:tblCellMar>
            <w:top w:w="0" w:type="dxa"/>
            <w:left w:w="108" w:type="dxa"/>
            <w:bottom w:w="0" w:type="dxa"/>
            <w:right w:w="108" w:type="dxa"/>
          </w:tblCellMar>
        </w:tblPrEx>
        <w:tc>
          <w:tcPr>
            <w:tcW w:w="1446" w:type="dxa"/>
            <w:vMerge w:val="restart"/>
            <w:vAlign w:val="center"/>
          </w:tcPr>
          <w:p>
            <w:pPr>
              <w:spacing w:line="360" w:lineRule="exact"/>
              <w:jc w:val="center"/>
              <w:rPr>
                <w:sz w:val="24"/>
                <w:szCs w:val="24"/>
              </w:rPr>
            </w:pPr>
            <w:r>
              <w:rPr>
                <w:sz w:val="24"/>
                <w:szCs w:val="24"/>
              </w:rPr>
              <w:t>残疾（含盲、聋、精神、智力、肢体）</w:t>
            </w:r>
          </w:p>
        </w:tc>
        <w:tc>
          <w:tcPr>
            <w:tcW w:w="1848" w:type="dxa"/>
            <w:vAlign w:val="center"/>
          </w:tcPr>
          <w:p>
            <w:pPr>
              <w:spacing w:line="360" w:lineRule="exact"/>
              <w:jc w:val="center"/>
              <w:rPr>
                <w:sz w:val="24"/>
                <w:szCs w:val="24"/>
              </w:rPr>
            </w:pPr>
            <w:r>
              <w:rPr>
                <w:sz w:val="24"/>
                <w:szCs w:val="24"/>
              </w:rPr>
              <w:t>1级</w:t>
            </w:r>
          </w:p>
        </w:tc>
        <w:tc>
          <w:tcPr>
            <w:tcW w:w="1485" w:type="dxa"/>
            <w:vAlign w:val="center"/>
          </w:tcPr>
          <w:p>
            <w:pPr>
              <w:spacing w:line="360" w:lineRule="exact"/>
              <w:jc w:val="center"/>
              <w:rPr>
                <w:sz w:val="24"/>
                <w:szCs w:val="24"/>
              </w:rPr>
            </w:pPr>
            <w:r>
              <w:rPr>
                <w:sz w:val="24"/>
                <w:szCs w:val="24"/>
              </w:rPr>
              <w:t>3</w:t>
            </w:r>
          </w:p>
        </w:tc>
        <w:tc>
          <w:tcPr>
            <w:tcW w:w="4445" w:type="dxa"/>
            <w:vMerge w:val="restart"/>
            <w:vAlign w:val="center"/>
          </w:tcPr>
          <w:p>
            <w:pPr>
              <w:spacing w:line="360" w:lineRule="exact"/>
              <w:jc w:val="left"/>
              <w:rPr>
                <w:sz w:val="24"/>
                <w:szCs w:val="24"/>
              </w:rPr>
            </w:pPr>
            <w:r>
              <w:rPr>
                <w:sz w:val="24"/>
                <w:szCs w:val="24"/>
              </w:rPr>
              <w:t>残疾认定必须持有残疾证</w:t>
            </w:r>
          </w:p>
        </w:tc>
      </w:tr>
      <w:tr>
        <w:tblPrEx>
          <w:tblW w:w="9224" w:type="dxa"/>
          <w:tblInd w:w="-106" w:type="dxa"/>
          <w:tblLayout w:type="fixed"/>
          <w:tblCellMar>
            <w:top w:w="0" w:type="dxa"/>
            <w:left w:w="108" w:type="dxa"/>
            <w:bottom w:w="0" w:type="dxa"/>
            <w:right w:w="108" w:type="dxa"/>
          </w:tblCellMar>
        </w:tblPrEx>
        <w:tc>
          <w:tcPr>
            <w:tcW w:w="1446" w:type="dxa"/>
            <w:vMerge/>
            <w:vAlign w:val="center"/>
          </w:tcPr>
          <w:p>
            <w:pPr>
              <w:spacing w:line="360" w:lineRule="exact"/>
              <w:jc w:val="center"/>
              <w:rPr>
                <w:sz w:val="24"/>
                <w:szCs w:val="24"/>
              </w:rPr>
            </w:pPr>
          </w:p>
        </w:tc>
        <w:tc>
          <w:tcPr>
            <w:tcW w:w="1848" w:type="dxa"/>
            <w:vAlign w:val="center"/>
          </w:tcPr>
          <w:p>
            <w:pPr>
              <w:spacing w:line="360" w:lineRule="exact"/>
              <w:jc w:val="center"/>
              <w:rPr>
                <w:sz w:val="24"/>
                <w:szCs w:val="24"/>
              </w:rPr>
            </w:pPr>
            <w:r>
              <w:rPr>
                <w:sz w:val="24"/>
                <w:szCs w:val="24"/>
              </w:rPr>
              <w:t>2级</w:t>
            </w:r>
          </w:p>
        </w:tc>
        <w:tc>
          <w:tcPr>
            <w:tcW w:w="1485" w:type="dxa"/>
            <w:vAlign w:val="center"/>
          </w:tcPr>
          <w:p>
            <w:pPr>
              <w:spacing w:line="360" w:lineRule="exact"/>
              <w:jc w:val="center"/>
              <w:rPr>
                <w:sz w:val="24"/>
                <w:szCs w:val="24"/>
              </w:rPr>
            </w:pPr>
            <w:r>
              <w:rPr>
                <w:sz w:val="24"/>
                <w:szCs w:val="24"/>
              </w:rPr>
              <w:t>2</w:t>
            </w:r>
          </w:p>
        </w:tc>
        <w:tc>
          <w:tcPr>
            <w:tcW w:w="4445" w:type="dxa"/>
            <w:vMerge/>
            <w:vAlign w:val="center"/>
          </w:tcPr>
          <w:p>
            <w:pPr>
              <w:spacing w:line="360" w:lineRule="exact"/>
              <w:jc w:val="left"/>
              <w:rPr>
                <w:sz w:val="24"/>
                <w:szCs w:val="24"/>
              </w:rPr>
            </w:pPr>
          </w:p>
        </w:tc>
      </w:tr>
      <w:tr>
        <w:tblPrEx>
          <w:tblW w:w="9224" w:type="dxa"/>
          <w:tblInd w:w="-106" w:type="dxa"/>
          <w:tblLayout w:type="fixed"/>
          <w:tblCellMar>
            <w:top w:w="0" w:type="dxa"/>
            <w:left w:w="108" w:type="dxa"/>
            <w:bottom w:w="0" w:type="dxa"/>
            <w:right w:w="108" w:type="dxa"/>
          </w:tblCellMar>
        </w:tblPrEx>
        <w:tc>
          <w:tcPr>
            <w:tcW w:w="1446" w:type="dxa"/>
            <w:vMerge/>
            <w:vAlign w:val="center"/>
          </w:tcPr>
          <w:p>
            <w:pPr>
              <w:spacing w:line="360" w:lineRule="exact"/>
              <w:jc w:val="center"/>
              <w:rPr>
                <w:sz w:val="24"/>
                <w:szCs w:val="24"/>
              </w:rPr>
            </w:pPr>
          </w:p>
        </w:tc>
        <w:tc>
          <w:tcPr>
            <w:tcW w:w="1848" w:type="dxa"/>
            <w:vAlign w:val="center"/>
          </w:tcPr>
          <w:p>
            <w:pPr>
              <w:spacing w:line="360" w:lineRule="exact"/>
              <w:jc w:val="center"/>
              <w:rPr>
                <w:sz w:val="24"/>
                <w:szCs w:val="24"/>
              </w:rPr>
            </w:pPr>
            <w:r>
              <w:rPr>
                <w:sz w:val="24"/>
                <w:szCs w:val="24"/>
              </w:rPr>
              <w:t>3级</w:t>
            </w:r>
          </w:p>
        </w:tc>
        <w:tc>
          <w:tcPr>
            <w:tcW w:w="1485" w:type="dxa"/>
            <w:vAlign w:val="center"/>
          </w:tcPr>
          <w:p>
            <w:pPr>
              <w:spacing w:line="360" w:lineRule="exact"/>
              <w:jc w:val="center"/>
              <w:rPr>
                <w:sz w:val="24"/>
                <w:szCs w:val="24"/>
              </w:rPr>
            </w:pPr>
            <w:r>
              <w:rPr>
                <w:sz w:val="24"/>
                <w:szCs w:val="24"/>
              </w:rPr>
              <w:t>1</w:t>
            </w:r>
          </w:p>
        </w:tc>
        <w:tc>
          <w:tcPr>
            <w:tcW w:w="4445" w:type="dxa"/>
            <w:vMerge/>
            <w:vAlign w:val="center"/>
          </w:tcPr>
          <w:p>
            <w:pPr>
              <w:spacing w:line="360" w:lineRule="exact"/>
              <w:jc w:val="left"/>
              <w:rPr>
                <w:sz w:val="24"/>
                <w:szCs w:val="24"/>
              </w:rPr>
            </w:pPr>
          </w:p>
        </w:tc>
      </w:tr>
      <w:tr>
        <w:tblPrEx>
          <w:tblW w:w="9224" w:type="dxa"/>
          <w:tblInd w:w="-106" w:type="dxa"/>
          <w:tblLayout w:type="fixed"/>
          <w:tblCellMar>
            <w:top w:w="0" w:type="dxa"/>
            <w:left w:w="108" w:type="dxa"/>
            <w:bottom w:w="0" w:type="dxa"/>
            <w:right w:w="108" w:type="dxa"/>
          </w:tblCellMar>
        </w:tblPrEx>
        <w:tc>
          <w:tcPr>
            <w:tcW w:w="1446" w:type="dxa"/>
            <w:vMerge/>
            <w:vAlign w:val="center"/>
          </w:tcPr>
          <w:p>
            <w:pPr>
              <w:spacing w:line="360" w:lineRule="exact"/>
              <w:jc w:val="center"/>
              <w:rPr>
                <w:sz w:val="24"/>
                <w:szCs w:val="24"/>
              </w:rPr>
            </w:pPr>
          </w:p>
        </w:tc>
        <w:tc>
          <w:tcPr>
            <w:tcW w:w="1848" w:type="dxa"/>
            <w:vAlign w:val="center"/>
          </w:tcPr>
          <w:p>
            <w:pPr>
              <w:spacing w:line="360" w:lineRule="exact"/>
              <w:jc w:val="center"/>
              <w:rPr>
                <w:sz w:val="24"/>
                <w:szCs w:val="24"/>
              </w:rPr>
            </w:pPr>
            <w:r>
              <w:rPr>
                <w:sz w:val="24"/>
                <w:szCs w:val="24"/>
              </w:rPr>
              <w:t>4级</w:t>
            </w:r>
          </w:p>
        </w:tc>
        <w:tc>
          <w:tcPr>
            <w:tcW w:w="1485" w:type="dxa"/>
            <w:vAlign w:val="center"/>
          </w:tcPr>
          <w:p>
            <w:pPr>
              <w:spacing w:line="360" w:lineRule="exact"/>
              <w:jc w:val="center"/>
              <w:rPr>
                <w:sz w:val="24"/>
                <w:szCs w:val="24"/>
              </w:rPr>
            </w:pPr>
            <w:r>
              <w:rPr>
                <w:sz w:val="24"/>
                <w:szCs w:val="24"/>
              </w:rPr>
              <w:t>0.5</w:t>
            </w:r>
          </w:p>
        </w:tc>
        <w:tc>
          <w:tcPr>
            <w:tcW w:w="4445" w:type="dxa"/>
            <w:vMerge/>
            <w:vAlign w:val="center"/>
          </w:tcPr>
          <w:p>
            <w:pPr>
              <w:spacing w:line="360" w:lineRule="exact"/>
              <w:jc w:val="left"/>
              <w:rPr>
                <w:sz w:val="24"/>
                <w:szCs w:val="24"/>
              </w:rPr>
            </w:pPr>
          </w:p>
        </w:tc>
      </w:tr>
      <w:tr>
        <w:tblPrEx>
          <w:tblW w:w="9224" w:type="dxa"/>
          <w:tblInd w:w="-106" w:type="dxa"/>
          <w:tblLayout w:type="fixed"/>
          <w:tblCellMar>
            <w:top w:w="0" w:type="dxa"/>
            <w:left w:w="108" w:type="dxa"/>
            <w:bottom w:w="0" w:type="dxa"/>
            <w:right w:w="108" w:type="dxa"/>
          </w:tblCellMar>
        </w:tblPrEx>
        <w:tc>
          <w:tcPr>
            <w:tcW w:w="1446" w:type="dxa"/>
            <w:vMerge w:val="restart"/>
            <w:vAlign w:val="center"/>
          </w:tcPr>
          <w:p>
            <w:pPr>
              <w:spacing w:line="360" w:lineRule="exact"/>
              <w:jc w:val="center"/>
              <w:rPr>
                <w:sz w:val="24"/>
                <w:szCs w:val="24"/>
              </w:rPr>
            </w:pPr>
            <w:r>
              <w:rPr>
                <w:sz w:val="24"/>
                <w:szCs w:val="24"/>
              </w:rPr>
              <w:t>贫困</w:t>
            </w:r>
          </w:p>
        </w:tc>
        <w:tc>
          <w:tcPr>
            <w:tcW w:w="1848" w:type="dxa"/>
            <w:vAlign w:val="center"/>
          </w:tcPr>
          <w:p>
            <w:pPr>
              <w:spacing w:line="360" w:lineRule="exact"/>
              <w:jc w:val="center"/>
              <w:rPr>
                <w:sz w:val="24"/>
                <w:szCs w:val="24"/>
              </w:rPr>
            </w:pPr>
            <w:r>
              <w:rPr>
                <w:sz w:val="24"/>
                <w:szCs w:val="24"/>
              </w:rPr>
              <w:t>三无、五保户（除集中供养）</w:t>
            </w:r>
          </w:p>
        </w:tc>
        <w:tc>
          <w:tcPr>
            <w:tcW w:w="1485" w:type="dxa"/>
            <w:vAlign w:val="center"/>
          </w:tcPr>
          <w:p>
            <w:pPr>
              <w:spacing w:line="360" w:lineRule="exact"/>
              <w:jc w:val="center"/>
              <w:rPr>
                <w:sz w:val="24"/>
                <w:szCs w:val="24"/>
              </w:rPr>
            </w:pPr>
            <w:r>
              <w:rPr>
                <w:sz w:val="24"/>
                <w:szCs w:val="24"/>
              </w:rPr>
              <w:t>2</w:t>
            </w:r>
          </w:p>
        </w:tc>
        <w:tc>
          <w:tcPr>
            <w:tcW w:w="4445" w:type="dxa"/>
            <w:vMerge w:val="restart"/>
            <w:vAlign w:val="center"/>
          </w:tcPr>
          <w:p>
            <w:pPr>
              <w:spacing w:line="360" w:lineRule="exact"/>
              <w:jc w:val="left"/>
              <w:rPr>
                <w:sz w:val="24"/>
                <w:szCs w:val="24"/>
              </w:rPr>
            </w:pPr>
            <w:r>
              <w:rPr>
                <w:sz w:val="24"/>
                <w:szCs w:val="24"/>
              </w:rPr>
              <w:t>须提供民政部门有效证件</w:t>
            </w:r>
          </w:p>
        </w:tc>
      </w:tr>
      <w:tr>
        <w:tblPrEx>
          <w:tblW w:w="9224" w:type="dxa"/>
          <w:tblInd w:w="-106" w:type="dxa"/>
          <w:tblLayout w:type="fixed"/>
          <w:tblCellMar>
            <w:top w:w="0" w:type="dxa"/>
            <w:left w:w="108" w:type="dxa"/>
            <w:bottom w:w="0" w:type="dxa"/>
            <w:right w:w="108" w:type="dxa"/>
          </w:tblCellMar>
        </w:tblPrEx>
        <w:tc>
          <w:tcPr>
            <w:tcW w:w="1446" w:type="dxa"/>
            <w:vMerge/>
            <w:vAlign w:val="center"/>
          </w:tcPr>
          <w:p>
            <w:pPr>
              <w:spacing w:line="360" w:lineRule="exact"/>
              <w:jc w:val="center"/>
              <w:rPr>
                <w:sz w:val="24"/>
                <w:szCs w:val="24"/>
              </w:rPr>
            </w:pPr>
          </w:p>
        </w:tc>
        <w:tc>
          <w:tcPr>
            <w:tcW w:w="1848" w:type="dxa"/>
            <w:vAlign w:val="center"/>
          </w:tcPr>
          <w:p>
            <w:pPr>
              <w:spacing w:line="360" w:lineRule="exact"/>
              <w:jc w:val="center"/>
              <w:rPr>
                <w:sz w:val="24"/>
                <w:szCs w:val="24"/>
              </w:rPr>
            </w:pPr>
            <w:r>
              <w:rPr>
                <w:sz w:val="24"/>
                <w:szCs w:val="24"/>
              </w:rPr>
              <w:t>低保家庭</w:t>
            </w:r>
          </w:p>
        </w:tc>
        <w:tc>
          <w:tcPr>
            <w:tcW w:w="1485" w:type="dxa"/>
            <w:vAlign w:val="center"/>
          </w:tcPr>
          <w:p>
            <w:pPr>
              <w:spacing w:line="360" w:lineRule="exact"/>
              <w:jc w:val="center"/>
              <w:rPr>
                <w:sz w:val="24"/>
                <w:szCs w:val="24"/>
              </w:rPr>
            </w:pPr>
            <w:r>
              <w:rPr>
                <w:sz w:val="24"/>
                <w:szCs w:val="24"/>
              </w:rPr>
              <w:t>1</w:t>
            </w:r>
          </w:p>
        </w:tc>
        <w:tc>
          <w:tcPr>
            <w:tcW w:w="4445" w:type="dxa"/>
            <w:vMerge/>
            <w:vAlign w:val="center"/>
          </w:tcPr>
          <w:p>
            <w:pPr>
              <w:spacing w:line="360" w:lineRule="exact"/>
              <w:jc w:val="left"/>
              <w:rPr>
                <w:sz w:val="24"/>
                <w:szCs w:val="24"/>
              </w:rPr>
            </w:pPr>
          </w:p>
        </w:tc>
      </w:tr>
      <w:tr>
        <w:tblPrEx>
          <w:tblW w:w="9224" w:type="dxa"/>
          <w:tblInd w:w="-106" w:type="dxa"/>
          <w:tblLayout w:type="fixed"/>
          <w:tblCellMar>
            <w:top w:w="0" w:type="dxa"/>
            <w:left w:w="108" w:type="dxa"/>
            <w:bottom w:w="0" w:type="dxa"/>
            <w:right w:w="108" w:type="dxa"/>
          </w:tblCellMar>
        </w:tblPrEx>
        <w:tc>
          <w:tcPr>
            <w:tcW w:w="1446" w:type="dxa"/>
            <w:vMerge/>
            <w:vAlign w:val="center"/>
          </w:tcPr>
          <w:p>
            <w:pPr>
              <w:spacing w:line="360" w:lineRule="exact"/>
              <w:jc w:val="center"/>
              <w:rPr>
                <w:sz w:val="24"/>
                <w:szCs w:val="24"/>
              </w:rPr>
            </w:pPr>
          </w:p>
        </w:tc>
        <w:tc>
          <w:tcPr>
            <w:tcW w:w="1848" w:type="dxa"/>
            <w:vAlign w:val="center"/>
          </w:tcPr>
          <w:p>
            <w:pPr>
              <w:spacing w:line="360" w:lineRule="exact"/>
              <w:jc w:val="center"/>
              <w:rPr>
                <w:sz w:val="24"/>
                <w:szCs w:val="24"/>
              </w:rPr>
            </w:pPr>
            <w:r>
              <w:rPr>
                <w:sz w:val="24"/>
                <w:szCs w:val="24"/>
              </w:rPr>
              <w:t>低保边缘人群</w:t>
            </w:r>
          </w:p>
        </w:tc>
        <w:tc>
          <w:tcPr>
            <w:tcW w:w="1485" w:type="dxa"/>
            <w:vAlign w:val="center"/>
          </w:tcPr>
          <w:p>
            <w:pPr>
              <w:spacing w:line="360" w:lineRule="exact"/>
              <w:jc w:val="center"/>
              <w:rPr>
                <w:sz w:val="24"/>
                <w:szCs w:val="24"/>
              </w:rPr>
            </w:pPr>
            <w:r>
              <w:rPr>
                <w:sz w:val="24"/>
                <w:szCs w:val="24"/>
              </w:rPr>
              <w:t>0.5</w:t>
            </w:r>
          </w:p>
        </w:tc>
        <w:tc>
          <w:tcPr>
            <w:tcW w:w="4445" w:type="dxa"/>
            <w:vMerge/>
            <w:vAlign w:val="center"/>
          </w:tcPr>
          <w:p>
            <w:pPr>
              <w:spacing w:line="360" w:lineRule="exact"/>
              <w:jc w:val="left"/>
              <w:rPr>
                <w:sz w:val="24"/>
                <w:szCs w:val="24"/>
              </w:rPr>
            </w:pPr>
          </w:p>
        </w:tc>
      </w:tr>
      <w:tr>
        <w:tblPrEx>
          <w:tblW w:w="9224" w:type="dxa"/>
          <w:tblInd w:w="-106" w:type="dxa"/>
          <w:tblLayout w:type="fixed"/>
          <w:tblCellMar>
            <w:top w:w="0" w:type="dxa"/>
            <w:left w:w="108" w:type="dxa"/>
            <w:bottom w:w="0" w:type="dxa"/>
            <w:right w:w="108" w:type="dxa"/>
          </w:tblCellMar>
        </w:tblPrEx>
        <w:tc>
          <w:tcPr>
            <w:tcW w:w="1446" w:type="dxa"/>
            <w:vMerge/>
            <w:vAlign w:val="center"/>
          </w:tcPr>
          <w:p>
            <w:pPr>
              <w:spacing w:line="360" w:lineRule="exact"/>
              <w:jc w:val="center"/>
              <w:rPr>
                <w:sz w:val="24"/>
                <w:szCs w:val="24"/>
              </w:rPr>
            </w:pPr>
          </w:p>
        </w:tc>
        <w:tc>
          <w:tcPr>
            <w:tcW w:w="1848" w:type="dxa"/>
            <w:vAlign w:val="center"/>
          </w:tcPr>
          <w:p>
            <w:pPr>
              <w:spacing w:line="360" w:lineRule="exact"/>
              <w:jc w:val="center"/>
              <w:rPr>
                <w:sz w:val="24"/>
                <w:szCs w:val="24"/>
              </w:rPr>
            </w:pPr>
            <w:r>
              <w:rPr>
                <w:sz w:val="24"/>
                <w:szCs w:val="24"/>
              </w:rPr>
              <w:t>特困职工</w:t>
            </w:r>
          </w:p>
        </w:tc>
        <w:tc>
          <w:tcPr>
            <w:tcW w:w="1485" w:type="dxa"/>
            <w:vAlign w:val="center"/>
          </w:tcPr>
          <w:p>
            <w:pPr>
              <w:spacing w:line="360" w:lineRule="exact"/>
              <w:jc w:val="center"/>
              <w:rPr>
                <w:sz w:val="24"/>
                <w:szCs w:val="24"/>
              </w:rPr>
            </w:pPr>
            <w:r>
              <w:rPr>
                <w:sz w:val="24"/>
                <w:szCs w:val="24"/>
              </w:rPr>
              <w:t>0.5</w:t>
            </w:r>
          </w:p>
        </w:tc>
        <w:tc>
          <w:tcPr>
            <w:tcW w:w="4445" w:type="dxa"/>
            <w:vAlign w:val="center"/>
          </w:tcPr>
          <w:p>
            <w:pPr>
              <w:spacing w:line="360" w:lineRule="exact"/>
              <w:jc w:val="left"/>
              <w:rPr>
                <w:sz w:val="24"/>
                <w:szCs w:val="24"/>
              </w:rPr>
            </w:pPr>
            <w:r>
              <w:rPr>
                <w:sz w:val="24"/>
                <w:szCs w:val="24"/>
              </w:rPr>
              <w:t>须提供市总工会有效证件</w:t>
            </w:r>
          </w:p>
        </w:tc>
      </w:tr>
      <w:tr>
        <w:tblPrEx>
          <w:tblW w:w="9224" w:type="dxa"/>
          <w:tblInd w:w="-106" w:type="dxa"/>
          <w:tblLayout w:type="fixed"/>
          <w:tblCellMar>
            <w:top w:w="0" w:type="dxa"/>
            <w:left w:w="108" w:type="dxa"/>
            <w:bottom w:w="0" w:type="dxa"/>
            <w:right w:w="108" w:type="dxa"/>
          </w:tblCellMar>
        </w:tblPrEx>
        <w:tc>
          <w:tcPr>
            <w:tcW w:w="1446" w:type="dxa"/>
            <w:vMerge w:val="restart"/>
            <w:vAlign w:val="center"/>
          </w:tcPr>
          <w:p>
            <w:pPr>
              <w:spacing w:line="360" w:lineRule="exact"/>
              <w:jc w:val="center"/>
              <w:rPr>
                <w:sz w:val="24"/>
                <w:szCs w:val="24"/>
              </w:rPr>
            </w:pPr>
            <w:r>
              <w:rPr>
                <w:sz w:val="24"/>
                <w:szCs w:val="24"/>
              </w:rPr>
              <w:t>高龄</w:t>
            </w:r>
          </w:p>
        </w:tc>
        <w:tc>
          <w:tcPr>
            <w:tcW w:w="1848" w:type="dxa"/>
            <w:vAlign w:val="center"/>
          </w:tcPr>
          <w:p>
            <w:pPr>
              <w:spacing w:line="360" w:lineRule="exact"/>
              <w:jc w:val="center"/>
              <w:rPr>
                <w:sz w:val="24"/>
                <w:szCs w:val="24"/>
              </w:rPr>
            </w:pPr>
            <w:r>
              <w:rPr>
                <w:sz w:val="24"/>
                <w:szCs w:val="24"/>
              </w:rPr>
              <w:t>100（含）周岁以上的老人</w:t>
            </w:r>
          </w:p>
        </w:tc>
        <w:tc>
          <w:tcPr>
            <w:tcW w:w="1485" w:type="dxa"/>
            <w:vAlign w:val="center"/>
          </w:tcPr>
          <w:p>
            <w:pPr>
              <w:spacing w:line="360" w:lineRule="exact"/>
              <w:jc w:val="center"/>
              <w:rPr>
                <w:sz w:val="24"/>
                <w:szCs w:val="24"/>
              </w:rPr>
            </w:pPr>
            <w:r>
              <w:rPr>
                <w:sz w:val="24"/>
                <w:szCs w:val="24"/>
              </w:rPr>
              <w:t>1</w:t>
            </w:r>
          </w:p>
        </w:tc>
        <w:tc>
          <w:tcPr>
            <w:tcW w:w="4445" w:type="dxa"/>
            <w:vMerge w:val="restart"/>
            <w:vAlign w:val="center"/>
          </w:tcPr>
          <w:p>
            <w:pPr>
              <w:spacing w:line="360" w:lineRule="exact"/>
              <w:jc w:val="left"/>
              <w:rPr>
                <w:sz w:val="24"/>
                <w:szCs w:val="24"/>
              </w:rPr>
            </w:pPr>
            <w:r>
              <w:rPr>
                <w:sz w:val="24"/>
                <w:szCs w:val="24"/>
              </w:rPr>
              <w:t>以征收决定公告发布当年被征收人身份证或户口簿记载的出生年月为准</w:t>
            </w:r>
          </w:p>
        </w:tc>
      </w:tr>
      <w:tr>
        <w:tblPrEx>
          <w:tblW w:w="9224" w:type="dxa"/>
          <w:tblInd w:w="-106" w:type="dxa"/>
          <w:tblLayout w:type="fixed"/>
          <w:tblCellMar>
            <w:top w:w="0" w:type="dxa"/>
            <w:left w:w="108" w:type="dxa"/>
            <w:bottom w:w="0" w:type="dxa"/>
            <w:right w:w="108" w:type="dxa"/>
          </w:tblCellMar>
        </w:tblPrEx>
        <w:tc>
          <w:tcPr>
            <w:tcW w:w="1446" w:type="dxa"/>
            <w:vMerge/>
            <w:vAlign w:val="center"/>
          </w:tcPr>
          <w:p>
            <w:pPr>
              <w:spacing w:line="360" w:lineRule="exact"/>
              <w:jc w:val="center"/>
              <w:rPr>
                <w:sz w:val="24"/>
                <w:szCs w:val="24"/>
              </w:rPr>
            </w:pPr>
          </w:p>
        </w:tc>
        <w:tc>
          <w:tcPr>
            <w:tcW w:w="1848" w:type="dxa"/>
            <w:vAlign w:val="center"/>
          </w:tcPr>
          <w:p>
            <w:pPr>
              <w:spacing w:line="360" w:lineRule="exact"/>
              <w:jc w:val="center"/>
              <w:rPr>
                <w:sz w:val="24"/>
                <w:szCs w:val="24"/>
              </w:rPr>
            </w:pPr>
            <w:r>
              <w:rPr>
                <w:sz w:val="24"/>
                <w:szCs w:val="24"/>
              </w:rPr>
              <w:t>90-99（含）周岁以上的老人</w:t>
            </w:r>
          </w:p>
        </w:tc>
        <w:tc>
          <w:tcPr>
            <w:tcW w:w="1485" w:type="dxa"/>
            <w:vAlign w:val="center"/>
          </w:tcPr>
          <w:p>
            <w:pPr>
              <w:spacing w:line="360" w:lineRule="exact"/>
              <w:jc w:val="center"/>
              <w:rPr>
                <w:sz w:val="24"/>
                <w:szCs w:val="24"/>
              </w:rPr>
            </w:pPr>
            <w:r>
              <w:rPr>
                <w:sz w:val="24"/>
                <w:szCs w:val="24"/>
              </w:rPr>
              <w:t>0.8</w:t>
            </w:r>
          </w:p>
        </w:tc>
        <w:tc>
          <w:tcPr>
            <w:tcW w:w="4445" w:type="dxa"/>
            <w:vMerge/>
            <w:vAlign w:val="center"/>
          </w:tcPr>
          <w:p>
            <w:pPr>
              <w:spacing w:line="360" w:lineRule="exact"/>
              <w:jc w:val="center"/>
              <w:rPr>
                <w:sz w:val="24"/>
                <w:szCs w:val="24"/>
              </w:rPr>
            </w:pPr>
          </w:p>
        </w:tc>
      </w:tr>
      <w:tr>
        <w:tblPrEx>
          <w:tblW w:w="9224" w:type="dxa"/>
          <w:tblInd w:w="-106" w:type="dxa"/>
          <w:tblLayout w:type="fixed"/>
          <w:tblCellMar>
            <w:top w:w="0" w:type="dxa"/>
            <w:left w:w="108" w:type="dxa"/>
            <w:bottom w:w="0" w:type="dxa"/>
            <w:right w:w="108" w:type="dxa"/>
          </w:tblCellMar>
        </w:tblPrEx>
        <w:tc>
          <w:tcPr>
            <w:tcW w:w="1446" w:type="dxa"/>
            <w:vMerge/>
            <w:vAlign w:val="center"/>
          </w:tcPr>
          <w:p>
            <w:pPr>
              <w:spacing w:line="360" w:lineRule="exact"/>
              <w:jc w:val="center"/>
              <w:rPr>
                <w:sz w:val="24"/>
                <w:szCs w:val="24"/>
              </w:rPr>
            </w:pPr>
          </w:p>
        </w:tc>
        <w:tc>
          <w:tcPr>
            <w:tcW w:w="1848" w:type="dxa"/>
            <w:vAlign w:val="center"/>
          </w:tcPr>
          <w:p>
            <w:pPr>
              <w:spacing w:line="360" w:lineRule="exact"/>
              <w:jc w:val="center"/>
              <w:rPr>
                <w:sz w:val="24"/>
                <w:szCs w:val="24"/>
              </w:rPr>
            </w:pPr>
            <w:r>
              <w:rPr>
                <w:sz w:val="24"/>
                <w:szCs w:val="24"/>
              </w:rPr>
              <w:t>80-89（含）周岁以上的老人</w:t>
            </w:r>
          </w:p>
        </w:tc>
        <w:tc>
          <w:tcPr>
            <w:tcW w:w="1485" w:type="dxa"/>
            <w:vAlign w:val="center"/>
          </w:tcPr>
          <w:p>
            <w:pPr>
              <w:spacing w:line="360" w:lineRule="exact"/>
              <w:jc w:val="center"/>
              <w:rPr>
                <w:sz w:val="24"/>
                <w:szCs w:val="24"/>
              </w:rPr>
            </w:pPr>
            <w:r>
              <w:rPr>
                <w:sz w:val="24"/>
                <w:szCs w:val="24"/>
              </w:rPr>
              <w:t>0.5</w:t>
            </w:r>
          </w:p>
        </w:tc>
        <w:tc>
          <w:tcPr>
            <w:tcW w:w="4445" w:type="dxa"/>
            <w:vMerge/>
            <w:vAlign w:val="center"/>
          </w:tcPr>
          <w:p>
            <w:pPr>
              <w:spacing w:line="360" w:lineRule="exact"/>
              <w:jc w:val="center"/>
              <w:rPr>
                <w:sz w:val="24"/>
                <w:szCs w:val="24"/>
              </w:rPr>
            </w:pPr>
          </w:p>
        </w:tc>
      </w:tr>
    </w:tbl>
    <w:p>
      <w:pPr>
        <w:spacing w:line="220" w:lineRule="atLeast"/>
        <w:ind w:firstLine="480" w:firstLineChars="150"/>
        <w:rPr>
          <w:spacing w:val="-4"/>
          <w:szCs w:val="32"/>
        </w:rPr>
      </w:pPr>
    </w:p>
    <w:p>
      <w:pPr>
        <w:spacing w:line="400" w:lineRule="exact"/>
        <w:ind w:firstLine="480" w:firstLineChars="150"/>
        <w:rPr>
          <w:spacing w:val="-4"/>
          <w:sz w:val="28"/>
          <w:szCs w:val="28"/>
        </w:rPr>
      </w:pPr>
      <w:r>
        <w:rPr>
          <w:rFonts w:cs="仿宋_GB2312" w:hint="eastAsia"/>
          <w:spacing w:val="-4"/>
          <w:sz w:val="28"/>
          <w:szCs w:val="28"/>
        </w:rPr>
        <w:t>注：根据补助类别确定相应的补助金额，补助金额可累计但最高不超过</w:t>
      </w:r>
      <w:r>
        <w:rPr>
          <w:spacing w:val="-4"/>
          <w:sz w:val="28"/>
          <w:szCs w:val="28"/>
        </w:rPr>
        <w:t>5</w:t>
      </w:r>
      <w:r>
        <w:rPr>
          <w:rFonts w:cs="仿宋_GB2312" w:hint="eastAsia"/>
          <w:spacing w:val="-4"/>
          <w:sz w:val="28"/>
          <w:szCs w:val="28"/>
        </w:rPr>
        <w:t>万元</w:t>
      </w:r>
      <w:r>
        <w:rPr>
          <w:spacing w:val="-4"/>
          <w:sz w:val="28"/>
          <w:szCs w:val="28"/>
        </w:rPr>
        <w:t>/</w:t>
      </w:r>
      <w:r>
        <w:rPr>
          <w:rFonts w:cs="仿宋_GB2312" w:hint="eastAsia"/>
          <w:spacing w:val="-4"/>
          <w:sz w:val="28"/>
          <w:szCs w:val="28"/>
        </w:rPr>
        <w:t>户，其它住宅房屋搬迁项目可参照上述标准执行。</w:t>
      </w:r>
    </w:p>
    <w:p/>
    <w:sectPr>
      <w:headerReference w:type="even" r:id="rId6"/>
      <w:headerReference w:type="default" r:id="rId7"/>
      <w:footerReference w:type="default" r:id="rId8"/>
      <w:headerReference w:type="first" r:id="rId9"/>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center;mso-position-horizontal-relative:margin;mso-width-relative:page;mso-wrap-style:none;position:absolute;width:2in;z-index:25169612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height:20pt;margin-left:0;margin-top:0;position:absolute;rotation:-40;width:100pt;z-index:251683840" fillcolor="#eae9e7" strokecolor="#eae9e7">
          <v:textpath style="font-family:&quot;WeiRuanYaHei&quot;" string="zfb.yhb 2024-01-12 08:14:35"/>
        </v:shape>
      </w:pict>
    </w:r>
    <w:r>
      <w:pict>
        <v:shape id="_x0000_s2075" type="#_x0000_t136" style="height:20pt;margin-left:0;margin-top:200pt;position:absolute;rotation:-40;width:100pt;z-index:251684864" fillcolor="#eae9e7" strokecolor="#eae9e7">
          <v:textpath style="font-family:&quot;WeiRuanYaHei&quot;" string="zfb.yhb 2024-01-12 08:14:35"/>
        </v:shape>
      </w:pict>
    </w:r>
    <w:r>
      <w:pict>
        <v:shape id="_x0000_s2076" type="#_x0000_t136" style="height:20pt;margin-left:0;margin-top:400pt;position:absolute;rotation:-40;width:100pt;z-index:251685888" fillcolor="#eae9e7" strokecolor="#eae9e7">
          <v:textpath style="font-family:&quot;WeiRuanYaHei&quot;" string="zfb.yhb 2024-01-12 08:14:35"/>
        </v:shape>
      </w:pict>
    </w:r>
    <w:r>
      <w:pict>
        <v:shape id="_x0000_s2077" type="#_x0000_t136" style="height:20pt;margin-left:0;margin-top:600pt;position:absolute;rotation:-40;width:100pt;z-index:251686912" fillcolor="#eae9e7" strokecolor="#eae9e7">
          <v:textpath style="font-family:&quot;WeiRuanYaHei&quot;" string="zfb.yhb 2024-01-12 08:14:35"/>
        </v:shape>
      </w:pict>
    </w:r>
    <w:r>
      <w:pict>
        <v:shape id="_x0000_s2078" type="#_x0000_t136" style="height:20pt;margin-left:200pt;margin-top:0;position:absolute;rotation:-40;width:100pt;z-index:251687936" fillcolor="#eae9e7" strokecolor="#eae9e7">
          <v:textpath style="font-family:&quot;WeiRuanYaHei&quot;" string="zfb.yhb 2024-01-12 08:14:35"/>
        </v:shape>
      </w:pict>
    </w:r>
    <w:r>
      <w:pict>
        <v:shape id="_x0000_s2079" type="#_x0000_t136" style="height:20pt;margin-left:200pt;margin-top:200pt;position:absolute;rotation:-40;width:100pt;z-index:251688960" fillcolor="#eae9e7" strokecolor="#eae9e7">
          <v:textpath style="font-family:&quot;WeiRuanYaHei&quot;" string="zfb.yhb 2024-01-12 08:14:35"/>
        </v:shape>
      </w:pict>
    </w:r>
    <w:r>
      <w:pict>
        <v:shape id="_x0000_s2080" type="#_x0000_t136" style="height:20pt;margin-left:200pt;margin-top:400pt;position:absolute;rotation:-40;width:100pt;z-index:251689984" fillcolor="#eae9e7" strokecolor="#eae9e7">
          <v:textpath style="font-family:&quot;WeiRuanYaHei&quot;" string="zfb.yhb 2024-01-12 08:14:35"/>
        </v:shape>
      </w:pict>
    </w:r>
    <w:r>
      <w:pict>
        <v:shape id="_x0000_s2081" type="#_x0000_t136" style="height:20pt;margin-left:200pt;margin-top:600pt;position:absolute;rotation:-40;width:100pt;z-index:251691008" fillcolor="#eae9e7" strokecolor="#eae9e7">
          <v:textpath style="font-family:&quot;WeiRuanYaHei&quot;" string="zfb.yhb 2024-01-12 08:14:35"/>
        </v:shape>
      </w:pict>
    </w:r>
    <w:r>
      <w:pict>
        <v:shape id="_x0000_s2082" type="#_x0000_t136" style="height:20pt;margin-left:400pt;margin-top:0;position:absolute;rotation:-40;width:100pt;z-index:251692032" fillcolor="#eae9e7" strokecolor="#eae9e7">
          <v:textpath style="font-family:&quot;WeiRuanYaHei&quot;" string="zfb.yhb 2024-01-12 08:14:35"/>
        </v:shape>
      </w:pict>
    </w:r>
    <w:r>
      <w:pict>
        <v:shape id="_x0000_s2083" type="#_x0000_t136" style="height:20pt;margin-left:400pt;margin-top:200pt;position:absolute;rotation:-40;width:100pt;z-index:251693056" fillcolor="#eae9e7" strokecolor="#eae9e7">
          <v:textpath style="font-family:&quot;WeiRuanYaHei&quot;" string="zfb.yhb 2024-01-12 08:14:35"/>
        </v:shape>
      </w:pict>
    </w:r>
    <w:r>
      <w:pict>
        <v:shape id="_x0000_s2084" type="#_x0000_t136" style="height:20pt;margin-left:400pt;margin-top:400pt;position:absolute;rotation:-40;width:100pt;z-index:251694080" fillcolor="#eae9e7" strokecolor="#eae9e7">
          <v:textpath style="font-family:&quot;WeiRuanYaHei&quot;" string="zfb.yhb 2024-01-12 08:14:35"/>
        </v:shape>
      </w:pict>
    </w:r>
    <w:r>
      <w:pict>
        <v:shape id="_x0000_s2085" type="#_x0000_t136" style="height:20pt;margin-left:400pt;margin-top:600pt;position:absolute;rotation:-40;width:100pt;z-index:251695104" fillcolor="#eae9e7" strokecolor="#eae9e7">
          <v:textpath style="font-family:&quot;WeiRuanYaHei&quot;" string="zfb.yhb 2024-01-12 08:14:35"/>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height:20pt;margin-left:0;margin-top:0;position:absolute;rotation:-40;width:100pt;z-index:251659264" fillcolor="#eae9e7" strokecolor="#eae9e7">
          <v:textpath style="font-family:&quot;WeiRuanYaHei&quot;" string="zfb.yhb 2024-01-12 08:14:35"/>
        </v:shape>
      </w:pict>
    </w:r>
    <w:r>
      <w:pict>
        <v:shape id="_x0000_s2051" type="#_x0000_t136" style="height:20pt;margin-left:0;margin-top:200pt;position:absolute;rotation:-40;width:100pt;z-index:251660288" fillcolor="#eae9e7" strokecolor="#eae9e7">
          <v:textpath style="font-family:&quot;WeiRuanYaHei&quot;" string="zfb.yhb 2024-01-12 08:14:35"/>
        </v:shape>
      </w:pict>
    </w:r>
    <w:r>
      <w:pict>
        <v:shape id="_x0000_s2052" type="#_x0000_t136" style="height:20pt;margin-left:0;margin-top:400pt;position:absolute;rotation:-40;width:100pt;z-index:251661312" fillcolor="#eae9e7" strokecolor="#eae9e7">
          <v:textpath style="font-family:&quot;WeiRuanYaHei&quot;" string="zfb.yhb 2024-01-12 08:14:35"/>
        </v:shape>
      </w:pict>
    </w:r>
    <w:r>
      <w:pict>
        <v:shape id="_x0000_s2053" type="#_x0000_t136" style="height:20pt;margin-left:0;margin-top:600pt;position:absolute;rotation:-40;width:100pt;z-index:251662336" fillcolor="#eae9e7" strokecolor="#eae9e7">
          <v:textpath style="font-family:&quot;WeiRuanYaHei&quot;" string="zfb.yhb 2024-01-12 08:14:35"/>
        </v:shape>
      </w:pict>
    </w:r>
    <w:r>
      <w:pict>
        <v:shape id="_x0000_s2054" type="#_x0000_t136" style="height:20pt;margin-left:200pt;margin-top:0;position:absolute;rotation:-40;width:100pt;z-index:251663360" fillcolor="#eae9e7" strokecolor="#eae9e7">
          <v:textpath style="font-family:&quot;WeiRuanYaHei&quot;" string="zfb.yhb 2024-01-12 08:14:35"/>
        </v:shape>
      </w:pict>
    </w:r>
    <w:r>
      <w:pict>
        <v:shape id="_x0000_s2055" type="#_x0000_t136" style="height:20pt;margin-left:200pt;margin-top:200pt;position:absolute;rotation:-40;width:100pt;z-index:251664384" fillcolor="#eae9e7" strokecolor="#eae9e7">
          <v:textpath style="font-family:&quot;WeiRuanYaHei&quot;" string="zfb.yhb 2024-01-12 08:14:35"/>
        </v:shape>
      </w:pict>
    </w:r>
    <w:r>
      <w:pict>
        <v:shape id="_x0000_s2056" type="#_x0000_t136" style="height:20pt;margin-left:200pt;margin-top:400pt;position:absolute;rotation:-40;width:100pt;z-index:251665408" fillcolor="#eae9e7" strokecolor="#eae9e7">
          <v:textpath style="font-family:&quot;WeiRuanYaHei&quot;" string="zfb.yhb 2024-01-12 08:14:35"/>
        </v:shape>
      </w:pict>
    </w:r>
    <w:r>
      <w:pict>
        <v:shape id="_x0000_s2057" type="#_x0000_t136" style="height:20pt;margin-left:200pt;margin-top:600pt;position:absolute;rotation:-40;width:100pt;z-index:251666432" fillcolor="#eae9e7" strokecolor="#eae9e7">
          <v:textpath style="font-family:&quot;WeiRuanYaHei&quot;" string="zfb.yhb 2024-01-12 08:14:35"/>
        </v:shape>
      </w:pict>
    </w:r>
    <w:r>
      <w:pict>
        <v:shape id="_x0000_s2058" type="#_x0000_t136" style="height:20pt;margin-left:400pt;margin-top:0;position:absolute;rotation:-40;width:100pt;z-index:251667456" fillcolor="#eae9e7" strokecolor="#eae9e7">
          <v:textpath style="font-family:&quot;WeiRuanYaHei&quot;" string="zfb.yhb 2024-01-12 08:14:35"/>
        </v:shape>
      </w:pict>
    </w:r>
    <w:r>
      <w:pict>
        <v:shape id="_x0000_s2059" type="#_x0000_t136" style="height:20pt;margin-left:400pt;margin-top:200pt;position:absolute;rotation:-40;width:100pt;z-index:251668480" fillcolor="#eae9e7" strokecolor="#eae9e7">
          <v:textpath style="font-family:&quot;WeiRuanYaHei&quot;" string="zfb.yhb 2024-01-12 08:14:35"/>
        </v:shape>
      </w:pict>
    </w:r>
    <w:r>
      <w:pict>
        <v:shape id="_x0000_s2060" type="#_x0000_t136" style="height:20pt;margin-left:400pt;margin-top:400pt;position:absolute;rotation:-40;width:100pt;z-index:251669504" fillcolor="#eae9e7" strokecolor="#eae9e7">
          <v:textpath style="font-family:&quot;WeiRuanYaHei&quot;" string="zfb.yhb 2024-01-12 08:14:35"/>
        </v:shape>
      </w:pict>
    </w:r>
    <w:r>
      <w:pict>
        <v:shape id="_x0000_s2061" type="#_x0000_t136" style="height:20pt;margin-left:400pt;margin-top:600pt;position:absolute;rotation:-40;width:100pt;z-index:251670528" fillcolor="#eae9e7" strokecolor="#eae9e7">
          <v:textpath style="font-family:&quot;WeiRuanYaHei&quot;" string="zfb.yhb 2024-01-12 08:14:35"/>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height:20pt;margin-left:0;margin-top:0;position:absolute;rotation:-40;width:100pt;z-index:251671552" fillcolor="#eae9e7" strokecolor="#eae9e7">
          <v:textpath style="font-family:&quot;WeiRuanYaHei&quot;" string="zfb.yhb 2024-01-12 08:14:35"/>
        </v:shape>
      </w:pict>
    </w:r>
    <w:r>
      <w:pict>
        <v:shape id="_x0000_s2063" type="#_x0000_t136" style="height:20pt;margin-left:0;margin-top:200pt;position:absolute;rotation:-40;width:100pt;z-index:251672576" fillcolor="#eae9e7" strokecolor="#eae9e7">
          <v:textpath style="font-family:&quot;WeiRuanYaHei&quot;" string="zfb.yhb 2024-01-12 08:14:35"/>
        </v:shape>
      </w:pict>
    </w:r>
    <w:r>
      <w:pict>
        <v:shape id="_x0000_s2064" type="#_x0000_t136" style="height:20pt;margin-left:0;margin-top:400pt;position:absolute;rotation:-40;width:100pt;z-index:251673600" fillcolor="#eae9e7" strokecolor="#eae9e7">
          <v:textpath style="font-family:&quot;WeiRuanYaHei&quot;" string="zfb.yhb 2024-01-12 08:14:35"/>
        </v:shape>
      </w:pict>
    </w:r>
    <w:r>
      <w:pict>
        <v:shape id="_x0000_s2065" type="#_x0000_t136" style="height:20pt;margin-left:0;margin-top:600pt;position:absolute;rotation:-40;width:100pt;z-index:251674624" fillcolor="#eae9e7" strokecolor="#eae9e7">
          <v:textpath style="font-family:&quot;WeiRuanYaHei&quot;" string="zfb.yhb 2024-01-12 08:14:35"/>
        </v:shape>
      </w:pict>
    </w:r>
    <w:r>
      <w:pict>
        <v:shape id="_x0000_s2066" type="#_x0000_t136" style="height:20pt;margin-left:200pt;margin-top:0;position:absolute;rotation:-40;width:100pt;z-index:251675648" fillcolor="#eae9e7" strokecolor="#eae9e7">
          <v:textpath style="font-family:&quot;WeiRuanYaHei&quot;" string="zfb.yhb 2024-01-12 08:14:35"/>
        </v:shape>
      </w:pict>
    </w:r>
    <w:r>
      <w:pict>
        <v:shape id="_x0000_s2067" type="#_x0000_t136" style="height:20pt;margin-left:200pt;margin-top:200pt;position:absolute;rotation:-40;width:100pt;z-index:251676672" fillcolor="#eae9e7" strokecolor="#eae9e7">
          <v:textpath style="font-family:&quot;WeiRuanYaHei&quot;" string="zfb.yhb 2024-01-12 08:14:35"/>
        </v:shape>
      </w:pict>
    </w:r>
    <w:r>
      <w:pict>
        <v:shape id="_x0000_s2068" type="#_x0000_t136" style="height:20pt;margin-left:200pt;margin-top:400pt;position:absolute;rotation:-40;width:100pt;z-index:251677696" fillcolor="#eae9e7" strokecolor="#eae9e7">
          <v:textpath style="font-family:&quot;WeiRuanYaHei&quot;" string="zfb.yhb 2024-01-12 08:14:35"/>
        </v:shape>
      </w:pict>
    </w:r>
    <w:r>
      <w:pict>
        <v:shape id="_x0000_s2069" type="#_x0000_t136" style="height:20pt;margin-left:200pt;margin-top:600pt;position:absolute;rotation:-40;width:100pt;z-index:251678720" fillcolor="#eae9e7" strokecolor="#eae9e7">
          <v:textpath style="font-family:&quot;WeiRuanYaHei&quot;" string="zfb.yhb 2024-01-12 08:14:35"/>
        </v:shape>
      </w:pict>
    </w:r>
    <w:r>
      <w:pict>
        <v:shape id="_x0000_s2070" type="#_x0000_t136" style="height:20pt;margin-left:400pt;margin-top:0;position:absolute;rotation:-40;width:100pt;z-index:251679744" fillcolor="#eae9e7" strokecolor="#eae9e7">
          <v:textpath style="font-family:&quot;WeiRuanYaHei&quot;" string="zfb.yhb 2024-01-12 08:14:35"/>
        </v:shape>
      </w:pict>
    </w:r>
    <w:r>
      <w:pict>
        <v:shape id="_x0000_s2071" type="#_x0000_t136" style="height:20pt;margin-left:400pt;margin-top:200pt;position:absolute;rotation:-40;width:100pt;z-index:251680768" fillcolor="#eae9e7" strokecolor="#eae9e7">
          <v:textpath style="font-family:&quot;WeiRuanYaHei&quot;" string="zfb.yhb 2024-01-12 08:14:35"/>
        </v:shape>
      </w:pict>
    </w:r>
    <w:r>
      <w:pict>
        <v:shape id="_x0000_s2072" type="#_x0000_t136" style="height:20pt;margin-left:400pt;margin-top:400pt;position:absolute;rotation:-40;width:100pt;z-index:251681792" fillcolor="#eae9e7" strokecolor="#eae9e7">
          <v:textpath style="font-family:&quot;WeiRuanYaHei&quot;" string="zfb.yhb 2024-01-12 08:14:35"/>
        </v:shape>
      </w:pict>
    </w:r>
    <w:r>
      <w:pict>
        <v:shape id="_x0000_s2073" type="#_x0000_t136" style="height:20pt;margin-left:400pt;margin-top:600pt;position:absolute;rotation:-40;width:100pt;z-index:251682816" fillcolor="#eae9e7" strokecolor="#eae9e7">
          <v:textpath style="font-family:&quot;WeiRuanYaHei&quot;" string="zfb.yhb 2024-01-12 08:14:35"/>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yY2JhY2FmN2Y0YmMzOGNhZDI3MjQ2YzA2NWQwY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semiHidden="0" w:uiPriority="0" w:unhideWhenUsed="0" w:qFormat="1"/>
    <w:lsdException w:name="footer" w:semiHidden="0" w:uiPriority="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semiHidden="0" w:uiPriority="0" w:unhideWhenUsed="0"/>
    <w:lsdException w:name="macro" w:uiPriority="0"/>
    <w:lsdException w:name="toa heading" w:uiPriority="0"/>
    <w:lsdException w:name="List" w:semiHidden="0" w:uiPriority="0" w:unhideWhenUsed="0"/>
    <w:lsdException w:name="List Bullet" w:semiHidden="0" w:uiPriority="0" w:unhideWhenUsed="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qFormat="1"/>
    <w:lsdException w:name="Body Text" w:uiPriority="0"/>
    <w:lsdException w:name="Body Text Indent" w:uiPriority="0"/>
    <w:lsdException w:name="List Continue"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semiHidden="0" w:uiPriority="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il"/>
        <w:left w:val="nil"/>
        <w:bottom w:val="nil"/>
        <w:right w:val="nil"/>
      </w:pBdr>
      <w:tabs>
        <w:tab w:val="center" w:pos="4153"/>
        <w:tab w:val="right" w:pos="8306"/>
      </w:tabs>
      <w:snapToGrid w:val="0"/>
    </w:pPr>
    <w:rPr>
      <w:sz w:val="18"/>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szCs w:val="32"/>
    </w:rPr>
  </w:style>
  <w:style w:type="paragraph" w:customStyle="1" w:styleId="a">
    <w:name w:val="文头"/>
    <w:basedOn w:val="Normal"/>
    <w:qFormat/>
    <w:pPr>
      <w:tabs>
        <w:tab w:val="left" w:pos="6663"/>
      </w:tabs>
      <w:autoSpaceDE w:val="0"/>
      <w:autoSpaceDN w:val="0"/>
      <w:snapToGrid w:val="0"/>
      <w:spacing w:after="800" w:line="1500" w:lineRule="atLeast"/>
      <w:ind w:left="511" w:right="227" w:hanging="284"/>
      <w:jc w:val="distribute"/>
    </w:pPr>
    <w:rPr>
      <w:rFonts w:ascii="汉鼎简大宋" w:eastAsia="汉鼎简大宋"/>
      <w:b/>
      <w:color w:val="FF0000"/>
      <w:w w:val="62"/>
      <w:kern w:val="0"/>
      <w:sz w:val="1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DD2C29-ED14-43DC-923B-2E316BAC01C3}">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18583</dc:creator>
  <cp:lastModifiedBy>18583</cp:lastModifiedBy>
  <cp:revision>369</cp:revision>
  <cp:lastPrinted>2023-04-23T06:11:00Z</cp:lastPrinted>
  <dcterms:created xsi:type="dcterms:W3CDTF">2022-06-23T03:00:00Z</dcterms:created>
  <dcterms:modified xsi:type="dcterms:W3CDTF">2024-01-04T06:26:20Z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2012553F08534C5A9A48A0A09763CC38</vt:lpwstr>
  </property>
  <property fmtid="{D5CDD505-2E9C-101B-9397-08002B2CF9AE}" pid="3" name="KSOProductBuildVer">
    <vt:lpwstr>2052-11.8.2.10972</vt:lpwstr>
  </property>
</Properties>
</file>