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val="0"/>
        <w:overflowPunct/>
        <w:topLinePunct w:val="0"/>
        <w:autoSpaceDE/>
        <w:autoSpaceDN/>
        <w:bidi w:val="0"/>
        <w:adjustRightInd w:val="0"/>
        <w:snapToGrid w:val="0"/>
        <w:spacing w:before="0" w:beforeLines="0" w:afterLines="0" w:line="600" w:lineRule="exact"/>
        <w:jc w:val="center"/>
        <w:textAlignment w:val="auto"/>
        <w:outlineLvl w:val="0"/>
        <w:rPr>
          <w:rFonts w:hint="default" w:ascii="Times New Roman" w:hAnsi="Times New Roman" w:eastAsia="方正小标宋简体" w:cs="Times New Roman"/>
          <w:color w:val="auto"/>
          <w:spacing w:val="0"/>
          <w:sz w:val="44"/>
          <w:szCs w:val="44"/>
          <w:highlight w:val="none"/>
          <w:u w:val="none" w:color="auto"/>
          <w:lang w:val="en-US" w:eastAsia="zh-CN"/>
        </w:rPr>
      </w:pPr>
      <w:r>
        <w:rPr>
          <w:rFonts w:hint="default" w:ascii="Times New Roman" w:hAnsi="Times New Roman" w:eastAsia="方正小标宋简体" w:cs="Times New Roman"/>
          <w:color w:val="auto"/>
          <w:spacing w:val="0"/>
          <w:sz w:val="44"/>
          <w:szCs w:val="44"/>
          <w:highlight w:val="none"/>
          <w:u w:val="none" w:color="auto"/>
          <w:lang w:val="en-US" w:eastAsia="zh-CN"/>
        </w:rPr>
        <w:t>太仓市深化电动自行车安全隐患</w:t>
      </w:r>
    </w:p>
    <w:p>
      <w:pPr>
        <w:keepNext w:val="0"/>
        <w:keepLines w:val="0"/>
        <w:pageBreakBefore w:val="0"/>
        <w:widowControl w:val="0"/>
        <w:kinsoku/>
        <w:wordWrap w:val="0"/>
        <w:overflowPunct/>
        <w:topLinePunct w:val="0"/>
        <w:autoSpaceDE/>
        <w:autoSpaceDN/>
        <w:bidi w:val="0"/>
        <w:adjustRightInd w:val="0"/>
        <w:snapToGrid w:val="0"/>
        <w:spacing w:before="0" w:beforeLines="0" w:afterLines="0" w:line="600" w:lineRule="exact"/>
        <w:jc w:val="center"/>
        <w:textAlignment w:val="auto"/>
        <w:outlineLvl w:val="0"/>
        <w:rPr>
          <w:rFonts w:hint="default" w:ascii="Times New Roman" w:hAnsi="Times New Roman" w:eastAsia="方正小标宋简体" w:cs="Times New Roman"/>
          <w:color w:val="auto"/>
          <w:spacing w:val="0"/>
          <w:sz w:val="44"/>
          <w:szCs w:val="44"/>
          <w:highlight w:val="none"/>
          <w:u w:val="none" w:color="auto"/>
          <w:lang w:val="en-US" w:eastAsia="zh-CN"/>
        </w:rPr>
      </w:pPr>
      <w:r>
        <w:rPr>
          <w:rFonts w:hint="default" w:ascii="Times New Roman" w:hAnsi="Times New Roman" w:eastAsia="方正小标宋简体" w:cs="Times New Roman"/>
          <w:color w:val="auto"/>
          <w:spacing w:val="0"/>
          <w:sz w:val="44"/>
          <w:szCs w:val="44"/>
          <w:highlight w:val="none"/>
          <w:u w:val="none" w:color="auto"/>
          <w:lang w:val="en-US" w:eastAsia="zh-CN"/>
        </w:rPr>
        <w:t>全链条整治行动实施方案</w:t>
      </w:r>
    </w:p>
    <w:p>
      <w:pPr>
        <w:keepNext w:val="0"/>
        <w:keepLines w:val="0"/>
        <w:pageBreakBefore w:val="0"/>
        <w:widowControl w:val="0"/>
        <w:kinsoku/>
        <w:wordWrap w:val="0"/>
        <w:overflowPunct/>
        <w:topLinePunct w:val="0"/>
        <w:autoSpaceDE/>
        <w:autoSpaceDN/>
        <w:bidi w:val="0"/>
        <w:adjustRightInd/>
        <w:snapToGrid/>
        <w:spacing w:line="600" w:lineRule="exact"/>
        <w:jc w:val="center"/>
        <w:textAlignment w:val="auto"/>
        <w:rPr>
          <w:rFonts w:hint="default" w:ascii="Times New Roman" w:hAnsi="Times New Roman" w:eastAsia="楷体" w:cs="Times New Roman"/>
          <w:color w:val="auto"/>
          <w:spacing w:val="0"/>
          <w:sz w:val="32"/>
          <w:szCs w:val="32"/>
          <w:u w:val="none" w:color="auto"/>
          <w:lang w:val="en-US" w:eastAsia="zh-CN"/>
        </w:rPr>
      </w:pPr>
      <w:r>
        <w:rPr>
          <w:rFonts w:hint="default" w:ascii="Times New Roman" w:hAnsi="Times New Roman" w:eastAsia="楷体" w:cs="Times New Roman"/>
          <w:color w:val="auto"/>
          <w:spacing w:val="0"/>
          <w:sz w:val="32"/>
          <w:szCs w:val="32"/>
          <w:u w:val="none" w:color="auto"/>
          <w:lang w:val="en-US" w:eastAsia="zh-CN"/>
        </w:rPr>
        <w:t>（征求意见稿）</w:t>
      </w: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pacing w:val="0"/>
          <w:kern w:val="0"/>
          <w:sz w:val="32"/>
          <w:szCs w:val="32"/>
          <w:u w:val="none" w:color="auto"/>
          <w:lang w:val="en-US" w:eastAsia="zh-CN"/>
        </w:rPr>
      </w:pP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spacing w:val="0"/>
          <w:kern w:val="0"/>
          <w:sz w:val="32"/>
          <w:szCs w:val="32"/>
          <w:u w:val="none" w:color="auto"/>
          <w:lang w:val="en-US" w:eastAsia="zh-CN"/>
        </w:rPr>
      </w:pPr>
      <w:r>
        <w:rPr>
          <w:rFonts w:hint="default" w:ascii="Times New Roman" w:hAnsi="Times New Roman" w:eastAsia="仿宋_GB2312" w:cs="Times New Roman"/>
          <w:color w:val="auto"/>
          <w:spacing w:val="0"/>
          <w:kern w:val="0"/>
          <w:sz w:val="32"/>
          <w:szCs w:val="32"/>
          <w:u w:val="none" w:color="auto"/>
          <w:lang w:val="en-US" w:eastAsia="zh-CN"/>
        </w:rPr>
        <w:t>为进一步预防和减少电动自行车安全事故特别是火灾事故，深化电动自行车全链条安全监管，根据《江苏省电动自行车安全隐患全链条整治行动实施方案》和《苏州市深化电动自行车安全隐患全链条整治行动实施方案》，结合我市实际，制定本方案。</w:t>
      </w:r>
    </w:p>
    <w:p>
      <w:pPr>
        <w:pStyle w:val="3"/>
        <w:keepNext w:val="0"/>
        <w:keepLines w:val="0"/>
        <w:pageBreakBefore w:val="0"/>
        <w:widowControl w:val="0"/>
        <w:kinsoku/>
        <w:wordWrap w:val="0"/>
        <w:overflowPunct/>
        <w:topLinePunct w:val="0"/>
        <w:autoSpaceDE/>
        <w:autoSpaceDN/>
        <w:bidi w:val="0"/>
        <w:adjustRightInd/>
        <w:snapToGrid/>
        <w:spacing w:before="0" w:after="0" w:line="600" w:lineRule="exact"/>
        <w:ind w:firstLine="640" w:firstLineChars="200"/>
        <w:jc w:val="both"/>
        <w:textAlignment w:val="auto"/>
        <w:rPr>
          <w:rFonts w:hint="default" w:ascii="Times New Roman" w:hAnsi="Times New Roman" w:eastAsia="黑体" w:cs="Times New Roman"/>
          <w:color w:val="auto"/>
          <w:spacing w:val="0"/>
          <w:sz w:val="32"/>
          <w:szCs w:val="32"/>
          <w:u w:val="none" w:color="auto"/>
          <w:lang w:eastAsia="zh-CN"/>
        </w:rPr>
      </w:pPr>
      <w:r>
        <w:rPr>
          <w:rFonts w:hint="default" w:ascii="Times New Roman" w:hAnsi="Times New Roman" w:eastAsia="黑体" w:cs="Times New Roman"/>
          <w:b w:val="0"/>
          <w:bCs/>
          <w:color w:val="auto"/>
          <w:spacing w:val="0"/>
          <w:sz w:val="32"/>
          <w:szCs w:val="32"/>
          <w:u w:val="none" w:color="auto"/>
          <w:lang w:eastAsia="zh-CN"/>
        </w:rPr>
        <w:t>一、整治</w:t>
      </w:r>
      <w:r>
        <w:rPr>
          <w:rFonts w:hint="default" w:ascii="Times New Roman" w:hAnsi="Times New Roman" w:eastAsia="黑体" w:cs="Times New Roman"/>
          <w:b w:val="0"/>
          <w:bCs/>
          <w:color w:val="auto"/>
          <w:spacing w:val="0"/>
          <w:sz w:val="32"/>
          <w:szCs w:val="32"/>
          <w:u w:val="none" w:color="auto"/>
          <w:lang w:val="en-US" w:eastAsia="zh-CN"/>
        </w:rPr>
        <w:t>工作</w:t>
      </w:r>
      <w:r>
        <w:rPr>
          <w:rFonts w:hint="default" w:ascii="Times New Roman" w:hAnsi="Times New Roman" w:eastAsia="黑体" w:cs="Times New Roman"/>
          <w:b w:val="0"/>
          <w:bCs/>
          <w:color w:val="auto"/>
          <w:spacing w:val="0"/>
          <w:sz w:val="32"/>
          <w:szCs w:val="32"/>
          <w:u w:val="none" w:color="auto"/>
          <w:lang w:eastAsia="zh-CN"/>
        </w:rPr>
        <w:t>要求</w:t>
      </w: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spacing w:val="0"/>
          <w:kern w:val="0"/>
          <w:sz w:val="32"/>
          <w:szCs w:val="32"/>
          <w:u w:val="none" w:color="auto"/>
          <w:lang w:val="en-US" w:eastAsia="zh-CN"/>
        </w:rPr>
      </w:pPr>
      <w:r>
        <w:rPr>
          <w:rFonts w:hint="default" w:ascii="Times New Roman" w:hAnsi="Times New Roman" w:eastAsia="仿宋_GB2312" w:cs="Times New Roman"/>
          <w:color w:val="auto"/>
          <w:spacing w:val="0"/>
          <w:kern w:val="0"/>
          <w:sz w:val="32"/>
          <w:szCs w:val="32"/>
          <w:u w:val="none" w:color="auto"/>
          <w:lang w:val="en-US" w:eastAsia="zh-CN"/>
        </w:rPr>
        <w:t>以习近平新时代中国特色社会主义思想为指导，深入学习贯彻习近平总书记关于安全生产重要论述和对江苏、苏州工作重要讲话、重要指示精神，坚持人民至上、生命至上，坚持标本兼治、疏堵结合、创新驱动、齐抓共管，坚持保障安全与服务民生相结合，聚焦电动自行车突出安全风险，紧盯生产、销售、使用、回收等重点环节，着力构建电动自行车全链条安全监管体系，进一步提升电动自行车安全管理水平，有效防范化解电动自行车安全风险，确保人民群众生命财产安全。2024年开展集中整治，切实消除安全隐患，有效预防和减少电动自行车安全事故，坚决遏制重特大火灾事故；2025年巩固提升整治成效，降低存量风险，严控增量风险，建立完善并推进落实电动自行车全链条安全监管长效机制。</w:t>
      </w:r>
    </w:p>
    <w:p>
      <w:pPr>
        <w:pStyle w:val="3"/>
        <w:keepNext w:val="0"/>
        <w:keepLines w:val="0"/>
        <w:pageBreakBefore w:val="0"/>
        <w:widowControl w:val="0"/>
        <w:kinsoku/>
        <w:wordWrap w:val="0"/>
        <w:overflowPunct/>
        <w:topLinePunct w:val="0"/>
        <w:autoSpaceDE/>
        <w:autoSpaceDN/>
        <w:bidi w:val="0"/>
        <w:adjustRightInd/>
        <w:snapToGrid/>
        <w:spacing w:line="600" w:lineRule="exact"/>
        <w:jc w:val="both"/>
        <w:textAlignment w:val="auto"/>
        <w:rPr>
          <w:rFonts w:hint="default" w:ascii="Times New Roman" w:hAnsi="Times New Roman" w:eastAsia="黑体" w:cs="Times New Roman"/>
          <w:color w:val="auto"/>
          <w:spacing w:val="0"/>
          <w:sz w:val="32"/>
          <w:szCs w:val="32"/>
          <w:u w:val="none" w:color="auto"/>
          <w:lang w:val="en-US" w:eastAsia="zh-CN"/>
        </w:rPr>
      </w:pPr>
      <w:r>
        <w:rPr>
          <w:rFonts w:hint="default" w:ascii="Times New Roman" w:hAnsi="Times New Roman" w:eastAsia="黑体" w:cs="Times New Roman"/>
          <w:color w:val="auto"/>
          <w:spacing w:val="0"/>
          <w:sz w:val="32"/>
          <w:szCs w:val="32"/>
          <w:u w:val="none" w:color="auto"/>
        </w:rPr>
        <w:t>二、</w:t>
      </w:r>
      <w:r>
        <w:rPr>
          <w:rFonts w:hint="default" w:ascii="Times New Roman" w:hAnsi="Times New Roman" w:eastAsia="黑体" w:cs="Times New Roman"/>
          <w:color w:val="auto"/>
          <w:spacing w:val="0"/>
          <w:sz w:val="32"/>
          <w:szCs w:val="32"/>
          <w:u w:val="none" w:color="auto"/>
          <w:lang w:val="en-US" w:eastAsia="zh-CN"/>
        </w:rPr>
        <w:t>整治工作内容</w:t>
      </w:r>
    </w:p>
    <w:p>
      <w:pPr>
        <w:pStyle w:val="4"/>
        <w:keepNext w:val="0"/>
        <w:keepLines w:val="0"/>
        <w:pageBreakBefore w:val="0"/>
        <w:widowControl w:val="0"/>
        <w:kinsoku/>
        <w:wordWrap w:val="0"/>
        <w:overflowPunct/>
        <w:topLinePunct w:val="0"/>
        <w:autoSpaceDE/>
        <w:autoSpaceDN/>
        <w:bidi w:val="0"/>
        <w:adjustRightInd/>
        <w:snapToGrid/>
        <w:spacing w:line="600" w:lineRule="exact"/>
        <w:jc w:val="both"/>
        <w:textAlignment w:val="auto"/>
        <w:rPr>
          <w:rFonts w:hint="default" w:ascii="Times New Roman" w:hAnsi="Times New Roman" w:eastAsia="楷体_GB2312" w:cs="Times New Roman"/>
          <w:color w:val="auto"/>
          <w:spacing w:val="0"/>
          <w:sz w:val="32"/>
          <w:szCs w:val="32"/>
          <w:u w:val="none" w:color="auto"/>
        </w:rPr>
      </w:pPr>
      <w:r>
        <w:rPr>
          <w:rFonts w:hint="default" w:ascii="Times New Roman" w:hAnsi="Times New Roman" w:eastAsia="楷体_GB2312" w:cs="Times New Roman"/>
          <w:color w:val="auto"/>
          <w:spacing w:val="0"/>
          <w:sz w:val="32"/>
          <w:szCs w:val="32"/>
          <w:u w:val="none" w:color="auto"/>
          <w:lang w:eastAsia="zh-CN"/>
        </w:rPr>
        <w:t>（</w:t>
      </w:r>
      <w:r>
        <w:rPr>
          <w:rFonts w:hint="default" w:ascii="Times New Roman" w:hAnsi="Times New Roman" w:eastAsia="楷体_GB2312" w:cs="Times New Roman"/>
          <w:color w:val="auto"/>
          <w:spacing w:val="0"/>
          <w:sz w:val="32"/>
          <w:szCs w:val="32"/>
          <w:u w:val="none" w:color="auto"/>
          <w:lang w:val="en-US" w:eastAsia="zh-CN"/>
        </w:rPr>
        <w:t>一</w:t>
      </w:r>
      <w:r>
        <w:rPr>
          <w:rFonts w:hint="default" w:ascii="Times New Roman" w:hAnsi="Times New Roman" w:eastAsia="楷体_GB2312" w:cs="Times New Roman"/>
          <w:color w:val="auto"/>
          <w:spacing w:val="0"/>
          <w:sz w:val="32"/>
          <w:szCs w:val="32"/>
          <w:u w:val="none" w:color="auto"/>
          <w:lang w:eastAsia="zh-CN"/>
        </w:rPr>
        <w:t>）</w:t>
      </w:r>
      <w:r>
        <w:rPr>
          <w:rFonts w:hint="default" w:ascii="Times New Roman" w:hAnsi="Times New Roman" w:eastAsia="楷体_GB2312" w:cs="Times New Roman"/>
          <w:color w:val="auto"/>
          <w:spacing w:val="0"/>
          <w:sz w:val="32"/>
          <w:szCs w:val="32"/>
          <w:u w:val="none" w:color="auto"/>
        </w:rPr>
        <w:t>电动自行车</w:t>
      </w:r>
      <w:r>
        <w:rPr>
          <w:rFonts w:hint="default" w:ascii="Times New Roman" w:hAnsi="Times New Roman" w:eastAsia="楷体_GB2312" w:cs="Times New Roman"/>
          <w:color w:val="auto"/>
          <w:spacing w:val="0"/>
          <w:sz w:val="32"/>
          <w:szCs w:val="32"/>
          <w:u w:val="none" w:color="auto"/>
          <w:lang w:val="en-US" w:eastAsia="zh-CN"/>
        </w:rPr>
        <w:t>生产环节</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default" w:ascii="Times New Roman" w:hAnsi="Times New Roman" w:eastAsia="仿宋_GB2312" w:cs="Times New Roman"/>
          <w:color w:val="auto"/>
          <w:spacing w:val="0"/>
          <w:kern w:val="0"/>
          <w:sz w:val="32"/>
          <w:szCs w:val="32"/>
          <w:u w:val="none" w:color="auto"/>
          <w:lang w:val="en-US" w:eastAsia="zh-CN"/>
        </w:rPr>
      </w:pPr>
      <w:r>
        <w:rPr>
          <w:rFonts w:hint="default" w:ascii="Times New Roman" w:hAnsi="Times New Roman" w:eastAsia="仿宋_GB2312" w:cs="Times New Roman"/>
          <w:b/>
          <w:bCs/>
          <w:color w:val="auto"/>
          <w:spacing w:val="0"/>
          <w:kern w:val="0"/>
          <w:sz w:val="32"/>
          <w:szCs w:val="32"/>
          <w:u w:val="none" w:color="auto"/>
          <w:lang w:val="en-US" w:eastAsia="zh-CN"/>
        </w:rPr>
        <w:t>1.强化标准贯彻落实。</w:t>
      </w:r>
      <w:r>
        <w:rPr>
          <w:rFonts w:hint="default" w:ascii="Times New Roman" w:hAnsi="Times New Roman" w:eastAsia="仿宋_GB2312" w:cs="Times New Roman"/>
          <w:color w:val="auto"/>
          <w:spacing w:val="0"/>
          <w:kern w:val="0"/>
          <w:sz w:val="32"/>
          <w:szCs w:val="32"/>
          <w:u w:val="none" w:color="auto"/>
          <w:lang w:val="en-US" w:eastAsia="zh-CN"/>
        </w:rPr>
        <w:t>组织宣贯《电动自行车安全技术规范》《电动自行车电气安全要求》《电动自行车用锂离子蓄电池安全技术规范》《电动自行车用充电器安全技术要求》等强制性国家标准，指导督促企业按照国家标准提高电动自行车防火阻燃性能，严格电气导线载流能力和蓄电池、控制器、限速器防篡改技术要求，按规定严格限制电机功率，明确整车内置具备动态安全监测功能的北斗定位模块，标注正常使用条件下锂电池安全使用年限，禁止电动自行车使用梯次利用锂电池。</w:t>
      </w:r>
      <w:r>
        <w:rPr>
          <w:rFonts w:hint="default" w:ascii="Times New Roman" w:hAnsi="Times New Roman" w:eastAsia="仿宋_GB2312" w:cs="Times New Roman"/>
          <w:b w:val="0"/>
          <w:bCs w:val="0"/>
          <w:color w:val="auto"/>
          <w:spacing w:val="0"/>
          <w:kern w:val="0"/>
          <w:sz w:val="32"/>
          <w:szCs w:val="32"/>
          <w:u w:val="none" w:color="auto"/>
          <w:lang w:val="en-US" w:eastAsia="zh-CN"/>
        </w:rPr>
        <w:t>〔市工信局、市市场监管局牵头负责，市公安局、市消防救援大队配合；各镇（区、街道）政府（管委会、办事处）组织落实〕</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spacing w:val="0"/>
          <w:kern w:val="0"/>
          <w:sz w:val="32"/>
          <w:szCs w:val="32"/>
          <w:u w:val="none" w:color="auto"/>
          <w:lang w:val="en-US" w:eastAsia="zh-CN"/>
        </w:rPr>
      </w:pPr>
      <w:r>
        <w:rPr>
          <w:rFonts w:hint="default" w:ascii="Times New Roman" w:hAnsi="Times New Roman" w:eastAsia="仿宋_GB2312" w:cs="Times New Roman"/>
          <w:color w:val="auto"/>
          <w:spacing w:val="0"/>
          <w:kern w:val="0"/>
          <w:sz w:val="32"/>
          <w:szCs w:val="32"/>
          <w:u w:val="none" w:color="auto"/>
          <w:lang w:val="en-US" w:eastAsia="zh-CN"/>
        </w:rPr>
        <w:t>指导督促企业按照国家标准落实电动自行车控制器、蓄电池、充电器互认协同要求；推行“一车一池一充一码”，明确电动自行车车架、蓄电池、充电器明显位置设置永久性耐高温识别代码标识，2024年底前取得明显进展并持续推进。</w:t>
      </w:r>
      <w:r>
        <w:rPr>
          <w:rFonts w:hint="default" w:ascii="Times New Roman" w:hAnsi="Times New Roman" w:eastAsia="仿宋_GB2312" w:cs="Times New Roman"/>
          <w:b w:val="0"/>
          <w:bCs w:val="0"/>
          <w:color w:val="auto"/>
          <w:spacing w:val="0"/>
          <w:kern w:val="0"/>
          <w:sz w:val="32"/>
          <w:szCs w:val="32"/>
          <w:u w:val="none" w:color="auto"/>
          <w:lang w:val="en-US" w:eastAsia="zh-CN"/>
        </w:rPr>
        <w:t>〔市工信局、市市场监管局牵头负责；各镇（区、街道）政府（管委会、办事处）组织落实〕</w:t>
      </w:r>
    </w:p>
    <w:p>
      <w:pPr>
        <w:keepNext w:val="0"/>
        <w:keepLines w:val="0"/>
        <w:pageBreakBefore w:val="0"/>
        <w:widowControl w:val="0"/>
        <w:kinsoku/>
        <w:wordWrap w:val="0"/>
        <w:overflowPunct/>
        <w:topLinePunct w:val="0"/>
        <w:autoSpaceDE/>
        <w:autoSpaceDN/>
        <w:bidi w:val="0"/>
        <w:adjustRightInd/>
        <w:snapToGrid/>
        <w:spacing w:line="600" w:lineRule="exact"/>
        <w:ind w:firstLine="643" w:firstLineChars="200"/>
        <w:jc w:val="both"/>
        <w:textAlignment w:val="auto"/>
        <w:rPr>
          <w:rFonts w:hint="default" w:ascii="Times New Roman" w:hAnsi="Times New Roman" w:eastAsia="仿宋_GB2312" w:cs="Times New Roman"/>
          <w:b w:val="0"/>
          <w:bCs w:val="0"/>
          <w:color w:val="auto"/>
          <w:spacing w:val="0"/>
          <w:kern w:val="0"/>
          <w:sz w:val="32"/>
          <w:szCs w:val="32"/>
          <w:u w:val="none" w:color="auto"/>
          <w:lang w:val="en-US" w:eastAsia="zh-CN"/>
        </w:rPr>
      </w:pPr>
      <w:r>
        <w:rPr>
          <w:rFonts w:hint="default" w:ascii="Times New Roman" w:hAnsi="Times New Roman" w:eastAsia="仿宋_GB2312" w:cs="Times New Roman"/>
          <w:b/>
          <w:bCs/>
          <w:color w:val="auto"/>
          <w:spacing w:val="0"/>
          <w:kern w:val="0"/>
          <w:sz w:val="32"/>
          <w:szCs w:val="32"/>
          <w:u w:val="none" w:color="auto"/>
          <w:lang w:val="en-US" w:eastAsia="zh-CN"/>
        </w:rPr>
        <w:t>2.严格认证监督管理。</w:t>
      </w:r>
      <w:r>
        <w:rPr>
          <w:rFonts w:hint="default" w:ascii="Times New Roman" w:hAnsi="Times New Roman" w:eastAsia="仿宋_GB2312" w:cs="Times New Roman"/>
          <w:color w:val="auto"/>
          <w:spacing w:val="0"/>
          <w:kern w:val="0"/>
          <w:sz w:val="32"/>
          <w:szCs w:val="32"/>
          <w:u w:val="none" w:color="auto"/>
          <w:lang w:val="en-US" w:eastAsia="zh-CN"/>
        </w:rPr>
        <w:t>强化纳入认证管理范围的电动自行车及核心部件强制性产品认证（CCC）管理，结合“双随机、一公开”监督检查，提高认证产品生产企业抽查比例，严查无证生产、超认证范围生产、不按认证要求生产等违法违规行为；督促认证机构依法依规开展认证，加强获证产品一致性检查。</w:t>
      </w:r>
      <w:r>
        <w:rPr>
          <w:rFonts w:hint="default" w:ascii="Times New Roman" w:hAnsi="Times New Roman" w:eastAsia="仿宋_GB2312" w:cs="Times New Roman"/>
          <w:b w:val="0"/>
          <w:bCs w:val="0"/>
          <w:color w:val="auto"/>
          <w:spacing w:val="0"/>
          <w:kern w:val="0"/>
          <w:sz w:val="32"/>
          <w:szCs w:val="32"/>
          <w:u w:val="none" w:color="auto"/>
          <w:lang w:val="en-US" w:eastAsia="zh-CN"/>
        </w:rPr>
        <w:t>〔市市场监管局牵头负责；各镇（区、街道）政府（管委会、办事处）组织落实〕</w:t>
      </w:r>
    </w:p>
    <w:p>
      <w:pPr>
        <w:keepNext w:val="0"/>
        <w:keepLines w:val="0"/>
        <w:pageBreakBefore w:val="0"/>
        <w:widowControl w:val="0"/>
        <w:kinsoku/>
        <w:wordWrap w:val="0"/>
        <w:overflowPunct/>
        <w:topLinePunct w:val="0"/>
        <w:autoSpaceDE/>
        <w:autoSpaceDN/>
        <w:bidi w:val="0"/>
        <w:adjustRightInd/>
        <w:snapToGrid/>
        <w:spacing w:line="600" w:lineRule="exact"/>
        <w:ind w:firstLine="643" w:firstLineChars="200"/>
        <w:jc w:val="both"/>
        <w:textAlignment w:val="auto"/>
        <w:rPr>
          <w:rFonts w:hint="default" w:ascii="Times New Roman" w:hAnsi="Times New Roman" w:eastAsia="仿宋_GB2312" w:cs="Times New Roman"/>
          <w:b w:val="0"/>
          <w:bCs w:val="0"/>
          <w:color w:val="auto"/>
          <w:spacing w:val="0"/>
          <w:kern w:val="0"/>
          <w:sz w:val="32"/>
          <w:szCs w:val="32"/>
          <w:u w:val="none" w:color="auto"/>
          <w:lang w:val="en-US" w:eastAsia="zh-CN"/>
        </w:rPr>
      </w:pPr>
      <w:r>
        <w:rPr>
          <w:rFonts w:hint="default" w:ascii="Times New Roman" w:hAnsi="Times New Roman" w:eastAsia="仿宋_GB2312" w:cs="Times New Roman"/>
          <w:b/>
          <w:bCs/>
          <w:color w:val="auto"/>
          <w:spacing w:val="0"/>
          <w:kern w:val="0"/>
          <w:sz w:val="32"/>
          <w:szCs w:val="32"/>
          <w:u w:val="none" w:color="auto"/>
          <w:lang w:val="en-US" w:eastAsia="zh-CN"/>
        </w:rPr>
        <w:t>3.引导行业规范发展。</w:t>
      </w:r>
      <w:r>
        <w:rPr>
          <w:rFonts w:hint="default" w:ascii="Times New Roman" w:hAnsi="Times New Roman" w:eastAsia="仿宋_GB2312" w:cs="Times New Roman"/>
          <w:color w:val="auto"/>
          <w:spacing w:val="0"/>
          <w:kern w:val="0"/>
          <w:sz w:val="32"/>
          <w:szCs w:val="32"/>
          <w:u w:val="none" w:color="auto"/>
          <w:lang w:val="en-US" w:eastAsia="zh-CN"/>
        </w:rPr>
        <w:t>严格落实国家《电动自行车行业规范条件》《锂离子电池行业规范条件》等，引导电动自行车及锂离子蓄电池生产企业加快技术改造，不断提高规范化水平。指导符合条件的生产企业进入国家“正面清单”目录，推动电动自行车产品质量水平整体提升。鼓励电动自行车行业协会加强自律管理。</w:t>
      </w:r>
      <w:r>
        <w:rPr>
          <w:rFonts w:hint="default" w:ascii="Times New Roman" w:hAnsi="Times New Roman" w:eastAsia="仿宋_GB2312" w:cs="Times New Roman"/>
          <w:b w:val="0"/>
          <w:bCs w:val="0"/>
          <w:color w:val="auto"/>
          <w:spacing w:val="0"/>
          <w:kern w:val="0"/>
          <w:sz w:val="32"/>
          <w:szCs w:val="32"/>
          <w:u w:val="none" w:color="auto"/>
          <w:lang w:val="en-US" w:eastAsia="zh-CN"/>
        </w:rPr>
        <w:t>〔市工信局牵头负责，市市场监管局配合；各镇（区、街道）政府（管委会、办事处）组织落实〕</w:t>
      </w:r>
    </w:p>
    <w:p>
      <w:pPr>
        <w:keepNext w:val="0"/>
        <w:keepLines w:val="0"/>
        <w:pageBreakBefore w:val="0"/>
        <w:widowControl w:val="0"/>
        <w:kinsoku/>
        <w:wordWrap w:val="0"/>
        <w:overflowPunct/>
        <w:topLinePunct w:val="0"/>
        <w:autoSpaceDE/>
        <w:autoSpaceDN/>
        <w:bidi w:val="0"/>
        <w:adjustRightInd/>
        <w:snapToGrid/>
        <w:spacing w:line="600" w:lineRule="exact"/>
        <w:ind w:firstLine="643" w:firstLineChars="200"/>
        <w:jc w:val="both"/>
        <w:textAlignment w:val="auto"/>
        <w:rPr>
          <w:rFonts w:hint="default" w:ascii="Times New Roman" w:hAnsi="Times New Roman" w:eastAsia="仿宋_GB2312" w:cs="Times New Roman"/>
          <w:b w:val="0"/>
          <w:bCs w:val="0"/>
          <w:color w:val="auto"/>
          <w:spacing w:val="0"/>
          <w:kern w:val="0"/>
          <w:sz w:val="32"/>
          <w:szCs w:val="32"/>
          <w:u w:val="none" w:color="auto"/>
          <w:lang w:val="en-US" w:eastAsia="zh-CN"/>
        </w:rPr>
      </w:pPr>
      <w:r>
        <w:rPr>
          <w:rFonts w:hint="default" w:ascii="Times New Roman" w:hAnsi="Times New Roman" w:eastAsia="仿宋_GB2312" w:cs="Times New Roman"/>
          <w:b/>
          <w:bCs/>
          <w:color w:val="auto"/>
          <w:spacing w:val="0"/>
          <w:kern w:val="0"/>
          <w:sz w:val="32"/>
          <w:szCs w:val="32"/>
          <w:u w:val="none" w:color="auto"/>
          <w:lang w:val="en-US" w:eastAsia="zh-CN"/>
        </w:rPr>
        <w:t>4.</w:t>
      </w:r>
      <w:r>
        <w:rPr>
          <w:rStyle w:val="17"/>
          <w:rFonts w:hint="default" w:ascii="Times New Roman" w:hAnsi="Times New Roman" w:eastAsia="仿宋_GB2312" w:cs="Times New Roman"/>
          <w:color w:val="auto"/>
          <w:spacing w:val="0"/>
          <w:sz w:val="32"/>
          <w:szCs w:val="32"/>
          <w:u w:val="none" w:color="auto"/>
          <w:lang w:val="en-US" w:eastAsia="zh-CN"/>
        </w:rPr>
        <w:t>加强</w:t>
      </w:r>
      <w:r>
        <w:rPr>
          <w:rStyle w:val="17"/>
          <w:rFonts w:hint="default" w:ascii="Times New Roman" w:hAnsi="Times New Roman" w:eastAsia="仿宋_GB2312" w:cs="Times New Roman"/>
          <w:color w:val="auto"/>
          <w:spacing w:val="0"/>
          <w:sz w:val="32"/>
          <w:szCs w:val="32"/>
          <w:u w:val="none" w:color="auto"/>
        </w:rPr>
        <w:t>企业</w:t>
      </w:r>
      <w:r>
        <w:rPr>
          <w:rStyle w:val="17"/>
          <w:rFonts w:hint="default" w:ascii="Times New Roman" w:hAnsi="Times New Roman" w:eastAsia="仿宋_GB2312" w:cs="Times New Roman"/>
          <w:color w:val="auto"/>
          <w:spacing w:val="0"/>
          <w:sz w:val="32"/>
          <w:szCs w:val="32"/>
          <w:u w:val="none" w:color="auto"/>
          <w:lang w:val="en-US" w:eastAsia="zh-CN"/>
        </w:rPr>
        <w:t>质量管控</w:t>
      </w:r>
      <w:r>
        <w:rPr>
          <w:rStyle w:val="17"/>
          <w:rFonts w:hint="default" w:ascii="Times New Roman" w:hAnsi="Times New Roman" w:eastAsia="仿宋_GB2312" w:cs="Times New Roman"/>
          <w:color w:val="auto"/>
          <w:spacing w:val="0"/>
          <w:sz w:val="32"/>
          <w:szCs w:val="32"/>
          <w:u w:val="none" w:color="auto"/>
        </w:rPr>
        <w:t>。</w:t>
      </w:r>
      <w:r>
        <w:rPr>
          <w:rFonts w:hint="default" w:ascii="Times New Roman" w:hAnsi="Times New Roman" w:eastAsia="仿宋_GB2312" w:cs="Times New Roman"/>
          <w:color w:val="auto"/>
          <w:spacing w:val="0"/>
          <w:kern w:val="0"/>
          <w:sz w:val="32"/>
          <w:szCs w:val="32"/>
          <w:u w:val="none" w:color="auto"/>
          <w:lang w:val="en-US" w:eastAsia="zh-CN"/>
        </w:rPr>
        <w:t>严格电动自行车及蓄电池、充电器生产企业质量安全监管，集中开展一轮排查整治，全面摸清生产企业底数，逐一审查生产资质，指导督促企业严格按照强制性国家标准和安全技术规范生产，2024年10月底前完成。对纳入重点工业产品质量安全监管目录的电动自行车及蓄电池、充电器等核心部件，常态化开展质量抽查并定期向社会公布抽查结果；持续严厉打击生产假冒伪劣产品行为，依法处罚未经认证出厂、销售、进口等违法行为，情节严重的吊销营业执照；发现存在质量缺陷时，及时督促企业向社会公布存在安全隐患的缺陷产品信息，严格执行召回制度，2024年底前取得明显进展并持续推进。</w:t>
      </w:r>
      <w:r>
        <w:rPr>
          <w:rFonts w:hint="default" w:ascii="Times New Roman" w:hAnsi="Times New Roman" w:eastAsia="仿宋_GB2312" w:cs="Times New Roman"/>
          <w:b w:val="0"/>
          <w:bCs w:val="0"/>
          <w:color w:val="auto"/>
          <w:spacing w:val="0"/>
          <w:kern w:val="0"/>
          <w:sz w:val="32"/>
          <w:szCs w:val="32"/>
          <w:u w:val="none" w:color="auto"/>
          <w:lang w:val="en-US" w:eastAsia="zh-CN"/>
        </w:rPr>
        <w:t>〔市市场监管局牵头负责，市工信局配合；各镇（区、街道）政府（管委会、办事处）组织落实〕</w:t>
      </w:r>
    </w:p>
    <w:p>
      <w:pPr>
        <w:pStyle w:val="4"/>
        <w:keepNext w:val="0"/>
        <w:keepLines w:val="0"/>
        <w:pageBreakBefore w:val="0"/>
        <w:widowControl w:val="0"/>
        <w:kinsoku/>
        <w:wordWrap w:val="0"/>
        <w:overflowPunct/>
        <w:topLinePunct w:val="0"/>
        <w:autoSpaceDE/>
        <w:autoSpaceDN/>
        <w:bidi w:val="0"/>
        <w:adjustRightInd/>
        <w:snapToGrid/>
        <w:spacing w:line="600" w:lineRule="exact"/>
        <w:jc w:val="both"/>
        <w:textAlignment w:val="auto"/>
        <w:rPr>
          <w:rFonts w:hint="default" w:ascii="Times New Roman" w:hAnsi="Times New Roman" w:eastAsia="楷体_GB2312" w:cs="Times New Roman"/>
          <w:color w:val="auto"/>
          <w:spacing w:val="0"/>
          <w:sz w:val="32"/>
          <w:szCs w:val="32"/>
          <w:u w:val="none" w:color="auto"/>
        </w:rPr>
      </w:pPr>
      <w:r>
        <w:rPr>
          <w:rFonts w:hint="default" w:ascii="Times New Roman" w:hAnsi="Times New Roman" w:eastAsia="楷体_GB2312" w:cs="Times New Roman"/>
          <w:color w:val="auto"/>
          <w:spacing w:val="0"/>
          <w:sz w:val="32"/>
          <w:szCs w:val="32"/>
          <w:u w:val="none" w:color="auto"/>
          <w:lang w:eastAsia="zh-CN"/>
        </w:rPr>
        <w:t>（</w:t>
      </w:r>
      <w:r>
        <w:rPr>
          <w:rFonts w:hint="default" w:ascii="Times New Roman" w:hAnsi="Times New Roman" w:eastAsia="楷体_GB2312" w:cs="Times New Roman"/>
          <w:color w:val="auto"/>
          <w:spacing w:val="0"/>
          <w:sz w:val="32"/>
          <w:szCs w:val="32"/>
          <w:u w:val="none" w:color="auto"/>
          <w:lang w:val="en-US" w:eastAsia="zh-CN"/>
        </w:rPr>
        <w:t>二</w:t>
      </w:r>
      <w:r>
        <w:rPr>
          <w:rFonts w:hint="default" w:ascii="Times New Roman" w:hAnsi="Times New Roman" w:eastAsia="楷体_GB2312" w:cs="Times New Roman"/>
          <w:color w:val="auto"/>
          <w:spacing w:val="0"/>
          <w:sz w:val="32"/>
          <w:szCs w:val="32"/>
          <w:u w:val="none" w:color="auto"/>
          <w:lang w:eastAsia="zh-CN"/>
        </w:rPr>
        <w:t>）</w:t>
      </w:r>
      <w:r>
        <w:rPr>
          <w:rFonts w:hint="default" w:ascii="Times New Roman" w:hAnsi="Times New Roman" w:eastAsia="楷体_GB2312" w:cs="Times New Roman"/>
          <w:color w:val="auto"/>
          <w:spacing w:val="0"/>
          <w:sz w:val="32"/>
          <w:szCs w:val="32"/>
          <w:u w:val="none" w:color="auto"/>
        </w:rPr>
        <w:t>电动自行车</w:t>
      </w:r>
      <w:r>
        <w:rPr>
          <w:rFonts w:hint="default" w:ascii="Times New Roman" w:hAnsi="Times New Roman" w:eastAsia="楷体_GB2312" w:cs="Times New Roman"/>
          <w:color w:val="auto"/>
          <w:spacing w:val="0"/>
          <w:sz w:val="32"/>
          <w:szCs w:val="32"/>
          <w:u w:val="none" w:color="auto"/>
          <w:lang w:val="en-US" w:eastAsia="zh-CN"/>
        </w:rPr>
        <w:t>销售环节</w:t>
      </w:r>
    </w:p>
    <w:p>
      <w:pPr>
        <w:keepNext w:val="0"/>
        <w:keepLines w:val="0"/>
        <w:pageBreakBefore w:val="0"/>
        <w:widowControl w:val="0"/>
        <w:kinsoku/>
        <w:wordWrap/>
        <w:overflowPunct/>
        <w:topLinePunct w:val="0"/>
        <w:autoSpaceDE/>
        <w:autoSpaceDN/>
        <w:bidi w:val="0"/>
        <w:spacing w:line="600" w:lineRule="exact"/>
        <w:ind w:firstLine="643" w:firstLineChars="200"/>
        <w:jc w:val="both"/>
        <w:textAlignment w:val="auto"/>
        <w:rPr>
          <w:rFonts w:hint="default" w:ascii="Times New Roman" w:hAnsi="Times New Roman" w:eastAsia="仿宋_GB2312" w:cs="Times New Roman"/>
          <w:b w:val="0"/>
          <w:bCs w:val="0"/>
          <w:color w:val="auto"/>
          <w:spacing w:val="0"/>
          <w:kern w:val="0"/>
          <w:sz w:val="32"/>
          <w:szCs w:val="32"/>
          <w:u w:val="none" w:color="auto"/>
          <w:lang w:val="en-US" w:eastAsia="zh-CN"/>
        </w:rPr>
      </w:pPr>
      <w:r>
        <w:rPr>
          <w:rFonts w:hint="default" w:ascii="Times New Roman" w:hAnsi="Times New Roman" w:eastAsia="仿宋_GB2312" w:cs="Times New Roman"/>
          <w:b/>
          <w:bCs/>
          <w:color w:val="auto"/>
          <w:spacing w:val="0"/>
          <w:kern w:val="0"/>
          <w:sz w:val="32"/>
          <w:szCs w:val="32"/>
          <w:u w:val="none" w:color="auto"/>
          <w:lang w:val="en-US" w:eastAsia="zh-CN"/>
        </w:rPr>
        <w:t>5.</w:t>
      </w:r>
      <w:r>
        <w:rPr>
          <w:rStyle w:val="17"/>
          <w:rFonts w:hint="default" w:ascii="Times New Roman" w:hAnsi="Times New Roman" w:eastAsia="仿宋_GB2312" w:cs="Times New Roman"/>
          <w:color w:val="auto"/>
          <w:spacing w:val="0"/>
          <w:sz w:val="32"/>
          <w:szCs w:val="32"/>
          <w:u w:val="none" w:color="auto"/>
        </w:rPr>
        <w:t>整治销售企业和网点。</w:t>
      </w:r>
      <w:r>
        <w:rPr>
          <w:rFonts w:hint="default" w:ascii="Times New Roman" w:hAnsi="Times New Roman" w:eastAsia="仿宋_GB2312" w:cs="Times New Roman"/>
          <w:color w:val="auto"/>
          <w:spacing w:val="0"/>
          <w:kern w:val="0"/>
          <w:sz w:val="32"/>
          <w:szCs w:val="32"/>
          <w:u w:val="none" w:color="auto"/>
          <w:lang w:val="en-US" w:eastAsia="zh-CN"/>
        </w:rPr>
        <w:t>集中约谈一次电动自行车及蓄电池、充电器销售企业和网点，持续开展监督检查，督促销售企业严格进货检查验收，重点核查产品合格证明、强制性认证等信息，明确整车不得与蓄电池拆分销售，督促销售网点公示符合标准、获得认证情况和骑行要求，2024年8月底前完成。持续开展流通领域产品质量监督抽查，从严查处无照销售、销售不符合标准和未获得认证产品等行为，情节严重的吊销营业执照，2024年底前完成并持续推进。提前引导销售企业和网点下架不符合强制性国家标准的充电器。</w:t>
      </w:r>
      <w:r>
        <w:rPr>
          <w:rFonts w:hint="default" w:ascii="Times New Roman" w:hAnsi="Times New Roman" w:eastAsia="仿宋_GB2312" w:cs="Times New Roman"/>
          <w:b w:val="0"/>
          <w:bCs w:val="0"/>
          <w:color w:val="auto"/>
          <w:spacing w:val="0"/>
          <w:kern w:val="0"/>
          <w:sz w:val="32"/>
          <w:szCs w:val="32"/>
          <w:u w:val="none" w:color="auto"/>
          <w:lang w:val="en-US" w:eastAsia="zh-CN"/>
        </w:rPr>
        <w:t>〔市市场监管局牵头负责；各镇（区、街道）政府（管委会、办事处）组织落实〕</w:t>
      </w:r>
    </w:p>
    <w:p>
      <w:pPr>
        <w:keepNext w:val="0"/>
        <w:keepLines w:val="0"/>
        <w:pageBreakBefore w:val="0"/>
        <w:widowControl w:val="0"/>
        <w:kinsoku/>
        <w:wordWrap/>
        <w:overflowPunct/>
        <w:topLinePunct w:val="0"/>
        <w:autoSpaceDE/>
        <w:autoSpaceDN/>
        <w:bidi w:val="0"/>
        <w:spacing w:line="600" w:lineRule="exact"/>
        <w:ind w:firstLine="643" w:firstLineChars="200"/>
        <w:jc w:val="both"/>
        <w:textAlignment w:val="auto"/>
        <w:rPr>
          <w:rFonts w:hint="default" w:ascii="Times New Roman" w:hAnsi="Times New Roman" w:eastAsia="仿宋_GB2312" w:cs="Times New Roman"/>
          <w:b w:val="0"/>
          <w:bCs w:val="0"/>
          <w:color w:val="auto"/>
          <w:spacing w:val="0"/>
          <w:kern w:val="0"/>
          <w:sz w:val="32"/>
          <w:szCs w:val="32"/>
          <w:u w:val="none" w:color="auto"/>
          <w:lang w:val="en-US" w:eastAsia="zh-CN"/>
        </w:rPr>
      </w:pPr>
      <w:r>
        <w:rPr>
          <w:rFonts w:hint="default" w:ascii="Times New Roman" w:hAnsi="Times New Roman" w:eastAsia="仿宋_GB2312" w:cs="Times New Roman"/>
          <w:b/>
          <w:bCs/>
          <w:color w:val="auto"/>
          <w:spacing w:val="0"/>
          <w:kern w:val="0"/>
          <w:sz w:val="32"/>
          <w:szCs w:val="32"/>
          <w:u w:val="none" w:color="auto"/>
          <w:lang w:val="en-US" w:eastAsia="zh-CN"/>
        </w:rPr>
        <w:t>6.</w:t>
      </w:r>
      <w:r>
        <w:rPr>
          <w:rStyle w:val="17"/>
          <w:rFonts w:hint="default" w:ascii="Times New Roman" w:hAnsi="Times New Roman" w:eastAsia="仿宋_GB2312" w:cs="Times New Roman"/>
          <w:color w:val="auto"/>
          <w:spacing w:val="0"/>
          <w:sz w:val="32"/>
          <w:szCs w:val="32"/>
          <w:u w:val="none" w:color="auto"/>
        </w:rPr>
        <w:t>规范线上销售活动。</w:t>
      </w:r>
      <w:r>
        <w:rPr>
          <w:rFonts w:hint="default" w:ascii="Times New Roman" w:hAnsi="Times New Roman" w:eastAsia="仿宋_GB2312" w:cs="Times New Roman"/>
          <w:color w:val="auto"/>
          <w:spacing w:val="0"/>
          <w:kern w:val="0"/>
          <w:sz w:val="32"/>
          <w:szCs w:val="32"/>
          <w:u w:val="none" w:color="auto"/>
          <w:lang w:val="en-US" w:eastAsia="zh-CN"/>
        </w:rPr>
        <w:t>综合运用行政指导、约谈等方式，加强电商平台监管，严禁销售未依法经强制性产品认证的电动自行车、蓄电池和充电器等产品，引导合规</w:t>
      </w:r>
      <w:r>
        <w:rPr>
          <w:rFonts w:hint="default" w:ascii="Times New Roman" w:hAnsi="Times New Roman" w:eastAsia="仿宋_GB2312" w:cs="Times New Roman"/>
          <w:color w:val="auto"/>
          <w:spacing w:val="0"/>
          <w:sz w:val="32"/>
          <w:szCs w:val="32"/>
          <w:u w:val="none" w:color="auto"/>
          <w:lang w:val="en-US" w:eastAsia="zh-CN"/>
        </w:rPr>
        <w:t>宣传，及时清理非法拼装改装广告，严禁发布“增容量”“解互认协议”“解限速”等信息；在电动自行车相关商品销售页面，明示“禁止非法拼装改装”内容，2024年8月底前完成。</w:t>
      </w:r>
      <w:r>
        <w:rPr>
          <w:rFonts w:hint="default" w:ascii="Times New Roman" w:hAnsi="Times New Roman" w:eastAsia="仿宋_GB2312" w:cs="Times New Roman"/>
          <w:b w:val="0"/>
          <w:bCs w:val="0"/>
          <w:color w:val="auto"/>
          <w:spacing w:val="0"/>
          <w:kern w:val="0"/>
          <w:sz w:val="32"/>
          <w:szCs w:val="32"/>
          <w:u w:val="none" w:color="auto"/>
          <w:lang w:val="en-US" w:eastAsia="zh-CN"/>
        </w:rPr>
        <w:t>〔市市场监管局牵头负责，市公安局、市商务局配合；各镇（区、街道）政府（管委会、办事处）组织落实〕</w:t>
      </w: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spacing w:val="0"/>
          <w:sz w:val="32"/>
          <w:szCs w:val="32"/>
          <w:u w:val="none" w:color="auto"/>
          <w:lang w:val="en-US" w:eastAsia="zh-CN"/>
        </w:rPr>
      </w:pPr>
      <w:r>
        <w:rPr>
          <w:rFonts w:hint="default" w:ascii="Times New Roman" w:hAnsi="Times New Roman" w:eastAsia="仿宋_GB2312" w:cs="Times New Roman"/>
          <w:color w:val="auto"/>
          <w:spacing w:val="0"/>
          <w:sz w:val="32"/>
          <w:szCs w:val="32"/>
          <w:u w:val="none" w:color="auto"/>
          <w:lang w:val="en-US" w:eastAsia="zh-CN"/>
        </w:rPr>
        <w:t>加强寄递渠道安全监管，禁止寄递电动自行车用蓄电池。</w:t>
      </w:r>
      <w:r>
        <w:rPr>
          <w:rFonts w:hint="default" w:ascii="Times New Roman" w:hAnsi="Times New Roman" w:eastAsia="仿宋_GB2312" w:cs="Times New Roman"/>
          <w:color w:val="auto"/>
          <w:spacing w:val="0"/>
          <w:kern w:val="0"/>
          <w:sz w:val="32"/>
          <w:szCs w:val="32"/>
          <w:u w:val="none" w:color="auto"/>
          <w:lang w:val="en-US" w:eastAsia="zh-CN"/>
        </w:rPr>
        <w:t>〔</w:t>
      </w:r>
      <w:r>
        <w:rPr>
          <w:rFonts w:hint="default" w:ascii="Times New Roman" w:hAnsi="Times New Roman" w:eastAsia="仿宋_GB2312" w:cs="Times New Roman"/>
          <w:color w:val="auto"/>
          <w:spacing w:val="0"/>
          <w:sz w:val="32"/>
          <w:szCs w:val="32"/>
          <w:u w:val="none" w:color="auto"/>
          <w:lang w:val="en-US" w:eastAsia="zh-CN"/>
        </w:rPr>
        <w:t>太仓邮政管理局牵头负责</w:t>
      </w:r>
      <w:r>
        <w:rPr>
          <w:rFonts w:hint="default" w:ascii="Times New Roman" w:hAnsi="Times New Roman" w:eastAsia="仿宋_GB2312" w:cs="Times New Roman"/>
          <w:color w:val="auto"/>
          <w:spacing w:val="0"/>
          <w:kern w:val="0"/>
          <w:sz w:val="32"/>
          <w:szCs w:val="32"/>
          <w:u w:val="none" w:color="auto"/>
          <w:shd w:val="clear" w:color="auto" w:fill="auto"/>
          <w:lang w:val="en-US" w:eastAsia="zh-CN"/>
        </w:rPr>
        <w:t>；</w:t>
      </w:r>
      <w:r>
        <w:rPr>
          <w:rFonts w:hint="default" w:ascii="Times New Roman" w:hAnsi="Times New Roman" w:eastAsia="仿宋_GB2312" w:cs="Times New Roman"/>
          <w:color w:val="auto"/>
          <w:spacing w:val="0"/>
          <w:kern w:val="0"/>
          <w:sz w:val="32"/>
          <w:szCs w:val="32"/>
          <w:u w:val="none" w:color="auto"/>
          <w:lang w:val="en-US" w:eastAsia="zh-CN"/>
        </w:rPr>
        <w:t>各镇（区、街道）政府（管委会、办事处）组织落实〕</w:t>
      </w:r>
    </w:p>
    <w:p>
      <w:pPr>
        <w:keepNext w:val="0"/>
        <w:keepLines w:val="0"/>
        <w:pageBreakBefore w:val="0"/>
        <w:widowControl w:val="0"/>
        <w:kinsoku/>
        <w:wordWrap w:val="0"/>
        <w:overflowPunct/>
        <w:topLinePunct w:val="0"/>
        <w:autoSpaceDE/>
        <w:autoSpaceDN/>
        <w:bidi w:val="0"/>
        <w:adjustRightInd/>
        <w:snapToGrid/>
        <w:spacing w:line="600" w:lineRule="exact"/>
        <w:ind w:firstLine="643" w:firstLineChars="200"/>
        <w:jc w:val="both"/>
        <w:textAlignment w:val="auto"/>
        <w:rPr>
          <w:rFonts w:hint="default" w:ascii="Times New Roman" w:hAnsi="Times New Roman" w:eastAsia="仿宋_GB2312" w:cs="Times New Roman"/>
          <w:b w:val="0"/>
          <w:bCs w:val="0"/>
          <w:color w:val="auto"/>
          <w:spacing w:val="0"/>
          <w:kern w:val="0"/>
          <w:sz w:val="32"/>
          <w:szCs w:val="32"/>
          <w:u w:val="none" w:color="auto"/>
          <w:lang w:val="en-US" w:eastAsia="zh-CN"/>
        </w:rPr>
      </w:pPr>
      <w:r>
        <w:rPr>
          <w:rFonts w:hint="default" w:ascii="Times New Roman" w:hAnsi="Times New Roman" w:eastAsia="仿宋_GB2312" w:cs="Times New Roman"/>
          <w:b/>
          <w:bCs/>
          <w:color w:val="auto"/>
          <w:spacing w:val="0"/>
          <w:kern w:val="0"/>
          <w:sz w:val="32"/>
          <w:szCs w:val="32"/>
          <w:u w:val="none" w:color="auto"/>
          <w:lang w:val="en-US" w:eastAsia="zh-CN"/>
        </w:rPr>
        <w:t>7.严打非法销售行为。</w:t>
      </w:r>
      <w:r>
        <w:rPr>
          <w:rFonts w:hint="default" w:ascii="Times New Roman" w:hAnsi="Times New Roman" w:eastAsia="仿宋_GB2312" w:cs="Times New Roman"/>
          <w:color w:val="auto"/>
          <w:spacing w:val="0"/>
          <w:sz w:val="32"/>
          <w:szCs w:val="32"/>
          <w:u w:val="none" w:color="auto"/>
          <w:lang w:val="en-US" w:eastAsia="zh-CN"/>
        </w:rPr>
        <w:t>严厉打击销售假冒伪劣产品行为，定期公布典型执法案例，加强行刑衔接，涉嫌犯罪的依法追究刑事责任，斩断非法生产、销售链条，2024年底前取得明显进展并持续推进。强化区域协作，畅通信息共享渠道，加大联合打击力度。</w:t>
      </w:r>
      <w:r>
        <w:rPr>
          <w:rFonts w:hint="default" w:ascii="Times New Roman" w:hAnsi="Times New Roman" w:eastAsia="仿宋_GB2312" w:cs="Times New Roman"/>
          <w:b w:val="0"/>
          <w:bCs w:val="0"/>
          <w:color w:val="auto"/>
          <w:spacing w:val="0"/>
          <w:kern w:val="0"/>
          <w:sz w:val="32"/>
          <w:szCs w:val="32"/>
          <w:u w:val="none" w:color="auto"/>
          <w:lang w:val="en-US" w:eastAsia="zh-CN"/>
        </w:rPr>
        <w:t>〔市公安局、市市场监管局牵头负责，市工信局、市应急管理局、市消防救援大队配合；各镇（区、街道）政府（管委会、办事处）组织落实〕</w:t>
      </w:r>
    </w:p>
    <w:p>
      <w:pPr>
        <w:keepNext w:val="0"/>
        <w:keepLines w:val="0"/>
        <w:pageBreakBefore w:val="0"/>
        <w:widowControl w:val="0"/>
        <w:kinsoku/>
        <w:wordWrap w:val="0"/>
        <w:overflowPunct/>
        <w:topLinePunct w:val="0"/>
        <w:autoSpaceDE/>
        <w:autoSpaceDN/>
        <w:bidi w:val="0"/>
        <w:adjustRightInd/>
        <w:snapToGrid/>
        <w:spacing w:line="600" w:lineRule="exact"/>
        <w:ind w:firstLine="643" w:firstLineChars="200"/>
        <w:jc w:val="both"/>
        <w:textAlignment w:val="auto"/>
        <w:rPr>
          <w:rFonts w:hint="default" w:ascii="Times New Roman" w:hAnsi="Times New Roman" w:eastAsia="仿宋_GB2312" w:cs="Times New Roman"/>
          <w:b w:val="0"/>
          <w:bCs w:val="0"/>
          <w:color w:val="auto"/>
          <w:spacing w:val="0"/>
          <w:kern w:val="0"/>
          <w:sz w:val="32"/>
          <w:szCs w:val="32"/>
          <w:u w:val="none" w:color="auto"/>
          <w:lang w:val="en-US" w:eastAsia="zh-CN"/>
        </w:rPr>
      </w:pPr>
      <w:r>
        <w:rPr>
          <w:rFonts w:hint="default" w:ascii="Times New Roman" w:hAnsi="Times New Roman" w:eastAsia="仿宋_GB2312" w:cs="Times New Roman"/>
          <w:b/>
          <w:bCs/>
          <w:color w:val="auto"/>
          <w:spacing w:val="0"/>
          <w:kern w:val="0"/>
          <w:sz w:val="32"/>
          <w:szCs w:val="32"/>
          <w:u w:val="none" w:color="auto"/>
          <w:lang w:val="en-US" w:eastAsia="zh-CN"/>
        </w:rPr>
        <w:t>8.严格登记管理。</w:t>
      </w:r>
      <w:r>
        <w:rPr>
          <w:rFonts w:hint="default" w:ascii="Times New Roman" w:hAnsi="Times New Roman" w:eastAsia="仿宋_GB2312" w:cs="Times New Roman"/>
          <w:b w:val="0"/>
          <w:bCs w:val="0"/>
          <w:color w:val="auto"/>
          <w:spacing w:val="0"/>
          <w:kern w:val="0"/>
          <w:sz w:val="32"/>
          <w:szCs w:val="32"/>
          <w:u w:val="none" w:color="auto"/>
          <w:lang w:val="en-US" w:eastAsia="zh-CN"/>
        </w:rPr>
        <w:t>严格登记车主信息和车架号，认真核查产品强制性认证信息，严格比对合格证上品牌型号、整车编码、电动机编码等信息，严禁不符合要求的电动自行车登记上牌。在蓄电池依法纳入强制性产品认证管理并设置识别代码的基础上，将蓄电池识别代码纳入登记事项，2024年底前完成。组织开展为期6个月的登记服务网点整治，严格查处违规登记上牌等行为。对临时信息牌电动自行车，在未实现大规模淘汰退出的情况下，延续过渡期管理政策，结束时间由市政府根据本地淘汰进展适时决定。〔市公安局牵头负责；各镇（区、街道）政府（管委会、办事处）组织落实〕</w:t>
      </w:r>
    </w:p>
    <w:p>
      <w:pPr>
        <w:pStyle w:val="4"/>
        <w:keepNext w:val="0"/>
        <w:keepLines w:val="0"/>
        <w:pageBreakBefore w:val="0"/>
        <w:widowControl w:val="0"/>
        <w:kinsoku/>
        <w:wordWrap w:val="0"/>
        <w:overflowPunct/>
        <w:topLinePunct w:val="0"/>
        <w:autoSpaceDE/>
        <w:autoSpaceDN/>
        <w:bidi w:val="0"/>
        <w:adjustRightInd/>
        <w:snapToGrid/>
        <w:spacing w:line="600" w:lineRule="exact"/>
        <w:jc w:val="both"/>
        <w:textAlignment w:val="auto"/>
        <w:rPr>
          <w:rFonts w:hint="default" w:ascii="Times New Roman" w:hAnsi="Times New Roman" w:eastAsia="楷体_GB2312" w:cs="Times New Roman"/>
          <w:color w:val="auto"/>
          <w:spacing w:val="0"/>
          <w:sz w:val="32"/>
          <w:szCs w:val="32"/>
          <w:u w:val="none" w:color="auto"/>
        </w:rPr>
      </w:pPr>
      <w:r>
        <w:rPr>
          <w:rFonts w:hint="default" w:ascii="Times New Roman" w:hAnsi="Times New Roman" w:eastAsia="楷体_GB2312" w:cs="Times New Roman"/>
          <w:color w:val="auto"/>
          <w:spacing w:val="0"/>
          <w:sz w:val="32"/>
          <w:szCs w:val="32"/>
          <w:u w:val="none" w:color="auto"/>
          <w:lang w:eastAsia="zh-CN"/>
        </w:rPr>
        <w:t>（</w:t>
      </w:r>
      <w:r>
        <w:rPr>
          <w:rFonts w:hint="default" w:ascii="Times New Roman" w:hAnsi="Times New Roman" w:eastAsia="楷体_GB2312" w:cs="Times New Roman"/>
          <w:color w:val="auto"/>
          <w:spacing w:val="0"/>
          <w:sz w:val="32"/>
          <w:szCs w:val="32"/>
          <w:u w:val="none" w:color="auto"/>
          <w:lang w:val="en-US" w:eastAsia="zh-CN"/>
        </w:rPr>
        <w:t>三</w:t>
      </w:r>
      <w:r>
        <w:rPr>
          <w:rFonts w:hint="default" w:ascii="Times New Roman" w:hAnsi="Times New Roman" w:eastAsia="楷体_GB2312" w:cs="Times New Roman"/>
          <w:color w:val="auto"/>
          <w:spacing w:val="0"/>
          <w:sz w:val="32"/>
          <w:szCs w:val="32"/>
          <w:u w:val="none" w:color="auto"/>
          <w:lang w:eastAsia="zh-CN"/>
        </w:rPr>
        <w:t>）</w:t>
      </w:r>
      <w:r>
        <w:rPr>
          <w:rFonts w:hint="default" w:ascii="Times New Roman" w:hAnsi="Times New Roman" w:eastAsia="楷体_GB2312" w:cs="Times New Roman"/>
          <w:color w:val="auto"/>
          <w:spacing w:val="0"/>
          <w:sz w:val="32"/>
          <w:szCs w:val="32"/>
          <w:u w:val="none" w:color="auto"/>
        </w:rPr>
        <w:t>电动自行车</w:t>
      </w:r>
      <w:r>
        <w:rPr>
          <w:rFonts w:hint="default" w:ascii="Times New Roman" w:hAnsi="Times New Roman" w:eastAsia="楷体_GB2312" w:cs="Times New Roman"/>
          <w:color w:val="auto"/>
          <w:spacing w:val="0"/>
          <w:sz w:val="32"/>
          <w:szCs w:val="32"/>
          <w:u w:val="none" w:color="auto"/>
          <w:lang w:val="en-US" w:eastAsia="zh-CN"/>
        </w:rPr>
        <w:t>使用环节</w:t>
      </w:r>
    </w:p>
    <w:p>
      <w:pPr>
        <w:keepNext w:val="0"/>
        <w:keepLines w:val="0"/>
        <w:pageBreakBefore w:val="0"/>
        <w:widowControl w:val="0"/>
        <w:kinsoku/>
        <w:wordWrap w:val="0"/>
        <w:overflowPunct/>
        <w:topLinePunct w:val="0"/>
        <w:autoSpaceDE/>
        <w:autoSpaceDN/>
        <w:bidi w:val="0"/>
        <w:adjustRightInd/>
        <w:snapToGrid/>
        <w:spacing w:line="600" w:lineRule="exact"/>
        <w:ind w:firstLine="643" w:firstLineChars="200"/>
        <w:jc w:val="both"/>
        <w:textAlignment w:val="auto"/>
        <w:rPr>
          <w:rFonts w:hint="default" w:ascii="Times New Roman" w:hAnsi="Times New Roman" w:eastAsia="仿宋_GB2312" w:cs="Times New Roman"/>
          <w:b w:val="0"/>
          <w:bCs w:val="0"/>
          <w:color w:val="auto"/>
          <w:spacing w:val="0"/>
          <w:kern w:val="0"/>
          <w:sz w:val="32"/>
          <w:szCs w:val="32"/>
          <w:u w:val="none" w:color="auto"/>
          <w:lang w:val="en-US" w:eastAsia="zh-CN"/>
        </w:rPr>
      </w:pPr>
      <w:r>
        <w:rPr>
          <w:rFonts w:hint="default" w:ascii="Times New Roman" w:hAnsi="Times New Roman" w:eastAsia="仿宋_GB2312" w:cs="Times New Roman"/>
          <w:b/>
          <w:bCs/>
          <w:color w:val="auto"/>
          <w:spacing w:val="0"/>
          <w:kern w:val="0"/>
          <w:sz w:val="32"/>
          <w:szCs w:val="32"/>
          <w:u w:val="none" w:color="auto"/>
          <w:lang w:val="en-US" w:eastAsia="zh-CN"/>
        </w:rPr>
        <w:t>9.严查非法拼装改装。</w:t>
      </w:r>
      <w:r>
        <w:rPr>
          <w:rFonts w:hint="default" w:ascii="Times New Roman" w:hAnsi="Times New Roman" w:eastAsia="仿宋_GB2312" w:cs="Times New Roman"/>
          <w:color w:val="auto"/>
          <w:spacing w:val="0"/>
          <w:kern w:val="0"/>
          <w:sz w:val="32"/>
          <w:szCs w:val="32"/>
          <w:u w:val="none" w:color="auto"/>
          <w:lang w:val="en-US" w:eastAsia="zh-CN"/>
        </w:rPr>
        <w:t>对销售网点和维修店铺开展经常性检查，督促其在醒目位置明示“禁止非法拼装改装”等内容并公布举报电话，依法从严查处擅自改装原厂电气配件、拆改限速、外设蓄电池托架、改造蓄电池槽盒等违法违规行为，相关信息及时通报上游生产企业，视情取消其经销权。全面查处和取缔违法拼装改装黑作坊，重拳打击违规回收车辆配件以旧充新再次出售、二次组装加工蓄电池、违规更换大容量锂电池等违法违规行为，涉嫌犯罪的依法追究刑事责任，2024年8月底前整治曝光一批典型违法行为并持续推进。</w:t>
      </w:r>
      <w:r>
        <w:rPr>
          <w:rFonts w:hint="default" w:ascii="Times New Roman" w:hAnsi="Times New Roman" w:eastAsia="仿宋_GB2312" w:cs="Times New Roman"/>
          <w:b w:val="0"/>
          <w:bCs w:val="0"/>
          <w:color w:val="auto"/>
          <w:spacing w:val="0"/>
          <w:kern w:val="0"/>
          <w:sz w:val="32"/>
          <w:szCs w:val="32"/>
          <w:u w:val="none" w:color="auto"/>
          <w:lang w:val="en-US" w:eastAsia="zh-CN"/>
        </w:rPr>
        <w:t>〔市市场监管局牵头负责，市公安局配合；各镇（区、街道）政府（管委会、办事处）组织落实〕</w:t>
      </w:r>
    </w:p>
    <w:p>
      <w:pPr>
        <w:keepNext w:val="0"/>
        <w:keepLines w:val="0"/>
        <w:pageBreakBefore w:val="0"/>
        <w:widowControl w:val="0"/>
        <w:kinsoku/>
        <w:wordWrap w:val="0"/>
        <w:overflowPunct/>
        <w:topLinePunct w:val="0"/>
        <w:autoSpaceDE/>
        <w:autoSpaceDN/>
        <w:bidi w:val="0"/>
        <w:adjustRightInd/>
        <w:snapToGrid/>
        <w:spacing w:line="600" w:lineRule="exact"/>
        <w:ind w:firstLine="643" w:firstLineChars="200"/>
        <w:jc w:val="both"/>
        <w:textAlignment w:val="auto"/>
        <w:rPr>
          <w:rFonts w:hint="default" w:ascii="Times New Roman" w:hAnsi="Times New Roman" w:eastAsia="仿宋_GB2312" w:cs="Times New Roman"/>
          <w:b w:val="0"/>
          <w:bCs w:val="0"/>
          <w:color w:val="auto"/>
          <w:spacing w:val="0"/>
          <w:kern w:val="0"/>
          <w:sz w:val="32"/>
          <w:szCs w:val="32"/>
          <w:u w:val="none" w:color="auto"/>
          <w:lang w:val="en-US" w:eastAsia="zh-CN"/>
        </w:rPr>
      </w:pPr>
      <w:r>
        <w:rPr>
          <w:rFonts w:hint="default" w:ascii="Times New Roman" w:hAnsi="Times New Roman" w:eastAsia="仿宋_GB2312" w:cs="Times New Roman"/>
          <w:b/>
          <w:bCs/>
          <w:color w:val="auto"/>
          <w:spacing w:val="0"/>
          <w:kern w:val="0"/>
          <w:sz w:val="32"/>
          <w:szCs w:val="32"/>
          <w:u w:val="none" w:color="auto"/>
          <w:shd w:val="clear" w:color="auto" w:fill="auto"/>
          <w:lang w:val="en-US" w:eastAsia="zh-CN"/>
        </w:rPr>
        <w:t>10.加强路面执法检查。</w:t>
      </w:r>
      <w:r>
        <w:rPr>
          <w:rFonts w:hint="default" w:ascii="Times New Roman" w:hAnsi="Times New Roman" w:eastAsia="仿宋_GB2312" w:cs="Times New Roman"/>
          <w:color w:val="auto"/>
          <w:spacing w:val="0"/>
          <w:kern w:val="0"/>
          <w:sz w:val="32"/>
          <w:szCs w:val="32"/>
          <w:u w:val="none" w:color="auto"/>
          <w:lang w:val="en-US" w:eastAsia="zh-CN"/>
        </w:rPr>
        <w:t>充分利用信息化技术提高识别取证能力，依法查处上路行驶的电动自行车未登记上牌、使用假牌套牌、超过使用年限、非法拼装改装以及闯红灯、逆行、在机动车道行驶、超速等违法违规行为，2025年底前完成。推广使用物联感知、图像识别、RFID射频采集等措施，加强电动自行车非现场执法。对突出违法行为、多次违法人员开展专项治理，保持严管态势。</w:t>
      </w:r>
      <w:r>
        <w:rPr>
          <w:rFonts w:hint="default" w:ascii="Times New Roman" w:hAnsi="Times New Roman" w:eastAsia="仿宋_GB2312" w:cs="Times New Roman"/>
          <w:b w:val="0"/>
          <w:bCs w:val="0"/>
          <w:color w:val="auto"/>
          <w:spacing w:val="0"/>
          <w:kern w:val="0"/>
          <w:sz w:val="32"/>
          <w:szCs w:val="32"/>
          <w:u w:val="none" w:color="auto"/>
          <w:lang w:val="en-US" w:eastAsia="zh-CN"/>
        </w:rPr>
        <w:t>〔市公安局牵头负责；各镇（区、街道）政府（管委会、办事处）组织落实〕</w:t>
      </w:r>
    </w:p>
    <w:p>
      <w:pPr>
        <w:keepNext w:val="0"/>
        <w:keepLines w:val="0"/>
        <w:pageBreakBefore w:val="0"/>
        <w:widowControl w:val="0"/>
        <w:kinsoku/>
        <w:wordWrap w:val="0"/>
        <w:overflowPunct/>
        <w:topLinePunct w:val="0"/>
        <w:autoSpaceDE/>
        <w:autoSpaceDN/>
        <w:bidi w:val="0"/>
        <w:adjustRightInd/>
        <w:snapToGrid/>
        <w:spacing w:line="600" w:lineRule="exact"/>
        <w:ind w:firstLine="643" w:firstLineChars="200"/>
        <w:jc w:val="both"/>
        <w:textAlignment w:val="auto"/>
        <w:rPr>
          <w:rFonts w:hint="default" w:ascii="Times New Roman" w:hAnsi="Times New Roman" w:eastAsia="仿宋_GB2312" w:cs="Times New Roman"/>
          <w:b w:val="0"/>
          <w:bCs w:val="0"/>
          <w:color w:val="auto"/>
          <w:spacing w:val="0"/>
          <w:kern w:val="0"/>
          <w:sz w:val="32"/>
          <w:szCs w:val="32"/>
          <w:u w:val="none" w:color="auto"/>
          <w:lang w:val="en-US" w:eastAsia="zh-CN"/>
        </w:rPr>
      </w:pPr>
      <w:r>
        <w:rPr>
          <w:rFonts w:hint="default" w:ascii="Times New Roman" w:hAnsi="Times New Roman" w:eastAsia="仿宋_GB2312" w:cs="Times New Roman"/>
          <w:b/>
          <w:bCs/>
          <w:color w:val="auto"/>
          <w:spacing w:val="0"/>
          <w:kern w:val="0"/>
          <w:sz w:val="32"/>
          <w:szCs w:val="32"/>
          <w:u w:val="none" w:color="auto"/>
          <w:shd w:val="clear" w:color="auto" w:fill="auto"/>
          <w:lang w:val="en-US" w:eastAsia="zh-CN"/>
        </w:rPr>
        <w:t>11.强化配送平台管理。</w:t>
      </w:r>
      <w:r>
        <w:rPr>
          <w:rFonts w:hint="default" w:ascii="Times New Roman" w:hAnsi="Times New Roman" w:eastAsia="仿宋_GB2312" w:cs="Times New Roman"/>
          <w:color w:val="auto"/>
          <w:spacing w:val="0"/>
          <w:kern w:val="0"/>
          <w:sz w:val="32"/>
          <w:szCs w:val="32"/>
          <w:u w:val="none" w:color="auto"/>
          <w:lang w:val="en-US" w:eastAsia="zh-CN"/>
        </w:rPr>
        <w:t>召开行政指导会，督促外卖等即时配送平台企业严格落实安全责任。督促即时配送平台企业完善配送管理制度，加强配送人员使用电动自行车及蓄电池审查备案，强化安全教育培训；对使用电动自行车配送的，按照最高速度25公里/小时、守法行驶可完成配送任务的标准设定配送时限、路线，避免因任务设定不合理增加安全风险；督促企业组织对车辆拼装改装特别是违规使用大容量锂电池情况开展自查自改，发现拼装改装的落实责令恢复原状、禁止使用、限制接单等措施，2024年8月底前完成。鼓励企业为配送人员统一配发符合标准的电动自行车，推行共享换电模式。</w:t>
      </w:r>
      <w:r>
        <w:rPr>
          <w:rFonts w:hint="default" w:ascii="Times New Roman" w:hAnsi="Times New Roman" w:eastAsia="仿宋_GB2312" w:cs="Times New Roman"/>
          <w:b w:val="0"/>
          <w:bCs w:val="0"/>
          <w:color w:val="auto"/>
          <w:spacing w:val="0"/>
          <w:kern w:val="0"/>
          <w:sz w:val="32"/>
          <w:szCs w:val="32"/>
          <w:u w:val="none" w:color="auto"/>
          <w:lang w:val="en-US" w:eastAsia="zh-CN"/>
        </w:rPr>
        <w:t>〔市市场监管局牵头负责，市公安局配合；各镇（区、街道）政府（管委会、办事处）组织落实〕</w:t>
      </w:r>
    </w:p>
    <w:p>
      <w:pPr>
        <w:keepNext w:val="0"/>
        <w:keepLines w:val="0"/>
        <w:pageBreakBefore w:val="0"/>
        <w:widowControl w:val="0"/>
        <w:kinsoku/>
        <w:wordWrap w:val="0"/>
        <w:overflowPunct/>
        <w:topLinePunct w:val="0"/>
        <w:autoSpaceDE/>
        <w:autoSpaceDN/>
        <w:bidi w:val="0"/>
        <w:adjustRightInd/>
        <w:snapToGrid/>
        <w:spacing w:line="600" w:lineRule="exact"/>
        <w:ind w:firstLine="643" w:firstLineChars="200"/>
        <w:jc w:val="both"/>
        <w:textAlignment w:val="auto"/>
        <w:rPr>
          <w:rFonts w:hint="default" w:ascii="Times New Roman" w:hAnsi="Times New Roman" w:eastAsia="仿宋_GB2312" w:cs="Times New Roman"/>
          <w:b w:val="0"/>
          <w:bCs w:val="0"/>
          <w:color w:val="auto"/>
          <w:spacing w:val="0"/>
          <w:kern w:val="0"/>
          <w:sz w:val="32"/>
          <w:szCs w:val="32"/>
          <w:u w:val="none" w:color="auto"/>
          <w:lang w:val="en-US" w:eastAsia="zh-CN"/>
        </w:rPr>
      </w:pPr>
      <w:r>
        <w:rPr>
          <w:rFonts w:hint="default" w:ascii="Times New Roman" w:hAnsi="Times New Roman" w:eastAsia="仿宋_GB2312" w:cs="Times New Roman"/>
          <w:b/>
          <w:bCs/>
          <w:color w:val="auto"/>
          <w:spacing w:val="0"/>
          <w:kern w:val="0"/>
          <w:sz w:val="32"/>
          <w:szCs w:val="32"/>
          <w:u w:val="none" w:color="auto"/>
          <w:shd w:val="clear" w:color="auto" w:fill="auto"/>
          <w:lang w:val="en-US" w:eastAsia="zh-CN"/>
        </w:rPr>
        <w:t>12.规范场所设施建设。</w:t>
      </w:r>
      <w:r>
        <w:rPr>
          <w:rFonts w:hint="default" w:ascii="Times New Roman" w:hAnsi="Times New Roman" w:eastAsia="仿宋_GB2312" w:cs="Times New Roman"/>
          <w:color w:val="auto"/>
          <w:spacing w:val="0"/>
          <w:kern w:val="0"/>
          <w:sz w:val="32"/>
          <w:szCs w:val="32"/>
          <w:u w:val="none" w:color="auto"/>
          <w:lang w:val="en-US" w:eastAsia="zh-CN"/>
        </w:rPr>
        <w:t>加强场所规划管理，落实《城市居住区规划设计标准》（GB50180-2018）、《城市综合交通体系规划标准》（GB/T51328-2018）、《社区生活圈规划技术指南》（TD/T1062- 2021）、《电动自行车停放充电场所消防技术规范》（DB32/T3904- 2020）等有关非机动车停车场（库）设置规定，各地可根据实际明确配建区域和配建比例。严格新建居住项目规划审批管理，将电动自行车停放充电场所纳入项目配套，优先在室外露天区域设置，并与主体工程同步规划。对具备条件建设的既有居民住宅小区，涉及规划调整的优化程序简易办理，不涉及规划调整的无需办理规划审批手续；对因场地资源紧张、无固定停放场所、无充电设施的既有小区，依法依规合理利用周边闲置空间建设，需要调整规划的优化程序简易办理。推动在道路两侧、商业区、公交站以及各类公共服务场所灵活规划建设停放场所并纳入公用设施管理范围。</w:t>
      </w:r>
      <w:r>
        <w:rPr>
          <w:rFonts w:hint="default" w:ascii="Times New Roman" w:hAnsi="Times New Roman" w:eastAsia="仿宋_GB2312" w:cs="Times New Roman"/>
          <w:b w:val="0"/>
          <w:bCs w:val="0"/>
          <w:color w:val="auto"/>
          <w:spacing w:val="0"/>
          <w:kern w:val="0"/>
          <w:sz w:val="32"/>
          <w:szCs w:val="32"/>
          <w:u w:val="none" w:color="auto"/>
          <w:lang w:val="en-US" w:eastAsia="zh-CN"/>
        </w:rPr>
        <w:t>〔市资规局牵头负责；各镇（区、街道）政府（管委会、办事处）组织落实〕</w:t>
      </w: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b w:val="0"/>
          <w:bCs w:val="0"/>
          <w:color w:val="auto"/>
          <w:spacing w:val="0"/>
          <w:kern w:val="0"/>
          <w:sz w:val="32"/>
          <w:szCs w:val="32"/>
          <w:u w:val="none" w:color="auto"/>
          <w:lang w:val="en-US" w:eastAsia="zh-CN"/>
        </w:rPr>
      </w:pPr>
      <w:r>
        <w:rPr>
          <w:rFonts w:hint="default" w:ascii="Times New Roman" w:hAnsi="Times New Roman" w:eastAsia="仿宋_GB2312" w:cs="Times New Roman"/>
          <w:color w:val="auto"/>
          <w:spacing w:val="0"/>
          <w:kern w:val="0"/>
          <w:sz w:val="32"/>
          <w:szCs w:val="32"/>
          <w:u w:val="none" w:color="auto"/>
          <w:lang w:val="en-US" w:eastAsia="zh-CN"/>
        </w:rPr>
        <w:t>规划确定后的新建居住项目，要将电动自行车停放充电场所与主体工程同步设计、同步建设、同步验收、同步交付使用；将既有居民住宅小区停放场所、充电设施建设统筹纳入地方政府民生实事事项，列出计划安排，明确目标任务和序时进度，因地制宜加快推进建设，2025年底前基本满足辖区居民电动自行车安全停放充电场所需求。居民住宅小区电动自行车地下半地下停放充电场所按规定设置自动灭火系统，落实分组停放，每组车辆不宜超过20辆，组与组之间设置不小于2米的隔离带或采用高度不低于1.5米、耐火极限不低于1小时的不燃烧体分隔设施等措施，对排查出的不符合要求的场所结合实际抓紧改造建设。积极推广共享充电柜，鼓励有条件的场所建设无线充电设施。认真贯彻执行即将出台的省工程建设地方标准《电动自行车充电基础设施建设技术规程》，进一步优化电动自行车充电场所相关设计要求。镇（区、街道）、村（社区）应积极推动并协助充电设施安装运营单位实施安装建设，物业服务企业应积极协助配合。</w:t>
      </w:r>
      <w:r>
        <w:rPr>
          <w:rFonts w:hint="default" w:ascii="Times New Roman" w:hAnsi="Times New Roman" w:eastAsia="仿宋_GB2312" w:cs="Times New Roman"/>
          <w:b w:val="0"/>
          <w:bCs w:val="0"/>
          <w:color w:val="auto"/>
          <w:spacing w:val="0"/>
          <w:kern w:val="0"/>
          <w:sz w:val="32"/>
          <w:szCs w:val="32"/>
          <w:u w:val="none" w:color="auto"/>
          <w:shd w:val="clear" w:color="auto" w:fill="auto"/>
          <w:lang w:val="en-US" w:eastAsia="zh-CN"/>
        </w:rPr>
        <w:t>鼓励在停放充电场所配备绝缘、难燃的带钩长杆，发生火灾后便于将燃烧的电动自行车拖离集中停放区域，减少火灾损失。</w:t>
      </w:r>
      <w:r>
        <w:rPr>
          <w:rFonts w:hint="default" w:ascii="Times New Roman" w:hAnsi="Times New Roman" w:eastAsia="仿宋_GB2312" w:cs="Times New Roman"/>
          <w:b w:val="0"/>
          <w:bCs w:val="0"/>
          <w:color w:val="auto"/>
          <w:spacing w:val="0"/>
          <w:kern w:val="0"/>
          <w:sz w:val="32"/>
          <w:szCs w:val="32"/>
          <w:u w:val="none" w:color="auto"/>
          <w:lang w:val="en-US" w:eastAsia="zh-CN"/>
        </w:rPr>
        <w:t>〔市住建局牵头负责，市消防救援大队、市331机制办配合；各镇（区、街道）政府（管委会、办事处）组织落实〕</w:t>
      </w: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b w:val="0"/>
          <w:bCs w:val="0"/>
          <w:color w:val="auto"/>
          <w:spacing w:val="0"/>
          <w:kern w:val="0"/>
          <w:sz w:val="32"/>
          <w:szCs w:val="32"/>
          <w:u w:val="none" w:color="auto"/>
          <w:lang w:val="en-US" w:eastAsia="zh-CN"/>
        </w:rPr>
      </w:pPr>
      <w:r>
        <w:rPr>
          <w:rFonts w:hint="default" w:ascii="Times New Roman" w:hAnsi="Times New Roman" w:eastAsia="仿宋_GB2312" w:cs="Times New Roman"/>
          <w:color w:val="auto"/>
          <w:spacing w:val="0"/>
          <w:kern w:val="0"/>
          <w:sz w:val="32"/>
          <w:szCs w:val="32"/>
          <w:u w:val="none" w:color="auto"/>
          <w:lang w:val="en-US" w:eastAsia="zh-CN"/>
        </w:rPr>
        <w:t>推动有条件的停放充电场所建设微型消防站，配备具有辅助呼吸防护能力的背负式新能源处置特种灭火装置，切实提升“灭早、灭小、灭初期”效能。</w:t>
      </w:r>
      <w:r>
        <w:rPr>
          <w:rFonts w:hint="default" w:ascii="Times New Roman" w:hAnsi="Times New Roman" w:eastAsia="仿宋_GB2312" w:cs="Times New Roman"/>
          <w:b w:val="0"/>
          <w:bCs w:val="0"/>
          <w:color w:val="auto"/>
          <w:spacing w:val="0"/>
          <w:kern w:val="0"/>
          <w:sz w:val="32"/>
          <w:szCs w:val="32"/>
          <w:u w:val="none" w:color="auto"/>
          <w:lang w:val="en-US" w:eastAsia="zh-CN"/>
        </w:rPr>
        <w:t>〔市消防救援大队牵头负责；各镇（区、街道）政府（管委会、办事处）组织落实〕</w:t>
      </w: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b w:val="0"/>
          <w:bCs w:val="0"/>
          <w:color w:val="auto"/>
          <w:spacing w:val="0"/>
          <w:kern w:val="0"/>
          <w:sz w:val="32"/>
          <w:szCs w:val="32"/>
          <w:u w:val="none" w:color="auto"/>
          <w:lang w:val="en-US" w:eastAsia="zh-CN"/>
        </w:rPr>
      </w:pPr>
      <w:r>
        <w:rPr>
          <w:rFonts w:hint="default" w:ascii="Times New Roman" w:hAnsi="Times New Roman" w:eastAsia="仿宋_GB2312" w:cs="Times New Roman"/>
          <w:color w:val="auto"/>
          <w:spacing w:val="0"/>
          <w:kern w:val="0"/>
          <w:sz w:val="32"/>
          <w:szCs w:val="32"/>
          <w:u w:val="none" w:color="auto"/>
          <w:lang w:val="en-US" w:eastAsia="zh-CN"/>
        </w:rPr>
        <w:t>积极推动机关团体、企事业单位按照标准建设停放场所、充电设施，提供“满电回家”服务。</w:t>
      </w:r>
      <w:r>
        <w:rPr>
          <w:rFonts w:hint="default" w:ascii="Times New Roman" w:hAnsi="Times New Roman" w:eastAsia="仿宋_GB2312" w:cs="Times New Roman"/>
          <w:b w:val="0"/>
          <w:bCs w:val="0"/>
          <w:color w:val="auto"/>
          <w:spacing w:val="0"/>
          <w:kern w:val="0"/>
          <w:sz w:val="32"/>
          <w:szCs w:val="32"/>
          <w:u w:val="none" w:color="auto"/>
          <w:lang w:val="en-US" w:eastAsia="zh-CN"/>
        </w:rPr>
        <w:t>〔市住建局牵头负责，市机关事务中心、市国资运服中心、市工信局、市331机制办及各行业主管部门配合；各镇（区、街道）政府（管委会、办事处）组织落实〕</w:t>
      </w:r>
    </w:p>
    <w:p>
      <w:pPr>
        <w:keepNext w:val="0"/>
        <w:keepLines w:val="0"/>
        <w:pageBreakBefore w:val="0"/>
        <w:widowControl w:val="0"/>
        <w:kinsoku/>
        <w:wordWrap w:val="0"/>
        <w:overflowPunct/>
        <w:topLinePunct w:val="0"/>
        <w:autoSpaceDE/>
        <w:autoSpaceDN/>
        <w:bidi w:val="0"/>
        <w:adjustRightInd/>
        <w:snapToGrid/>
        <w:spacing w:line="600" w:lineRule="exact"/>
        <w:ind w:firstLine="643" w:firstLineChars="200"/>
        <w:jc w:val="both"/>
        <w:textAlignment w:val="auto"/>
        <w:rPr>
          <w:rFonts w:hint="default" w:ascii="Times New Roman" w:hAnsi="Times New Roman" w:eastAsia="仿宋_GB2312" w:cs="Times New Roman"/>
          <w:b w:val="0"/>
          <w:bCs w:val="0"/>
          <w:color w:val="auto"/>
          <w:spacing w:val="0"/>
          <w:kern w:val="0"/>
          <w:sz w:val="32"/>
          <w:szCs w:val="32"/>
          <w:u w:val="none" w:color="auto"/>
          <w:lang w:val="en-US" w:eastAsia="zh-CN"/>
        </w:rPr>
      </w:pPr>
      <w:r>
        <w:rPr>
          <w:rFonts w:hint="default" w:ascii="Times New Roman" w:hAnsi="Times New Roman" w:eastAsia="仿宋_GB2312" w:cs="Times New Roman"/>
          <w:b/>
          <w:bCs/>
          <w:color w:val="auto"/>
          <w:spacing w:val="0"/>
          <w:kern w:val="0"/>
          <w:sz w:val="32"/>
          <w:szCs w:val="32"/>
          <w:u w:val="none" w:color="auto"/>
          <w:shd w:val="clear" w:color="auto" w:fill="auto"/>
          <w:lang w:val="en-US" w:eastAsia="zh-CN"/>
        </w:rPr>
        <w:t>13.突出架空层使用管理。</w:t>
      </w:r>
      <w:r>
        <w:rPr>
          <w:rFonts w:hint="default" w:ascii="Times New Roman" w:hAnsi="Times New Roman" w:eastAsia="仿宋_GB2312" w:cs="Times New Roman"/>
          <w:color w:val="auto"/>
          <w:spacing w:val="0"/>
          <w:kern w:val="0"/>
          <w:sz w:val="32"/>
          <w:szCs w:val="32"/>
          <w:u w:val="none" w:color="auto"/>
          <w:lang w:val="en-US" w:eastAsia="zh-CN"/>
        </w:rPr>
        <w:t>民用建筑架空层不具备消防安全条件的，不得用作电动自行车停放充电场所。因场地不足确需使用民用建筑架空层作为停放充电场所的，应与建筑内的通风采光井、公共部位、疏散通道、楼梯间、安全出口等进行有效防火分隔，保持消防设施器材和视频监控设备完好有效，实行车辆分组停放，安装符合安全条件的专用充电设施。建筑产权单位、使用单位、居住区物业服务企业负责做好架空层日常安全巡查工作。</w:t>
      </w:r>
      <w:r>
        <w:rPr>
          <w:rFonts w:hint="default" w:ascii="Times New Roman" w:hAnsi="Times New Roman" w:eastAsia="仿宋_GB2312" w:cs="Times New Roman"/>
          <w:b w:val="0"/>
          <w:bCs w:val="0"/>
          <w:color w:val="auto"/>
          <w:spacing w:val="0"/>
          <w:kern w:val="0"/>
          <w:sz w:val="32"/>
          <w:szCs w:val="32"/>
          <w:u w:val="none" w:color="auto"/>
          <w:lang w:val="en-US" w:eastAsia="zh-CN"/>
        </w:rPr>
        <w:t>〔市消防救援大队牵头负责，市住建局、市331机制办配合；各镇（区、街道）政府（管委会、办事处）组织落实〕</w:t>
      </w:r>
    </w:p>
    <w:p>
      <w:pPr>
        <w:keepNext w:val="0"/>
        <w:keepLines w:val="0"/>
        <w:pageBreakBefore w:val="0"/>
        <w:widowControl w:val="0"/>
        <w:kinsoku/>
        <w:wordWrap w:val="0"/>
        <w:overflowPunct/>
        <w:topLinePunct w:val="0"/>
        <w:autoSpaceDE/>
        <w:autoSpaceDN/>
        <w:bidi w:val="0"/>
        <w:adjustRightInd/>
        <w:snapToGrid/>
        <w:spacing w:line="600" w:lineRule="exact"/>
        <w:ind w:firstLine="643" w:firstLineChars="200"/>
        <w:jc w:val="both"/>
        <w:textAlignment w:val="auto"/>
        <w:rPr>
          <w:rFonts w:hint="default" w:ascii="Times New Roman" w:hAnsi="Times New Roman" w:eastAsia="仿宋_GB2312" w:cs="Times New Roman"/>
          <w:b w:val="0"/>
          <w:bCs w:val="0"/>
          <w:color w:val="auto"/>
          <w:spacing w:val="0"/>
          <w:kern w:val="0"/>
          <w:sz w:val="32"/>
          <w:szCs w:val="32"/>
          <w:u w:val="none" w:color="auto"/>
          <w:lang w:val="en-US" w:eastAsia="zh-CN"/>
        </w:rPr>
      </w:pPr>
      <w:r>
        <w:rPr>
          <w:rFonts w:hint="default" w:ascii="Times New Roman" w:hAnsi="Times New Roman" w:eastAsia="仿宋_GB2312" w:cs="Times New Roman"/>
          <w:b/>
          <w:bCs/>
          <w:color w:val="auto"/>
          <w:spacing w:val="0"/>
          <w:kern w:val="0"/>
          <w:sz w:val="32"/>
          <w:szCs w:val="32"/>
          <w:u w:val="none" w:color="auto"/>
          <w:lang w:val="en-US" w:eastAsia="zh-CN"/>
        </w:rPr>
        <w:t>14.严查违规停放充电行为。</w:t>
      </w:r>
      <w:r>
        <w:rPr>
          <w:rFonts w:hint="default" w:ascii="Times New Roman" w:hAnsi="Times New Roman" w:eastAsia="仿宋_GB2312" w:cs="Times New Roman"/>
          <w:color w:val="auto"/>
          <w:spacing w:val="0"/>
          <w:kern w:val="0"/>
          <w:sz w:val="32"/>
          <w:szCs w:val="32"/>
          <w:u w:val="none" w:color="auto"/>
          <w:shd w:val="clear" w:color="auto" w:fill="auto"/>
          <w:lang w:val="en-US" w:eastAsia="zh-CN"/>
        </w:rPr>
        <w:t>消防、公安、综合执法等部门加强联合检查，依法对电动自行车“进楼入户”“飞线充电”等，尤其是在高层民用建筑的公共门厅、疏散走道、楼梯间、安全出口停放充电的行为，开展执法查处、检查劝阻和宣传提示。组织排查既有居民住宅小区电动自行车地下半地下停放充电场所，对不符合安全条件的结合实际提出整改要求。住建部门应督促物业服务企业对电动自行车堵塞占用疏散通道、安全出口等违规行为及时采取措施制止，对拒不改正、情节严重的及时报告村（居）民委员会、镇（区、街道）或公安派出所、消防等部门并协助处理。对群众举报、媒体曝光的违规停放充电行为，应及时予以纠治。</w:t>
      </w:r>
      <w:r>
        <w:rPr>
          <w:rFonts w:hint="default" w:ascii="Times New Roman" w:hAnsi="Times New Roman" w:eastAsia="仿宋_GB2312" w:cs="Times New Roman"/>
          <w:b w:val="0"/>
          <w:bCs w:val="0"/>
          <w:color w:val="auto"/>
          <w:spacing w:val="0"/>
          <w:kern w:val="0"/>
          <w:sz w:val="32"/>
          <w:szCs w:val="32"/>
          <w:u w:val="none" w:color="auto"/>
          <w:lang w:val="en-US" w:eastAsia="zh-CN"/>
        </w:rPr>
        <w:t>〔市消防救援大队牵头负责，市住建局、市公安局、市331机制办配合；各镇（区、街道）政府（管委会、办事处）组织落实〕</w:t>
      </w:r>
    </w:p>
    <w:p>
      <w:pPr>
        <w:keepNext w:val="0"/>
        <w:keepLines w:val="0"/>
        <w:pageBreakBefore w:val="0"/>
        <w:widowControl w:val="0"/>
        <w:kinsoku/>
        <w:wordWrap/>
        <w:overflowPunct/>
        <w:topLinePunct w:val="0"/>
        <w:autoSpaceDE/>
        <w:autoSpaceDN/>
        <w:bidi w:val="0"/>
        <w:spacing w:line="600" w:lineRule="exact"/>
        <w:ind w:firstLine="643" w:firstLineChars="200"/>
        <w:jc w:val="both"/>
        <w:textAlignment w:val="auto"/>
        <w:rPr>
          <w:rFonts w:hint="default" w:ascii="Times New Roman" w:hAnsi="Times New Roman" w:eastAsia="仿宋_GB2312" w:cs="Times New Roman"/>
          <w:b w:val="0"/>
          <w:bCs w:val="0"/>
          <w:color w:val="auto"/>
          <w:spacing w:val="0"/>
          <w:kern w:val="0"/>
          <w:sz w:val="32"/>
          <w:szCs w:val="32"/>
          <w:u w:val="none" w:color="auto"/>
          <w:lang w:val="en-US" w:eastAsia="zh-CN"/>
        </w:rPr>
      </w:pPr>
      <w:r>
        <w:rPr>
          <w:rFonts w:hint="default" w:ascii="Times New Roman" w:hAnsi="Times New Roman" w:eastAsia="仿宋_GB2312" w:cs="Times New Roman"/>
          <w:b/>
          <w:bCs/>
          <w:color w:val="auto"/>
          <w:spacing w:val="0"/>
          <w:kern w:val="0"/>
          <w:sz w:val="32"/>
          <w:szCs w:val="32"/>
          <w:u w:val="none" w:color="auto"/>
          <w:shd w:val="clear" w:color="auto" w:fill="auto"/>
          <w:lang w:val="en-US" w:eastAsia="zh-CN"/>
        </w:rPr>
        <w:t>15.合理确定充电费用。</w:t>
      </w:r>
      <w:r>
        <w:rPr>
          <w:rFonts w:hint="default" w:ascii="Times New Roman" w:hAnsi="Times New Roman" w:eastAsia="仿宋_GB2312" w:cs="Times New Roman"/>
          <w:color w:val="auto"/>
          <w:spacing w:val="0"/>
          <w:kern w:val="0"/>
          <w:sz w:val="32"/>
          <w:szCs w:val="32"/>
          <w:u w:val="none" w:color="auto"/>
          <w:shd w:val="clear" w:color="auto" w:fill="auto"/>
          <w:lang w:val="en-US" w:eastAsia="zh-CN"/>
        </w:rPr>
        <w:t>指导督促电力企业主动承建充电设施，减收、免收服务费。居民住宅小区充电电价一律按居民合表用户电价执行，引导企业合理确定充电服务费标准。加大电动自行车充电设施转供电环节违规加价查处力度，指导运营方实行明码标价，区分电费和服务费标准并公示，不得收取任何未经公示的费用。鼓励采取财政补贴、延长签约运营期等方式，引导国资和社会力量积极参与充电设施建设，大幅降低充电服务费用，让群众“能承担”“愿意用”。建筑产权单位、使用单位和居住区物业服务企业应积极创造条件帮助降低充电服务价格。</w:t>
      </w:r>
      <w:r>
        <w:rPr>
          <w:rFonts w:hint="default" w:ascii="Times New Roman" w:hAnsi="Times New Roman" w:eastAsia="仿宋_GB2312" w:cs="Times New Roman"/>
          <w:b w:val="0"/>
          <w:bCs w:val="0"/>
          <w:color w:val="auto"/>
          <w:spacing w:val="0"/>
          <w:kern w:val="0"/>
          <w:sz w:val="32"/>
          <w:szCs w:val="32"/>
          <w:u w:val="none" w:color="auto"/>
          <w:lang w:val="en-US" w:eastAsia="zh-CN"/>
        </w:rPr>
        <w:t>〔市发改委牵头负责，市市场监管局、市国资运服中心配合；各镇（区、街道）政府（管委会、办事处）组织落实〕</w:t>
      </w:r>
    </w:p>
    <w:p>
      <w:pPr>
        <w:keepNext w:val="0"/>
        <w:keepLines w:val="0"/>
        <w:pageBreakBefore w:val="0"/>
        <w:widowControl w:val="0"/>
        <w:kinsoku/>
        <w:wordWrap/>
        <w:overflowPunct/>
        <w:topLinePunct w:val="0"/>
        <w:autoSpaceDE/>
        <w:autoSpaceDN/>
        <w:bidi w:val="0"/>
        <w:spacing w:line="600" w:lineRule="exact"/>
        <w:ind w:firstLine="640" w:firstLineChars="200"/>
        <w:jc w:val="both"/>
        <w:textAlignment w:val="auto"/>
        <w:rPr>
          <w:rFonts w:hint="default" w:ascii="Times New Roman" w:hAnsi="Times New Roman" w:eastAsia="仿宋_GB2312" w:cs="Times New Roman"/>
          <w:b w:val="0"/>
          <w:bCs w:val="0"/>
          <w:color w:val="auto"/>
          <w:spacing w:val="0"/>
          <w:kern w:val="0"/>
          <w:sz w:val="32"/>
          <w:szCs w:val="32"/>
          <w:u w:val="none" w:color="auto"/>
          <w:lang w:val="en-US" w:eastAsia="zh-CN"/>
        </w:rPr>
      </w:pPr>
      <w:r>
        <w:rPr>
          <w:rFonts w:hint="default" w:ascii="Times New Roman" w:hAnsi="Times New Roman" w:eastAsia="仿宋_GB2312" w:cs="Times New Roman"/>
          <w:color w:val="auto"/>
          <w:spacing w:val="0"/>
          <w:kern w:val="0"/>
          <w:sz w:val="32"/>
          <w:szCs w:val="32"/>
          <w:u w:val="none" w:color="auto"/>
          <w:shd w:val="clear" w:color="auto" w:fill="auto"/>
          <w:lang w:val="en-US" w:eastAsia="zh-CN"/>
        </w:rPr>
        <w:t>按照国家提升“获得电力”服务水平“三零”政策要求和相关标准规定，做好充电设施报装接电服务工作。</w:t>
      </w:r>
      <w:r>
        <w:rPr>
          <w:rFonts w:hint="default" w:ascii="Times New Roman" w:hAnsi="Times New Roman" w:eastAsia="仿宋_GB2312" w:cs="Times New Roman"/>
          <w:b w:val="0"/>
          <w:bCs w:val="0"/>
          <w:color w:val="auto"/>
          <w:spacing w:val="0"/>
          <w:kern w:val="0"/>
          <w:sz w:val="32"/>
          <w:szCs w:val="32"/>
          <w:u w:val="none" w:color="auto"/>
          <w:lang w:val="en-US" w:eastAsia="zh-CN"/>
        </w:rPr>
        <w:t>〔太仓供电公司负责〕</w:t>
      </w:r>
    </w:p>
    <w:p>
      <w:pPr>
        <w:keepNext w:val="0"/>
        <w:keepLines w:val="0"/>
        <w:pageBreakBefore w:val="0"/>
        <w:widowControl w:val="0"/>
        <w:kinsoku/>
        <w:wordWrap w:val="0"/>
        <w:overflowPunct/>
        <w:topLinePunct w:val="0"/>
        <w:autoSpaceDE/>
        <w:autoSpaceDN/>
        <w:bidi w:val="0"/>
        <w:adjustRightInd/>
        <w:snapToGrid/>
        <w:spacing w:before="0" w:beforeLines="0" w:after="0" w:afterLines="0" w:line="600" w:lineRule="exact"/>
        <w:ind w:left="0" w:firstLine="643" w:firstLineChars="200"/>
        <w:jc w:val="both"/>
        <w:textAlignment w:val="auto"/>
        <w:outlineLvl w:val="9"/>
        <w:rPr>
          <w:rFonts w:hint="default" w:ascii="Times New Roman" w:hAnsi="Times New Roman" w:eastAsia="仿宋_GB2312" w:cs="Times New Roman"/>
          <w:b w:val="0"/>
          <w:bCs w:val="0"/>
          <w:color w:val="auto"/>
          <w:spacing w:val="0"/>
          <w:kern w:val="0"/>
          <w:sz w:val="32"/>
          <w:szCs w:val="32"/>
          <w:u w:val="none" w:color="auto"/>
          <w:lang w:val="en-US" w:eastAsia="zh-CN"/>
        </w:rPr>
      </w:pPr>
      <w:r>
        <w:rPr>
          <w:rFonts w:hint="default" w:ascii="Times New Roman" w:hAnsi="Times New Roman" w:eastAsia="仿宋_GB2312" w:cs="Times New Roman"/>
          <w:b/>
          <w:bCs/>
          <w:color w:val="auto"/>
          <w:spacing w:val="0"/>
          <w:kern w:val="0"/>
          <w:sz w:val="32"/>
          <w:szCs w:val="32"/>
          <w:u w:val="none" w:color="auto"/>
          <w:lang w:val="en-US" w:eastAsia="zh-CN"/>
        </w:rPr>
        <w:t>16.明确渡船载运要求</w:t>
      </w:r>
      <w:r>
        <w:rPr>
          <w:rFonts w:hint="default" w:ascii="Times New Roman" w:hAnsi="Times New Roman" w:eastAsia="仿宋_GB2312" w:cs="Times New Roman"/>
          <w:color w:val="auto"/>
          <w:spacing w:val="0"/>
          <w:kern w:val="0"/>
          <w:sz w:val="32"/>
          <w:szCs w:val="32"/>
          <w:u w:val="none" w:color="auto"/>
          <w:lang w:val="en-US" w:eastAsia="zh-CN"/>
        </w:rPr>
        <w:t>。督促渡运单位落实电动自行车上下船、在船停放、应急处置等安全制度。明确散装液体危险货物船舶上电动自行车存放充电相关监管要求并督促落实。</w:t>
      </w:r>
      <w:r>
        <w:rPr>
          <w:rFonts w:hint="default" w:ascii="Times New Roman" w:hAnsi="Times New Roman" w:eastAsia="仿宋_GB2312" w:cs="Times New Roman"/>
          <w:b w:val="0"/>
          <w:bCs w:val="0"/>
          <w:color w:val="auto"/>
          <w:spacing w:val="0"/>
          <w:kern w:val="0"/>
          <w:sz w:val="32"/>
          <w:szCs w:val="32"/>
          <w:u w:val="none" w:color="auto"/>
          <w:lang w:val="en-US" w:eastAsia="zh-CN"/>
        </w:rPr>
        <w:t>〔</w:t>
      </w:r>
      <w:bookmarkStart w:id="0" w:name="_GoBack"/>
      <w:bookmarkEnd w:id="0"/>
      <w:r>
        <w:rPr>
          <w:rFonts w:hint="default" w:ascii="Times New Roman" w:hAnsi="Times New Roman" w:eastAsia="仿宋_GB2312" w:cs="Times New Roman"/>
          <w:b w:val="0"/>
          <w:bCs w:val="0"/>
          <w:color w:val="auto"/>
          <w:spacing w:val="0"/>
          <w:kern w:val="0"/>
          <w:sz w:val="32"/>
          <w:szCs w:val="32"/>
          <w:u w:val="none" w:color="auto"/>
          <w:lang w:val="en-US" w:eastAsia="zh-CN"/>
        </w:rPr>
        <w:t>太仓海事局牵头负责；各镇（区、街道）政府（管委会、办事处）组织落实〕</w:t>
      </w:r>
    </w:p>
    <w:p>
      <w:pPr>
        <w:pStyle w:val="4"/>
        <w:keepNext w:val="0"/>
        <w:keepLines w:val="0"/>
        <w:pageBreakBefore w:val="0"/>
        <w:widowControl w:val="0"/>
        <w:kinsoku/>
        <w:wordWrap w:val="0"/>
        <w:overflowPunct/>
        <w:topLinePunct w:val="0"/>
        <w:autoSpaceDE/>
        <w:autoSpaceDN/>
        <w:bidi w:val="0"/>
        <w:adjustRightInd/>
        <w:snapToGrid/>
        <w:spacing w:line="600" w:lineRule="exact"/>
        <w:jc w:val="both"/>
        <w:textAlignment w:val="auto"/>
        <w:rPr>
          <w:rFonts w:hint="default" w:ascii="Times New Roman" w:hAnsi="Times New Roman" w:eastAsia="楷体_GB2312" w:cs="Times New Roman"/>
          <w:color w:val="auto"/>
          <w:spacing w:val="0"/>
          <w:sz w:val="32"/>
          <w:szCs w:val="32"/>
          <w:u w:val="none" w:color="auto"/>
        </w:rPr>
      </w:pPr>
      <w:r>
        <w:rPr>
          <w:rFonts w:hint="default" w:ascii="Times New Roman" w:hAnsi="Times New Roman" w:eastAsia="楷体_GB2312" w:cs="Times New Roman"/>
          <w:color w:val="auto"/>
          <w:spacing w:val="0"/>
          <w:sz w:val="32"/>
          <w:szCs w:val="32"/>
          <w:u w:val="none" w:color="auto"/>
          <w:lang w:eastAsia="zh-CN"/>
        </w:rPr>
        <w:t>（</w:t>
      </w:r>
      <w:r>
        <w:rPr>
          <w:rFonts w:hint="default" w:ascii="Times New Roman" w:hAnsi="Times New Roman" w:eastAsia="楷体_GB2312" w:cs="Times New Roman"/>
          <w:color w:val="auto"/>
          <w:spacing w:val="0"/>
          <w:sz w:val="32"/>
          <w:szCs w:val="32"/>
          <w:u w:val="none" w:color="auto"/>
          <w:lang w:val="en-US" w:eastAsia="zh-CN"/>
        </w:rPr>
        <w:t>四</w:t>
      </w:r>
      <w:r>
        <w:rPr>
          <w:rFonts w:hint="default" w:ascii="Times New Roman" w:hAnsi="Times New Roman" w:eastAsia="楷体_GB2312" w:cs="Times New Roman"/>
          <w:color w:val="auto"/>
          <w:spacing w:val="0"/>
          <w:sz w:val="32"/>
          <w:szCs w:val="32"/>
          <w:u w:val="none" w:color="auto"/>
          <w:lang w:eastAsia="zh-CN"/>
        </w:rPr>
        <w:t>）</w:t>
      </w:r>
      <w:r>
        <w:rPr>
          <w:rFonts w:hint="default" w:ascii="Times New Roman" w:hAnsi="Times New Roman" w:eastAsia="楷体_GB2312" w:cs="Times New Roman"/>
          <w:color w:val="auto"/>
          <w:spacing w:val="0"/>
          <w:sz w:val="32"/>
          <w:szCs w:val="32"/>
          <w:u w:val="none" w:color="auto"/>
        </w:rPr>
        <w:t>电动自行车</w:t>
      </w:r>
      <w:r>
        <w:rPr>
          <w:rFonts w:hint="default" w:ascii="Times New Roman" w:hAnsi="Times New Roman" w:eastAsia="楷体_GB2312" w:cs="Times New Roman"/>
          <w:color w:val="auto"/>
          <w:spacing w:val="0"/>
          <w:sz w:val="32"/>
          <w:szCs w:val="32"/>
          <w:u w:val="none" w:color="auto"/>
          <w:lang w:val="en-US" w:eastAsia="zh-CN"/>
        </w:rPr>
        <w:t>回收环节</w:t>
      </w:r>
    </w:p>
    <w:p>
      <w:pPr>
        <w:keepNext w:val="0"/>
        <w:keepLines w:val="0"/>
        <w:pageBreakBefore w:val="0"/>
        <w:widowControl w:val="0"/>
        <w:kinsoku/>
        <w:wordWrap w:val="0"/>
        <w:overflowPunct/>
        <w:topLinePunct w:val="0"/>
        <w:autoSpaceDE/>
        <w:autoSpaceDN/>
        <w:bidi w:val="0"/>
        <w:adjustRightInd/>
        <w:snapToGrid/>
        <w:spacing w:line="600" w:lineRule="exact"/>
        <w:ind w:firstLine="643" w:firstLineChars="200"/>
        <w:jc w:val="both"/>
        <w:textAlignment w:val="auto"/>
        <w:rPr>
          <w:rFonts w:hint="default" w:ascii="Times New Roman" w:hAnsi="Times New Roman" w:eastAsia="仿宋_GB2312" w:cs="Times New Roman"/>
          <w:b w:val="0"/>
          <w:bCs w:val="0"/>
          <w:color w:val="auto"/>
          <w:spacing w:val="0"/>
          <w:kern w:val="0"/>
          <w:sz w:val="32"/>
          <w:szCs w:val="32"/>
          <w:u w:val="none" w:color="auto"/>
          <w:lang w:val="en-US" w:eastAsia="zh-CN"/>
        </w:rPr>
      </w:pPr>
      <w:r>
        <w:rPr>
          <w:rFonts w:hint="default" w:ascii="Times New Roman" w:hAnsi="Times New Roman" w:eastAsia="仿宋_GB2312" w:cs="Times New Roman"/>
          <w:b/>
          <w:bCs/>
          <w:color w:val="auto"/>
          <w:spacing w:val="0"/>
          <w:kern w:val="0"/>
          <w:sz w:val="32"/>
          <w:szCs w:val="32"/>
          <w:u w:val="none" w:color="auto"/>
          <w:shd w:val="clear" w:color="auto" w:fill="auto"/>
          <w:lang w:val="en-US" w:eastAsia="zh-CN"/>
        </w:rPr>
        <w:t>17.</w:t>
      </w:r>
      <w:r>
        <w:rPr>
          <w:rFonts w:hint="default" w:ascii="Times New Roman" w:hAnsi="Times New Roman" w:eastAsia="仿宋_GB2312" w:cs="Times New Roman"/>
          <w:b/>
          <w:bCs/>
          <w:color w:val="auto"/>
          <w:spacing w:val="0"/>
          <w:kern w:val="0"/>
          <w:sz w:val="32"/>
          <w:szCs w:val="32"/>
          <w:u w:val="none" w:color="auto"/>
          <w:lang w:val="en-US" w:eastAsia="zh-CN"/>
        </w:rPr>
        <w:t>大力推行以旧换新。</w:t>
      </w:r>
      <w:r>
        <w:rPr>
          <w:rFonts w:hint="default" w:ascii="Times New Roman" w:hAnsi="Times New Roman" w:eastAsia="仿宋_GB2312" w:cs="Times New Roman"/>
          <w:color w:val="auto"/>
          <w:spacing w:val="0"/>
          <w:kern w:val="0"/>
          <w:sz w:val="32"/>
          <w:szCs w:val="32"/>
          <w:u w:val="none" w:color="auto"/>
          <w:lang w:val="en-US" w:eastAsia="zh-CN"/>
        </w:rPr>
        <w:t>积极落实国家关于推动大规模设备更新和消费品以旧换新统一部署，细化支持政策，推动电动自行车及蓄电池以旧换新，引导老旧、非标、临时信息牌电动自行车退出。鼓励通过财政补贴、企业让利、金融支持等措施推动以旧换新，支持电动自行车生产企业、销售企业、回收企业联合开展以旧换新促销活动，鼓励发放换新消费券。</w:t>
      </w:r>
      <w:r>
        <w:rPr>
          <w:rFonts w:hint="default" w:ascii="Times New Roman" w:hAnsi="Times New Roman" w:eastAsia="仿宋_GB2312" w:cs="Times New Roman"/>
          <w:b w:val="0"/>
          <w:bCs w:val="0"/>
          <w:color w:val="auto"/>
          <w:spacing w:val="0"/>
          <w:kern w:val="0"/>
          <w:sz w:val="32"/>
          <w:szCs w:val="32"/>
          <w:u w:val="none" w:color="auto"/>
          <w:lang w:val="en-US" w:eastAsia="zh-CN"/>
        </w:rPr>
        <w:t>〔市商务局牵头负责，市工信局等部门配合；各镇（区、街道）政府（管委会、办事处）组织落实〕</w:t>
      </w:r>
    </w:p>
    <w:p>
      <w:pPr>
        <w:keepNext w:val="0"/>
        <w:keepLines w:val="0"/>
        <w:pageBreakBefore w:val="0"/>
        <w:widowControl w:val="0"/>
        <w:kinsoku/>
        <w:wordWrap w:val="0"/>
        <w:overflowPunct/>
        <w:topLinePunct w:val="0"/>
        <w:autoSpaceDE/>
        <w:autoSpaceDN/>
        <w:bidi w:val="0"/>
        <w:adjustRightInd/>
        <w:snapToGrid/>
        <w:spacing w:line="600" w:lineRule="exact"/>
        <w:ind w:firstLine="643" w:firstLineChars="200"/>
        <w:jc w:val="both"/>
        <w:textAlignment w:val="auto"/>
        <w:rPr>
          <w:rFonts w:hint="default" w:ascii="Times New Roman" w:hAnsi="Times New Roman" w:eastAsia="仿宋_GB2312" w:cs="Times New Roman"/>
          <w:b w:val="0"/>
          <w:bCs w:val="0"/>
          <w:color w:val="auto"/>
          <w:spacing w:val="0"/>
          <w:kern w:val="0"/>
          <w:sz w:val="32"/>
          <w:szCs w:val="32"/>
          <w:u w:val="none" w:color="auto"/>
          <w:lang w:val="en-US" w:eastAsia="zh-CN"/>
        </w:rPr>
      </w:pPr>
      <w:r>
        <w:rPr>
          <w:rFonts w:hint="default" w:ascii="Times New Roman" w:hAnsi="Times New Roman" w:eastAsia="仿宋_GB2312" w:cs="Times New Roman"/>
          <w:b/>
          <w:bCs/>
          <w:color w:val="auto"/>
          <w:spacing w:val="0"/>
          <w:kern w:val="0"/>
          <w:sz w:val="32"/>
          <w:szCs w:val="32"/>
          <w:u w:val="none" w:color="auto"/>
          <w:lang w:val="en-US" w:eastAsia="zh-CN"/>
        </w:rPr>
        <w:t>18.</w:t>
      </w:r>
      <w:r>
        <w:rPr>
          <w:rFonts w:hint="default" w:ascii="Times New Roman" w:hAnsi="Times New Roman" w:eastAsia="仿宋_GB2312" w:cs="Times New Roman"/>
          <w:b/>
          <w:bCs/>
          <w:color w:val="auto"/>
          <w:spacing w:val="0"/>
          <w:kern w:val="0"/>
          <w:sz w:val="32"/>
          <w:szCs w:val="32"/>
          <w:u w:val="none" w:color="auto"/>
          <w:shd w:val="clear" w:color="auto" w:fill="auto"/>
          <w:lang w:val="en-US" w:eastAsia="zh-CN"/>
        </w:rPr>
        <w:t>健全回收报废体系。</w:t>
      </w:r>
      <w:r>
        <w:rPr>
          <w:rFonts w:hint="default" w:ascii="Times New Roman" w:hAnsi="Times New Roman" w:eastAsia="仿宋_GB2312" w:cs="Times New Roman"/>
          <w:color w:val="auto"/>
          <w:spacing w:val="0"/>
          <w:kern w:val="0"/>
          <w:sz w:val="32"/>
          <w:szCs w:val="32"/>
          <w:u w:val="none" w:color="auto"/>
          <w:lang w:val="en-US" w:eastAsia="zh-CN"/>
        </w:rPr>
        <w:t>严格落实老旧蓄电池国家强制性报废标准，建立完善报废回收体系，科学规范开展回收拆解，促进可再生资源循环利用。优化蓄电池检测技术服务机构站点布局，鼓励电动自行车销售网点提供免费检查服务，引导群众主动送检，及时淘汰更换老旧蓄电池；对超过生产日期5年的蓄电池开展全面强制安全性评估，达到报废条件的一律强制报废，2025年5月底前取得明显成效并持续推进。落实生产者责任延伸制度，依托电动自行车销售网络及现有铅酸蓄电池回收渠道，推动生产企业以自建、委托等方式建立锂离子蓄电池回收利用体系，并向社会公开网点设置，提供更换、回收服务，试点培育骨干再生利用企业。进一步完善现有铅酸蓄电池回收利用体系，提高工作效能。充分发挥国企引领带动作用，促进老旧蓄电池规范回收处理。</w:t>
      </w:r>
      <w:r>
        <w:rPr>
          <w:rFonts w:hint="default" w:ascii="Times New Roman" w:hAnsi="Times New Roman" w:eastAsia="仿宋_GB2312" w:cs="Times New Roman"/>
          <w:b w:val="0"/>
          <w:bCs w:val="0"/>
          <w:color w:val="auto"/>
          <w:spacing w:val="0"/>
          <w:kern w:val="0"/>
          <w:sz w:val="32"/>
          <w:szCs w:val="32"/>
          <w:u w:val="none" w:color="auto"/>
          <w:lang w:val="en-US" w:eastAsia="zh-CN"/>
        </w:rPr>
        <w:t>〔市工信局、太仓生态环境局牵头负责，市市场监管局、市发改委、市国资运服中心、市331机制办配合；各镇（区、街道）政府（管委会、办事处）组织落实〕</w:t>
      </w:r>
    </w:p>
    <w:p>
      <w:pPr>
        <w:pStyle w:val="3"/>
        <w:keepNext w:val="0"/>
        <w:keepLines w:val="0"/>
        <w:pageBreakBefore w:val="0"/>
        <w:widowControl w:val="0"/>
        <w:kinsoku/>
        <w:wordWrap w:val="0"/>
        <w:overflowPunct/>
        <w:topLinePunct w:val="0"/>
        <w:autoSpaceDE/>
        <w:autoSpaceDN/>
        <w:bidi w:val="0"/>
        <w:adjustRightInd/>
        <w:snapToGrid/>
        <w:spacing w:line="600" w:lineRule="exact"/>
        <w:jc w:val="both"/>
        <w:textAlignment w:val="auto"/>
        <w:rPr>
          <w:rFonts w:hint="default" w:ascii="Times New Roman" w:hAnsi="Times New Roman" w:eastAsia="黑体" w:cs="Times New Roman"/>
          <w:color w:val="auto"/>
          <w:spacing w:val="0"/>
          <w:sz w:val="32"/>
          <w:szCs w:val="32"/>
          <w:u w:val="none" w:color="auto"/>
          <w:lang w:val="en-US" w:eastAsia="zh-CN"/>
        </w:rPr>
      </w:pPr>
      <w:r>
        <w:rPr>
          <w:rFonts w:hint="default" w:ascii="Times New Roman" w:hAnsi="Times New Roman" w:eastAsia="黑体" w:cs="Times New Roman"/>
          <w:color w:val="auto"/>
          <w:spacing w:val="0"/>
          <w:sz w:val="32"/>
          <w:szCs w:val="32"/>
          <w:u w:val="none" w:color="auto"/>
        </w:rPr>
        <w:t>三、</w:t>
      </w:r>
      <w:r>
        <w:rPr>
          <w:rFonts w:hint="default" w:ascii="Times New Roman" w:hAnsi="Times New Roman" w:eastAsia="黑体" w:cs="Times New Roman"/>
          <w:color w:val="auto"/>
          <w:spacing w:val="0"/>
          <w:sz w:val="32"/>
          <w:szCs w:val="32"/>
          <w:u w:val="none" w:color="auto"/>
          <w:lang w:val="en-US" w:eastAsia="zh-CN"/>
        </w:rPr>
        <w:t>整治工作措施</w:t>
      </w:r>
    </w:p>
    <w:p>
      <w:pPr>
        <w:pStyle w:val="4"/>
        <w:keepNext w:val="0"/>
        <w:keepLines w:val="0"/>
        <w:pageBreakBefore w:val="0"/>
        <w:widowControl w:val="0"/>
        <w:kinsoku/>
        <w:wordWrap w:val="0"/>
        <w:overflowPunct/>
        <w:topLinePunct w:val="0"/>
        <w:autoSpaceDE/>
        <w:autoSpaceDN/>
        <w:bidi w:val="0"/>
        <w:adjustRightInd/>
        <w:snapToGrid/>
        <w:spacing w:line="600" w:lineRule="exact"/>
        <w:jc w:val="both"/>
        <w:textAlignment w:val="auto"/>
        <w:rPr>
          <w:rFonts w:hint="default" w:ascii="Times New Roman" w:hAnsi="Times New Roman" w:eastAsia="楷体_GB2312" w:cs="Times New Roman"/>
          <w:color w:val="auto"/>
          <w:spacing w:val="0"/>
          <w:sz w:val="32"/>
          <w:szCs w:val="32"/>
          <w:u w:val="none" w:color="auto"/>
        </w:rPr>
      </w:pPr>
      <w:r>
        <w:rPr>
          <w:rFonts w:hint="default" w:ascii="Times New Roman" w:hAnsi="Times New Roman" w:eastAsia="楷体_GB2312" w:cs="Times New Roman"/>
          <w:color w:val="auto"/>
          <w:spacing w:val="0"/>
          <w:sz w:val="32"/>
          <w:szCs w:val="32"/>
          <w:u w:val="none" w:color="auto"/>
          <w:lang w:eastAsia="zh-CN"/>
        </w:rPr>
        <w:t>（</w:t>
      </w:r>
      <w:r>
        <w:rPr>
          <w:rFonts w:hint="default" w:ascii="Times New Roman" w:hAnsi="Times New Roman" w:eastAsia="楷体_GB2312" w:cs="Times New Roman"/>
          <w:color w:val="auto"/>
          <w:spacing w:val="0"/>
          <w:sz w:val="32"/>
          <w:szCs w:val="32"/>
          <w:u w:val="none" w:color="auto"/>
          <w:lang w:val="en-US" w:eastAsia="zh-CN"/>
        </w:rPr>
        <w:t>一</w:t>
      </w:r>
      <w:r>
        <w:rPr>
          <w:rFonts w:hint="default" w:ascii="Times New Roman" w:hAnsi="Times New Roman" w:eastAsia="楷体_GB2312" w:cs="Times New Roman"/>
          <w:color w:val="auto"/>
          <w:spacing w:val="0"/>
          <w:sz w:val="32"/>
          <w:szCs w:val="32"/>
          <w:u w:val="none" w:color="auto"/>
          <w:lang w:eastAsia="zh-CN"/>
        </w:rPr>
        <w:t>）</w:t>
      </w:r>
      <w:r>
        <w:rPr>
          <w:rFonts w:hint="default" w:ascii="Times New Roman" w:hAnsi="Times New Roman" w:eastAsia="楷体_GB2312" w:cs="Times New Roman"/>
          <w:color w:val="auto"/>
          <w:spacing w:val="0"/>
          <w:sz w:val="32"/>
          <w:szCs w:val="32"/>
          <w:u w:val="none" w:color="auto"/>
        </w:rPr>
        <w:t>加强技术模式创新应用</w:t>
      </w:r>
    </w:p>
    <w:p>
      <w:pPr>
        <w:keepNext w:val="0"/>
        <w:keepLines w:val="0"/>
        <w:pageBreakBefore w:val="0"/>
        <w:widowControl w:val="0"/>
        <w:kinsoku/>
        <w:wordWrap w:val="0"/>
        <w:overflowPunct/>
        <w:topLinePunct w:val="0"/>
        <w:autoSpaceDE/>
        <w:autoSpaceDN/>
        <w:bidi w:val="0"/>
        <w:adjustRightInd/>
        <w:snapToGrid/>
        <w:spacing w:line="600" w:lineRule="exact"/>
        <w:ind w:firstLine="643" w:firstLineChars="200"/>
        <w:jc w:val="both"/>
        <w:textAlignment w:val="auto"/>
        <w:rPr>
          <w:rFonts w:hint="default" w:ascii="Times New Roman" w:hAnsi="Times New Roman" w:eastAsia="仿宋_GB2312" w:cs="Times New Roman"/>
          <w:b w:val="0"/>
          <w:bCs w:val="0"/>
          <w:color w:val="auto"/>
          <w:spacing w:val="0"/>
          <w:kern w:val="0"/>
          <w:sz w:val="32"/>
          <w:szCs w:val="32"/>
          <w:u w:val="none" w:color="auto"/>
          <w:lang w:val="en-US" w:eastAsia="zh-CN"/>
        </w:rPr>
      </w:pPr>
      <w:r>
        <w:rPr>
          <w:rFonts w:hint="default" w:ascii="Times New Roman" w:hAnsi="Times New Roman" w:eastAsia="仿宋_GB2312" w:cs="Times New Roman"/>
          <w:b/>
          <w:bCs/>
          <w:color w:val="auto"/>
          <w:spacing w:val="0"/>
          <w:kern w:val="0"/>
          <w:sz w:val="32"/>
          <w:szCs w:val="32"/>
          <w:u w:val="none" w:color="auto"/>
          <w:shd w:val="clear" w:color="auto" w:fill="auto"/>
          <w:lang w:val="en-US" w:eastAsia="zh-CN"/>
        </w:rPr>
        <w:t>19.强化科技赋能。</w:t>
      </w:r>
      <w:r>
        <w:rPr>
          <w:rFonts w:hint="default" w:ascii="Times New Roman" w:hAnsi="Times New Roman" w:eastAsia="仿宋_GB2312" w:cs="Times New Roman"/>
          <w:color w:val="auto"/>
          <w:spacing w:val="0"/>
          <w:kern w:val="0"/>
          <w:sz w:val="32"/>
          <w:szCs w:val="32"/>
          <w:u w:val="none" w:color="auto"/>
          <w:lang w:val="en-US" w:eastAsia="zh-CN"/>
        </w:rPr>
        <w:t>引导充电设施建设运营单位建立数据平台，对充电设施实时监控，2025年底前完成。鼓励充电设施运营单位推广共享换电模式。鼓励在楼宇电梯安装智能阻止系统，推广应用“射频信号传输+视频监控”等技术对电动自行车（蓄电池）进楼实行动态监控，及时发现制止违规停放充电行为。</w:t>
      </w:r>
      <w:r>
        <w:rPr>
          <w:rFonts w:hint="default" w:ascii="Times New Roman" w:hAnsi="Times New Roman" w:eastAsia="仿宋_GB2312" w:cs="Times New Roman"/>
          <w:b w:val="0"/>
          <w:bCs w:val="0"/>
          <w:color w:val="auto"/>
          <w:spacing w:val="0"/>
          <w:kern w:val="0"/>
          <w:sz w:val="32"/>
          <w:szCs w:val="32"/>
          <w:u w:val="none" w:color="auto"/>
          <w:lang w:val="en-US" w:eastAsia="zh-CN"/>
        </w:rPr>
        <w:t>〔市市场监管局、市消防救援大队牵头负责，市住建局、市331机制办配合；各镇（区、街道）政府（管委会、办事处）组织落实〕</w:t>
      </w: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b w:val="0"/>
          <w:bCs w:val="0"/>
          <w:color w:val="auto"/>
          <w:spacing w:val="0"/>
          <w:kern w:val="0"/>
          <w:sz w:val="32"/>
          <w:szCs w:val="32"/>
          <w:u w:val="none" w:color="auto"/>
          <w:lang w:val="en-US" w:eastAsia="zh-CN"/>
        </w:rPr>
      </w:pPr>
      <w:r>
        <w:rPr>
          <w:rFonts w:hint="default" w:ascii="Times New Roman" w:hAnsi="Times New Roman" w:eastAsia="仿宋_GB2312" w:cs="Times New Roman"/>
          <w:color w:val="auto"/>
          <w:spacing w:val="0"/>
          <w:kern w:val="0"/>
          <w:sz w:val="32"/>
          <w:szCs w:val="32"/>
          <w:u w:val="none" w:color="auto"/>
          <w:lang w:val="en-US" w:eastAsia="zh-CN"/>
        </w:rPr>
        <w:t>完善违规充电监测体系，探索通过电流的特征信号分析，对电动自行车入户充电行为进行监测，发现违规充电行为及时告警，“堵”住电动自行车违规入户充电，引导市民在安全合规区域停放充电。</w:t>
      </w:r>
      <w:r>
        <w:rPr>
          <w:rFonts w:hint="default" w:ascii="Times New Roman" w:hAnsi="Times New Roman" w:eastAsia="仿宋_GB2312" w:cs="Times New Roman"/>
          <w:b w:val="0"/>
          <w:bCs w:val="0"/>
          <w:color w:val="auto"/>
          <w:spacing w:val="0"/>
          <w:kern w:val="0"/>
          <w:sz w:val="32"/>
          <w:szCs w:val="32"/>
          <w:u w:val="none" w:color="auto"/>
          <w:lang w:val="en-US" w:eastAsia="zh-CN"/>
        </w:rPr>
        <w:t>〔市331机制办等牵头负责，市数据局配合；各镇（区、街道）政府（管委会、办事处）组织落实〕</w:t>
      </w:r>
    </w:p>
    <w:p>
      <w:pPr>
        <w:keepNext w:val="0"/>
        <w:keepLines w:val="0"/>
        <w:pageBreakBefore w:val="0"/>
        <w:widowControl w:val="0"/>
        <w:kinsoku/>
        <w:wordWrap w:val="0"/>
        <w:overflowPunct/>
        <w:topLinePunct w:val="0"/>
        <w:autoSpaceDE/>
        <w:autoSpaceDN/>
        <w:bidi w:val="0"/>
        <w:adjustRightInd/>
        <w:snapToGrid/>
        <w:spacing w:line="600" w:lineRule="exact"/>
        <w:ind w:firstLine="643" w:firstLineChars="200"/>
        <w:jc w:val="both"/>
        <w:textAlignment w:val="auto"/>
        <w:rPr>
          <w:rFonts w:hint="default" w:ascii="Times New Roman" w:hAnsi="Times New Roman" w:eastAsia="仿宋_GB2312" w:cs="Times New Roman"/>
          <w:b w:val="0"/>
          <w:bCs w:val="0"/>
          <w:color w:val="auto"/>
          <w:spacing w:val="0"/>
          <w:kern w:val="0"/>
          <w:sz w:val="32"/>
          <w:szCs w:val="32"/>
          <w:u w:val="none" w:color="auto"/>
          <w:lang w:val="en-US" w:eastAsia="zh-CN"/>
        </w:rPr>
      </w:pPr>
      <w:r>
        <w:rPr>
          <w:rFonts w:hint="default" w:ascii="Times New Roman" w:hAnsi="Times New Roman" w:eastAsia="仿宋_GB2312" w:cs="Times New Roman"/>
          <w:b/>
          <w:bCs/>
          <w:color w:val="auto"/>
          <w:spacing w:val="0"/>
          <w:kern w:val="0"/>
          <w:sz w:val="32"/>
          <w:szCs w:val="32"/>
          <w:u w:val="none" w:color="auto"/>
          <w:lang w:val="en-US" w:eastAsia="zh-CN"/>
        </w:rPr>
        <w:t>20.创新运营模式。</w:t>
      </w:r>
      <w:r>
        <w:rPr>
          <w:rFonts w:hint="default" w:ascii="Times New Roman" w:hAnsi="Times New Roman" w:eastAsia="仿宋_GB2312" w:cs="Times New Roman"/>
          <w:color w:val="auto"/>
          <w:spacing w:val="0"/>
          <w:kern w:val="0"/>
          <w:sz w:val="32"/>
          <w:szCs w:val="32"/>
          <w:u w:val="none" w:color="auto"/>
          <w:shd w:val="clear" w:color="auto" w:fill="auto"/>
          <w:lang w:val="en-US" w:eastAsia="zh-CN"/>
        </w:rPr>
        <w:t>探索共享电单车试点，在解决群众出行需求的基础上，</w:t>
      </w:r>
      <w:r>
        <w:rPr>
          <w:rFonts w:hint="default" w:ascii="Times New Roman" w:hAnsi="Times New Roman" w:eastAsia="仿宋_GB2312" w:cs="Times New Roman"/>
          <w:color w:val="auto"/>
          <w:spacing w:val="0"/>
          <w:kern w:val="0"/>
          <w:sz w:val="32"/>
          <w:szCs w:val="32"/>
          <w:u w:val="none" w:color="auto"/>
          <w:lang w:val="en-US" w:eastAsia="zh-CN"/>
        </w:rPr>
        <w:t>积极采用电子围栏等方式做好车辆停放、集中充换电的安全管理。</w:t>
      </w:r>
      <w:r>
        <w:rPr>
          <w:rFonts w:hint="default" w:ascii="Times New Roman" w:hAnsi="Times New Roman" w:eastAsia="仿宋_GB2312" w:cs="Times New Roman"/>
          <w:b w:val="0"/>
          <w:bCs w:val="0"/>
          <w:color w:val="auto"/>
          <w:spacing w:val="0"/>
          <w:kern w:val="0"/>
          <w:sz w:val="32"/>
          <w:szCs w:val="32"/>
          <w:u w:val="none" w:color="auto"/>
          <w:lang w:val="en-US" w:eastAsia="zh-CN"/>
        </w:rPr>
        <w:t>〔市城管局牵头负责；各镇（区、街道）政府（管委会、办事处）组织落实〕</w:t>
      </w:r>
    </w:p>
    <w:p>
      <w:pPr>
        <w:pStyle w:val="4"/>
        <w:keepNext w:val="0"/>
        <w:keepLines w:val="0"/>
        <w:pageBreakBefore w:val="0"/>
        <w:widowControl w:val="0"/>
        <w:kinsoku/>
        <w:wordWrap w:val="0"/>
        <w:overflowPunct/>
        <w:topLinePunct w:val="0"/>
        <w:autoSpaceDE/>
        <w:autoSpaceDN/>
        <w:bidi w:val="0"/>
        <w:adjustRightInd/>
        <w:snapToGrid/>
        <w:spacing w:line="600" w:lineRule="exact"/>
        <w:jc w:val="both"/>
        <w:textAlignment w:val="auto"/>
        <w:rPr>
          <w:rFonts w:hint="default" w:ascii="Times New Roman" w:hAnsi="Times New Roman" w:eastAsia="楷体_GB2312" w:cs="Times New Roman"/>
          <w:color w:val="auto"/>
          <w:spacing w:val="0"/>
          <w:sz w:val="32"/>
          <w:szCs w:val="32"/>
          <w:u w:val="none" w:color="auto"/>
          <w:lang w:val="en-US" w:eastAsia="zh-CN"/>
        </w:rPr>
      </w:pPr>
      <w:r>
        <w:rPr>
          <w:rFonts w:hint="default" w:ascii="Times New Roman" w:hAnsi="Times New Roman" w:eastAsia="楷体_GB2312" w:cs="Times New Roman"/>
          <w:color w:val="auto"/>
          <w:spacing w:val="0"/>
          <w:sz w:val="32"/>
          <w:szCs w:val="32"/>
          <w:u w:val="none" w:color="auto"/>
          <w:lang w:val="en-US" w:eastAsia="zh-CN"/>
        </w:rPr>
        <w:t>（二）加强“全链条”监督管理</w:t>
      </w:r>
    </w:p>
    <w:p>
      <w:pPr>
        <w:keepNext w:val="0"/>
        <w:keepLines w:val="0"/>
        <w:pageBreakBefore w:val="0"/>
        <w:widowControl w:val="0"/>
        <w:kinsoku/>
        <w:wordWrap w:val="0"/>
        <w:overflowPunct/>
        <w:topLinePunct w:val="0"/>
        <w:autoSpaceDE/>
        <w:autoSpaceDN/>
        <w:bidi w:val="0"/>
        <w:adjustRightInd/>
        <w:snapToGrid/>
        <w:spacing w:before="0" w:beforeLines="0" w:after="0" w:afterLines="0" w:line="600" w:lineRule="exact"/>
        <w:ind w:left="0" w:firstLine="643" w:firstLineChars="200"/>
        <w:jc w:val="both"/>
        <w:textAlignment w:val="auto"/>
        <w:outlineLvl w:val="9"/>
        <w:rPr>
          <w:rFonts w:hint="default" w:ascii="Times New Roman" w:hAnsi="Times New Roman" w:eastAsia="仿宋_GB2312" w:cs="Times New Roman"/>
          <w:color w:val="auto"/>
          <w:spacing w:val="0"/>
          <w:kern w:val="0"/>
          <w:sz w:val="32"/>
          <w:szCs w:val="32"/>
          <w:u w:val="none" w:color="auto"/>
          <w:lang w:val="en-US" w:eastAsia="zh-CN"/>
        </w:rPr>
      </w:pPr>
      <w:r>
        <w:rPr>
          <w:rFonts w:hint="default" w:ascii="Times New Roman" w:hAnsi="Times New Roman" w:eastAsia="仿宋_GB2312" w:cs="Times New Roman"/>
          <w:b/>
          <w:bCs/>
          <w:color w:val="auto"/>
          <w:spacing w:val="0"/>
          <w:kern w:val="0"/>
          <w:sz w:val="32"/>
          <w:szCs w:val="32"/>
          <w:u w:val="none" w:color="auto"/>
          <w:lang w:val="en-US" w:eastAsia="zh-CN"/>
        </w:rPr>
        <w:t>21.深化督导检查考核。</w:t>
      </w:r>
      <w:r>
        <w:rPr>
          <w:rFonts w:hint="default" w:ascii="Times New Roman" w:hAnsi="Times New Roman" w:eastAsia="仿宋_GB2312" w:cs="Times New Roman"/>
          <w:color w:val="auto"/>
          <w:spacing w:val="0"/>
          <w:kern w:val="0"/>
          <w:sz w:val="32"/>
          <w:szCs w:val="32"/>
          <w:u w:val="none" w:color="auto"/>
          <w:lang w:val="en-US" w:eastAsia="zh-CN"/>
        </w:rPr>
        <w:t>将深化</w:t>
      </w:r>
      <w:r>
        <w:rPr>
          <w:rFonts w:hint="default" w:ascii="Times New Roman" w:hAnsi="Times New Roman" w:eastAsia="仿宋_GB2312" w:cs="Times New Roman"/>
          <w:color w:val="auto"/>
          <w:spacing w:val="-6"/>
          <w:kern w:val="0"/>
          <w:sz w:val="32"/>
          <w:szCs w:val="32"/>
          <w:u w:val="none" w:color="auto"/>
          <w:lang w:val="en-US" w:eastAsia="zh-CN" w:bidi="ar-SA"/>
        </w:rPr>
        <w:t>电动自行车安全</w:t>
      </w:r>
      <w:r>
        <w:rPr>
          <w:rFonts w:hint="default" w:ascii="Times New Roman" w:hAnsi="Times New Roman" w:eastAsia="仿宋_GB2312" w:cs="Times New Roman"/>
          <w:color w:val="auto"/>
          <w:spacing w:val="0"/>
          <w:kern w:val="0"/>
          <w:sz w:val="32"/>
          <w:szCs w:val="32"/>
          <w:u w:val="none" w:color="auto"/>
          <w:lang w:val="en-US" w:eastAsia="zh-CN"/>
        </w:rPr>
        <w:t>隐患全链条整治行动开展情况纳入安全生产督导检查和考核内容，切实压实各方监管责任。</w:t>
      </w:r>
      <w:r>
        <w:rPr>
          <w:rFonts w:hint="default" w:ascii="Times New Roman" w:hAnsi="Times New Roman" w:eastAsia="仿宋_GB2312" w:cs="Times New Roman"/>
          <w:color w:val="auto"/>
          <w:spacing w:val="0"/>
          <w:kern w:val="0"/>
          <w:sz w:val="32"/>
          <w:szCs w:val="32"/>
          <w:u w:val="none" w:color="auto"/>
          <w:shd w:val="clear" w:color="auto" w:fill="auto"/>
          <w:lang w:val="en-US" w:eastAsia="zh-CN"/>
        </w:rPr>
        <w:t>〔</w:t>
      </w:r>
      <w:r>
        <w:rPr>
          <w:rFonts w:hint="default" w:ascii="Times New Roman" w:hAnsi="Times New Roman" w:eastAsia="仿宋_GB2312" w:cs="Times New Roman"/>
          <w:color w:val="auto"/>
          <w:spacing w:val="0"/>
          <w:kern w:val="0"/>
          <w:sz w:val="32"/>
          <w:szCs w:val="32"/>
          <w:u w:val="none" w:color="auto"/>
          <w:lang w:val="en-US" w:eastAsia="zh-CN"/>
        </w:rPr>
        <w:t>市应急管理局牵头负责</w:t>
      </w:r>
      <w:r>
        <w:rPr>
          <w:rFonts w:hint="default" w:ascii="Times New Roman" w:hAnsi="Times New Roman" w:eastAsia="仿宋_GB2312" w:cs="Times New Roman"/>
          <w:color w:val="auto"/>
          <w:spacing w:val="0"/>
          <w:kern w:val="0"/>
          <w:sz w:val="32"/>
          <w:szCs w:val="32"/>
          <w:u w:val="none" w:color="auto"/>
          <w:shd w:val="clear" w:color="auto" w:fill="auto"/>
          <w:lang w:val="en-US" w:eastAsia="zh-CN"/>
        </w:rPr>
        <w:t>；</w:t>
      </w:r>
      <w:r>
        <w:rPr>
          <w:rFonts w:hint="default" w:ascii="Times New Roman" w:hAnsi="Times New Roman" w:eastAsia="仿宋_GB2312" w:cs="Times New Roman"/>
          <w:color w:val="auto"/>
          <w:spacing w:val="0"/>
          <w:kern w:val="0"/>
          <w:sz w:val="32"/>
          <w:szCs w:val="32"/>
          <w:u w:val="none" w:color="auto"/>
          <w:lang w:val="en-US" w:eastAsia="zh-CN"/>
        </w:rPr>
        <w:t>各镇（区、街道）政府（管委会、办事处）组织落实〕</w:t>
      </w:r>
    </w:p>
    <w:p>
      <w:pPr>
        <w:keepNext w:val="0"/>
        <w:keepLines w:val="0"/>
        <w:pageBreakBefore w:val="0"/>
        <w:widowControl w:val="0"/>
        <w:kinsoku/>
        <w:wordWrap w:val="0"/>
        <w:overflowPunct/>
        <w:topLinePunct w:val="0"/>
        <w:autoSpaceDE/>
        <w:autoSpaceDN/>
        <w:bidi w:val="0"/>
        <w:adjustRightInd/>
        <w:snapToGrid/>
        <w:spacing w:line="600" w:lineRule="exact"/>
        <w:ind w:firstLine="643" w:firstLineChars="200"/>
        <w:jc w:val="both"/>
        <w:textAlignment w:val="auto"/>
        <w:rPr>
          <w:rFonts w:hint="default" w:ascii="Times New Roman" w:hAnsi="Times New Roman" w:eastAsia="仿宋_GB2312" w:cs="Times New Roman"/>
          <w:color w:val="auto"/>
          <w:spacing w:val="0"/>
          <w:kern w:val="0"/>
          <w:sz w:val="32"/>
          <w:szCs w:val="32"/>
          <w:u w:val="none" w:color="auto"/>
          <w:lang w:val="en-US" w:eastAsia="zh-CN"/>
        </w:rPr>
      </w:pPr>
      <w:r>
        <w:rPr>
          <w:rFonts w:hint="default" w:ascii="Times New Roman" w:hAnsi="Times New Roman" w:eastAsia="仿宋_GB2312" w:cs="Times New Roman"/>
          <w:b/>
          <w:bCs/>
          <w:color w:val="auto"/>
          <w:spacing w:val="0"/>
          <w:kern w:val="0"/>
          <w:sz w:val="32"/>
          <w:szCs w:val="32"/>
          <w:u w:val="none" w:color="auto"/>
          <w:lang w:val="en-US" w:eastAsia="zh-CN"/>
        </w:rPr>
        <w:t>22.建立责任倒查机制。</w:t>
      </w:r>
      <w:r>
        <w:rPr>
          <w:rFonts w:hint="default" w:ascii="Times New Roman" w:hAnsi="Times New Roman" w:eastAsia="仿宋_GB2312" w:cs="Times New Roman"/>
          <w:color w:val="auto"/>
          <w:spacing w:val="0"/>
          <w:kern w:val="0"/>
          <w:sz w:val="32"/>
          <w:szCs w:val="32"/>
          <w:u w:val="none" w:color="auto"/>
          <w:lang w:val="en-US" w:eastAsia="zh-CN"/>
        </w:rPr>
        <w:t>运用“一车一池一充一码”识别代码和电动自行车登记信息管理系统，强化信息共享，提高事故后溯源调查能力。建立电动自行车亡人事故责任倒查机制，有关部门将生产、销售、改装、停放、充电等各环节发现的违法违规线索及时移交并配合公安、消防、市场监管等部门开展调查，必要时开展联合执法，造成重大影响的依法追责。〔市应急管理局、市消防救援大队、市公安局牵头负责，市市场监管局、市工信局、市商务局配合；各镇（区、街道）政府（管委会、办事处）组织落实〕</w:t>
      </w:r>
    </w:p>
    <w:p>
      <w:pPr>
        <w:keepNext w:val="0"/>
        <w:keepLines w:val="0"/>
        <w:pageBreakBefore w:val="0"/>
        <w:widowControl w:val="0"/>
        <w:kinsoku/>
        <w:wordWrap w:val="0"/>
        <w:overflowPunct/>
        <w:topLinePunct w:val="0"/>
        <w:autoSpaceDE/>
        <w:autoSpaceDN/>
        <w:bidi w:val="0"/>
        <w:adjustRightInd/>
        <w:snapToGrid/>
        <w:spacing w:line="600" w:lineRule="exact"/>
        <w:ind w:firstLine="643" w:firstLineChars="200"/>
        <w:jc w:val="both"/>
        <w:textAlignment w:val="auto"/>
        <w:rPr>
          <w:rFonts w:hint="default" w:ascii="Times New Roman" w:hAnsi="Times New Roman" w:eastAsia="仿宋_GB2312" w:cs="Times New Roman"/>
          <w:color w:val="auto"/>
          <w:spacing w:val="0"/>
          <w:kern w:val="0"/>
          <w:sz w:val="32"/>
          <w:szCs w:val="32"/>
          <w:u w:val="none" w:color="auto"/>
          <w:lang w:val="en-US" w:eastAsia="zh-CN"/>
        </w:rPr>
      </w:pPr>
      <w:r>
        <w:rPr>
          <w:rFonts w:hint="default" w:ascii="Times New Roman" w:hAnsi="Times New Roman" w:eastAsia="仿宋_GB2312" w:cs="Times New Roman"/>
          <w:b/>
          <w:bCs/>
          <w:color w:val="auto"/>
          <w:spacing w:val="0"/>
          <w:kern w:val="0"/>
          <w:sz w:val="32"/>
          <w:szCs w:val="32"/>
          <w:u w:val="none" w:color="auto"/>
          <w:lang w:val="en-US" w:eastAsia="zh-CN"/>
        </w:rPr>
        <w:t>23.加大联合惩戒力度。</w:t>
      </w:r>
      <w:r>
        <w:rPr>
          <w:rFonts w:hint="default" w:ascii="Times New Roman" w:hAnsi="Times New Roman" w:eastAsia="仿宋_GB2312" w:cs="Times New Roman"/>
          <w:color w:val="auto"/>
          <w:spacing w:val="0"/>
          <w:kern w:val="0"/>
          <w:sz w:val="32"/>
          <w:szCs w:val="32"/>
          <w:u w:val="none" w:color="auto"/>
          <w:lang w:val="en-US" w:eastAsia="zh-CN"/>
        </w:rPr>
        <w:t>市场监管、工信、公安等部门对违法违规生产销售电动自行车及蓄电池，违规回收、二次组装加工蓄电池，违规提供拼装改装服务及部件的企业或个人，依法依规予以曝光。消防救援机构对引发火灾事故的电动自行车、蓄电池品牌及型号按照规定进行曝光。严重违法企业单位和责任人员依法列入相关严重失信主体名单。〔市市场监管局、市消防救援大队牵头负责，市工信局、市公安局配合；各镇（区、街道）政府（管委会、办事处）组织落实〕</w:t>
      </w: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sz w:val="32"/>
          <w:szCs w:val="32"/>
          <w:u w:val="none" w:color="auto"/>
          <w:lang w:val="en-US" w:eastAsia="zh-CN"/>
        </w:rPr>
      </w:pPr>
      <w:r>
        <w:rPr>
          <w:rFonts w:hint="default" w:ascii="Times New Roman" w:hAnsi="Times New Roman" w:eastAsia="仿宋_GB2312" w:cs="Times New Roman"/>
          <w:color w:val="auto"/>
          <w:spacing w:val="0"/>
          <w:kern w:val="0"/>
          <w:sz w:val="32"/>
          <w:szCs w:val="32"/>
          <w:u w:val="none" w:color="auto"/>
          <w:lang w:val="en-US" w:eastAsia="zh-CN"/>
        </w:rPr>
        <w:t>督促销售网点和维修店铺依法依规回收、转移废旧铅酸蓄电池，从严查处擅自拆开铅酸电池盖片加液等违法违规行为，严厉打击不按规定执行危险废物转移联单等违法行为。〔太仓生态环境局牵头负责；各镇（区、街道）政府（管委会、办事处）组织落实〕</w:t>
      </w:r>
    </w:p>
    <w:p>
      <w:pPr>
        <w:keepNext w:val="0"/>
        <w:keepLines w:val="0"/>
        <w:pageBreakBefore w:val="0"/>
        <w:widowControl w:val="0"/>
        <w:kinsoku/>
        <w:wordWrap w:val="0"/>
        <w:overflowPunct/>
        <w:topLinePunct w:val="0"/>
        <w:autoSpaceDE/>
        <w:autoSpaceDN/>
        <w:bidi w:val="0"/>
        <w:adjustRightInd/>
        <w:snapToGrid/>
        <w:spacing w:line="600" w:lineRule="exact"/>
        <w:ind w:firstLine="643" w:firstLineChars="200"/>
        <w:jc w:val="both"/>
        <w:textAlignment w:val="auto"/>
        <w:rPr>
          <w:rFonts w:hint="default" w:ascii="Times New Roman" w:hAnsi="Times New Roman" w:eastAsia="仿宋_GB2312" w:cs="Times New Roman"/>
          <w:color w:val="auto"/>
          <w:spacing w:val="0"/>
          <w:kern w:val="0"/>
          <w:sz w:val="32"/>
          <w:szCs w:val="32"/>
          <w:u w:val="none" w:color="auto"/>
          <w:lang w:val="en-US" w:eastAsia="zh-CN"/>
        </w:rPr>
      </w:pPr>
      <w:r>
        <w:rPr>
          <w:rFonts w:hint="default" w:ascii="Times New Roman" w:hAnsi="Times New Roman" w:eastAsia="仿宋_GB2312" w:cs="Times New Roman"/>
          <w:b/>
          <w:bCs/>
          <w:color w:val="auto"/>
          <w:spacing w:val="0"/>
          <w:kern w:val="0"/>
          <w:sz w:val="32"/>
          <w:szCs w:val="32"/>
          <w:u w:val="none" w:color="auto"/>
          <w:lang w:val="en-US" w:eastAsia="zh-CN"/>
        </w:rPr>
        <w:t>24.</w:t>
      </w:r>
      <w:r>
        <w:rPr>
          <w:rFonts w:hint="default" w:ascii="Times New Roman" w:hAnsi="Times New Roman" w:eastAsia="仿宋_GB2312" w:cs="Times New Roman"/>
          <w:b/>
          <w:bCs/>
          <w:color w:val="auto"/>
          <w:spacing w:val="0"/>
          <w:kern w:val="0"/>
          <w:sz w:val="32"/>
          <w:szCs w:val="32"/>
          <w:u w:val="none" w:color="auto"/>
          <w:shd w:val="clear" w:color="auto" w:fill="auto"/>
          <w:lang w:val="en-US" w:eastAsia="zh-CN"/>
        </w:rPr>
        <w:t>提升齐抓共管合力</w:t>
      </w:r>
      <w:r>
        <w:rPr>
          <w:rFonts w:hint="default" w:ascii="Times New Roman" w:hAnsi="Times New Roman" w:eastAsia="仿宋_GB2312" w:cs="Times New Roman"/>
          <w:b/>
          <w:bCs/>
          <w:color w:val="auto"/>
          <w:spacing w:val="0"/>
          <w:kern w:val="0"/>
          <w:sz w:val="32"/>
          <w:szCs w:val="32"/>
          <w:u w:val="none" w:color="auto"/>
          <w:lang w:val="en-US" w:eastAsia="zh-CN"/>
        </w:rPr>
        <w:t>。</w:t>
      </w:r>
      <w:r>
        <w:rPr>
          <w:rFonts w:hint="default" w:ascii="Times New Roman" w:hAnsi="Times New Roman" w:eastAsia="仿宋_GB2312" w:cs="Times New Roman"/>
          <w:b w:val="0"/>
          <w:bCs w:val="0"/>
          <w:color w:val="auto"/>
          <w:spacing w:val="0"/>
          <w:kern w:val="0"/>
          <w:sz w:val="32"/>
          <w:szCs w:val="32"/>
          <w:u w:val="none" w:color="auto"/>
          <w:lang w:val="en-US" w:eastAsia="zh-CN"/>
        </w:rPr>
        <w:t>按照“三管三必须”要求，督促指导各类学校、民政服务机构、建筑工地、车站、商业综合体、文化旅游场所、医疗卫生机构等，推进电动自行车停放充电场所建设，排查整治违规停放充电等行为，定期开展疏散演练。</w:t>
      </w:r>
      <w:r>
        <w:rPr>
          <w:rFonts w:hint="default" w:ascii="Times New Roman" w:hAnsi="Times New Roman" w:eastAsia="仿宋_GB2312" w:cs="Times New Roman"/>
          <w:color w:val="auto"/>
          <w:spacing w:val="0"/>
          <w:kern w:val="0"/>
          <w:sz w:val="32"/>
          <w:szCs w:val="32"/>
          <w:u w:val="none" w:color="auto"/>
          <w:lang w:val="en-US" w:eastAsia="zh-CN"/>
        </w:rPr>
        <w:t>〔市教育局、市民政局、市住建局、市交通运输局、市商务局、市文体广旅局、市卫健委等行业主管部门负责；各镇（区、街道）政府（管委会、办事处）组织落实〕</w:t>
      </w: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spacing w:val="0"/>
          <w:kern w:val="0"/>
          <w:sz w:val="32"/>
          <w:szCs w:val="32"/>
          <w:u w:val="none" w:color="auto"/>
          <w:lang w:val="en-US" w:eastAsia="zh-CN"/>
        </w:rPr>
      </w:pPr>
      <w:r>
        <w:rPr>
          <w:rFonts w:hint="default" w:ascii="Times New Roman" w:hAnsi="Times New Roman" w:eastAsia="仿宋_GB2312" w:cs="Times New Roman"/>
          <w:b w:val="0"/>
          <w:bCs w:val="0"/>
          <w:color w:val="auto"/>
          <w:spacing w:val="0"/>
          <w:kern w:val="0"/>
          <w:sz w:val="32"/>
          <w:szCs w:val="32"/>
          <w:u w:val="none" w:color="auto"/>
          <w:lang w:val="en-US" w:eastAsia="zh-CN"/>
        </w:rPr>
        <w:t>将电动自行车消防安全纳入网格化管理，督促社会单位和基层组织、居民住宅小区等开展消防安全巡查检查。定期排查停放场所周围堆放可燃物、与内天井和公共门厅未设置防火分隔、管道竖井封堵不严、疏散通道堵塞等消防安全隐患，严防火灾风险叠加。</w:t>
      </w:r>
      <w:r>
        <w:rPr>
          <w:rFonts w:hint="default" w:ascii="Times New Roman" w:hAnsi="Times New Roman" w:eastAsia="仿宋_GB2312" w:cs="Times New Roman"/>
          <w:color w:val="auto"/>
          <w:spacing w:val="0"/>
          <w:kern w:val="0"/>
          <w:sz w:val="32"/>
          <w:szCs w:val="32"/>
          <w:u w:val="none" w:color="auto"/>
          <w:lang w:val="en-US" w:eastAsia="zh-CN"/>
        </w:rPr>
        <w:t>〔各镇（区、街道）政府（管委会、办事处）组织落实〕</w:t>
      </w:r>
    </w:p>
    <w:p>
      <w:pPr>
        <w:pStyle w:val="4"/>
        <w:keepNext w:val="0"/>
        <w:keepLines w:val="0"/>
        <w:pageBreakBefore w:val="0"/>
        <w:widowControl w:val="0"/>
        <w:kinsoku/>
        <w:wordWrap w:val="0"/>
        <w:overflowPunct/>
        <w:topLinePunct w:val="0"/>
        <w:autoSpaceDE/>
        <w:autoSpaceDN/>
        <w:bidi w:val="0"/>
        <w:adjustRightInd/>
        <w:snapToGrid/>
        <w:spacing w:line="600" w:lineRule="exact"/>
        <w:jc w:val="both"/>
        <w:textAlignment w:val="auto"/>
        <w:rPr>
          <w:rFonts w:hint="default" w:ascii="Times New Roman" w:hAnsi="Times New Roman" w:eastAsia="楷体_GB2312" w:cs="Times New Roman"/>
          <w:color w:val="auto"/>
          <w:spacing w:val="0"/>
          <w:sz w:val="32"/>
          <w:szCs w:val="32"/>
          <w:u w:val="none" w:color="auto"/>
          <w:lang w:val="en-US" w:eastAsia="zh-CN"/>
        </w:rPr>
      </w:pPr>
      <w:r>
        <w:rPr>
          <w:rFonts w:hint="default" w:ascii="Times New Roman" w:hAnsi="Times New Roman" w:eastAsia="楷体_GB2312" w:cs="Times New Roman"/>
          <w:color w:val="auto"/>
          <w:spacing w:val="0"/>
          <w:sz w:val="32"/>
          <w:szCs w:val="32"/>
          <w:u w:val="none" w:color="auto"/>
          <w:lang w:val="en-US" w:eastAsia="zh-CN"/>
        </w:rPr>
        <w:t>（三）加强安全宣传教育</w:t>
      </w:r>
    </w:p>
    <w:p>
      <w:pPr>
        <w:keepNext w:val="0"/>
        <w:keepLines w:val="0"/>
        <w:pageBreakBefore w:val="0"/>
        <w:widowControl w:val="0"/>
        <w:kinsoku/>
        <w:wordWrap w:val="0"/>
        <w:overflowPunct/>
        <w:topLinePunct w:val="0"/>
        <w:autoSpaceDE/>
        <w:autoSpaceDN/>
        <w:bidi w:val="0"/>
        <w:adjustRightInd/>
        <w:snapToGrid/>
        <w:spacing w:before="0" w:beforeLines="0" w:after="0" w:afterLines="0" w:line="600" w:lineRule="exact"/>
        <w:ind w:left="0" w:firstLine="643" w:firstLineChars="200"/>
        <w:jc w:val="both"/>
        <w:textAlignment w:val="auto"/>
        <w:outlineLvl w:val="9"/>
        <w:rPr>
          <w:rFonts w:hint="default" w:ascii="Times New Roman" w:hAnsi="Times New Roman" w:eastAsia="仿宋_GB2312" w:cs="Times New Roman"/>
          <w:color w:val="auto"/>
          <w:spacing w:val="0"/>
          <w:kern w:val="0"/>
          <w:sz w:val="32"/>
          <w:szCs w:val="32"/>
          <w:u w:val="none" w:color="auto"/>
          <w:lang w:val="en-US" w:eastAsia="zh-CN"/>
        </w:rPr>
      </w:pPr>
      <w:r>
        <w:rPr>
          <w:rFonts w:hint="default" w:ascii="Times New Roman" w:hAnsi="Times New Roman" w:eastAsia="仿宋_GB2312" w:cs="Times New Roman"/>
          <w:b/>
          <w:bCs/>
          <w:color w:val="auto"/>
          <w:spacing w:val="0"/>
          <w:kern w:val="0"/>
          <w:sz w:val="32"/>
          <w:szCs w:val="32"/>
          <w:u w:val="none" w:color="auto"/>
          <w:lang w:val="en-US" w:eastAsia="zh-CN"/>
        </w:rPr>
        <w:t>25.开展警示宣传教育。</w:t>
      </w:r>
      <w:r>
        <w:rPr>
          <w:rFonts w:hint="default" w:ascii="Times New Roman" w:hAnsi="Times New Roman" w:eastAsia="仿宋_GB2312" w:cs="Times New Roman"/>
          <w:color w:val="auto"/>
          <w:spacing w:val="0"/>
          <w:kern w:val="0"/>
          <w:sz w:val="32"/>
          <w:szCs w:val="32"/>
          <w:u w:val="none" w:color="auto"/>
          <w:lang w:val="en-US" w:eastAsia="zh-CN"/>
        </w:rPr>
        <w:t>广泛宣传电动自行车停放充电和事故防范知识，强化案例警示教育，在电梯、楼道入口等处播放张贴安全提示。</w:t>
      </w:r>
      <w:r>
        <w:rPr>
          <w:rFonts w:hint="default" w:ascii="Times New Roman" w:hAnsi="Times New Roman" w:eastAsia="仿宋_GB2312" w:cs="Times New Roman"/>
          <w:color w:val="auto"/>
          <w:spacing w:val="0"/>
          <w:kern w:val="0"/>
          <w:sz w:val="32"/>
          <w:szCs w:val="32"/>
          <w:highlight w:val="none"/>
          <w:u w:val="none" w:color="auto"/>
          <w:lang w:val="en-US" w:eastAsia="zh-CN"/>
        </w:rPr>
        <w:t>各类</w:t>
      </w:r>
      <w:r>
        <w:rPr>
          <w:rFonts w:hint="default" w:ascii="Times New Roman" w:hAnsi="Times New Roman" w:eastAsia="仿宋_GB2312" w:cs="Times New Roman"/>
          <w:color w:val="auto"/>
          <w:spacing w:val="0"/>
          <w:kern w:val="0"/>
          <w:sz w:val="32"/>
          <w:szCs w:val="32"/>
          <w:u w:val="none" w:color="auto"/>
          <w:lang w:val="en-US" w:eastAsia="zh-CN"/>
        </w:rPr>
        <w:t>学校要将电动自行车交通安全和消防安全教育纳入法治宣传内容，发挥“小手拉大手”宣传作用。报纸、广播、电视及相关新媒体平台开展安全公益宣传。鼓励群众举报电动自行车安全隐患和违法线索，强化社会监督。〔市委宣传部牵头负责，各行业主管部门配合；各镇（区、街道）政府（管委会、办事处）组织落实〕</w:t>
      </w:r>
    </w:p>
    <w:p>
      <w:pPr>
        <w:pStyle w:val="3"/>
        <w:keepNext w:val="0"/>
        <w:keepLines w:val="0"/>
        <w:pageBreakBefore w:val="0"/>
        <w:widowControl w:val="0"/>
        <w:kinsoku/>
        <w:wordWrap w:val="0"/>
        <w:overflowPunct/>
        <w:topLinePunct w:val="0"/>
        <w:autoSpaceDE/>
        <w:autoSpaceDN/>
        <w:bidi w:val="0"/>
        <w:adjustRightInd/>
        <w:snapToGrid/>
        <w:spacing w:line="600" w:lineRule="exact"/>
        <w:jc w:val="both"/>
        <w:textAlignment w:val="auto"/>
        <w:rPr>
          <w:rFonts w:hint="default" w:ascii="Times New Roman" w:hAnsi="Times New Roman" w:eastAsia="黑体" w:cs="Times New Roman"/>
          <w:color w:val="auto"/>
          <w:spacing w:val="0"/>
          <w:sz w:val="32"/>
          <w:szCs w:val="32"/>
          <w:u w:val="none" w:color="auto"/>
        </w:rPr>
      </w:pPr>
      <w:r>
        <w:rPr>
          <w:rFonts w:hint="default" w:ascii="Times New Roman" w:hAnsi="Times New Roman" w:eastAsia="黑体" w:cs="Times New Roman"/>
          <w:color w:val="auto"/>
          <w:spacing w:val="0"/>
          <w:sz w:val="32"/>
          <w:szCs w:val="32"/>
          <w:u w:val="none" w:color="auto"/>
        </w:rPr>
        <w:t>四、整治工作保障</w:t>
      </w:r>
    </w:p>
    <w:p>
      <w:pPr>
        <w:pStyle w:val="4"/>
        <w:keepNext w:val="0"/>
        <w:keepLines w:val="0"/>
        <w:pageBreakBefore w:val="0"/>
        <w:widowControl w:val="0"/>
        <w:kinsoku/>
        <w:wordWrap w:val="0"/>
        <w:overflowPunct/>
        <w:topLinePunct w:val="0"/>
        <w:autoSpaceDE/>
        <w:autoSpaceDN/>
        <w:bidi w:val="0"/>
        <w:adjustRightInd/>
        <w:snapToGrid/>
        <w:spacing w:line="600" w:lineRule="exact"/>
        <w:jc w:val="both"/>
        <w:textAlignment w:val="auto"/>
        <w:rPr>
          <w:rFonts w:hint="default" w:ascii="Times New Roman" w:hAnsi="Times New Roman" w:eastAsia="仿宋_GB2312" w:cs="Times New Roman"/>
          <w:color w:val="auto"/>
          <w:spacing w:val="0"/>
          <w:kern w:val="0"/>
          <w:sz w:val="32"/>
          <w:szCs w:val="32"/>
          <w:u w:val="none" w:color="auto"/>
          <w:lang w:val="en-US" w:eastAsia="zh-CN" w:bidi="ar-SA"/>
        </w:rPr>
      </w:pPr>
      <w:r>
        <w:rPr>
          <w:rFonts w:hint="default" w:ascii="Times New Roman" w:hAnsi="Times New Roman" w:eastAsia="楷体_GB2312" w:cs="Times New Roman"/>
          <w:color w:val="auto"/>
          <w:spacing w:val="0"/>
          <w:sz w:val="32"/>
          <w:szCs w:val="32"/>
          <w:u w:val="none" w:color="auto"/>
          <w:shd w:val="clear" w:color="auto" w:fill="auto"/>
          <w:lang w:eastAsia="zh-CN"/>
        </w:rPr>
        <w:t>（</w:t>
      </w:r>
      <w:r>
        <w:rPr>
          <w:rFonts w:hint="default" w:ascii="Times New Roman" w:hAnsi="Times New Roman" w:eastAsia="楷体_GB2312" w:cs="Times New Roman"/>
          <w:color w:val="auto"/>
          <w:spacing w:val="0"/>
          <w:sz w:val="32"/>
          <w:szCs w:val="32"/>
          <w:u w:val="none" w:color="auto"/>
          <w:shd w:val="clear" w:color="auto" w:fill="auto"/>
          <w:lang w:val="en-US" w:eastAsia="zh-CN"/>
        </w:rPr>
        <w:t>一</w:t>
      </w:r>
      <w:r>
        <w:rPr>
          <w:rFonts w:hint="default" w:ascii="Times New Roman" w:hAnsi="Times New Roman" w:eastAsia="楷体_GB2312" w:cs="Times New Roman"/>
          <w:color w:val="auto"/>
          <w:spacing w:val="0"/>
          <w:sz w:val="32"/>
          <w:szCs w:val="32"/>
          <w:u w:val="none" w:color="auto"/>
          <w:shd w:val="clear" w:color="auto" w:fill="auto"/>
          <w:lang w:eastAsia="zh-CN"/>
        </w:rPr>
        <w:t>）</w:t>
      </w:r>
      <w:r>
        <w:rPr>
          <w:rFonts w:hint="default" w:ascii="Times New Roman" w:hAnsi="Times New Roman" w:eastAsia="楷体_GB2312" w:cs="Times New Roman"/>
          <w:color w:val="auto"/>
          <w:spacing w:val="0"/>
          <w:sz w:val="32"/>
          <w:szCs w:val="32"/>
          <w:u w:val="none" w:color="auto"/>
          <w:shd w:val="clear" w:color="auto" w:fill="auto"/>
        </w:rPr>
        <w:t>加强组织实施</w:t>
      </w:r>
      <w:r>
        <w:rPr>
          <w:rFonts w:hint="default" w:ascii="Times New Roman" w:hAnsi="Times New Roman" w:eastAsia="楷体_GB2312" w:cs="Times New Roman"/>
          <w:color w:val="auto"/>
          <w:spacing w:val="0"/>
          <w:sz w:val="32"/>
          <w:szCs w:val="32"/>
          <w:u w:val="none" w:color="auto"/>
          <w:shd w:val="clear" w:color="auto" w:fill="auto"/>
          <w:lang w:eastAsia="zh-CN"/>
        </w:rPr>
        <w:t>。</w:t>
      </w:r>
      <w:r>
        <w:rPr>
          <w:rFonts w:hint="default" w:ascii="Times New Roman" w:hAnsi="Times New Roman" w:eastAsia="仿宋_GB2312" w:cs="Times New Roman"/>
          <w:color w:val="auto"/>
          <w:spacing w:val="0"/>
          <w:kern w:val="0"/>
          <w:sz w:val="32"/>
          <w:szCs w:val="32"/>
          <w:u w:val="none" w:color="auto"/>
          <w:lang w:val="en-US" w:eastAsia="zh-CN" w:bidi="ar-SA"/>
        </w:rPr>
        <w:t>市级层面成立深化电动自行车安全隐患全链条整治工作专班，负责统筹协调、推进落实整治行动。市应急管理局、消防救援大队为召集人单位，</w:t>
      </w:r>
      <w:r>
        <w:rPr>
          <w:rFonts w:hint="default" w:ascii="Times New Roman" w:hAnsi="Times New Roman" w:eastAsia="仿宋_GB2312" w:cs="Times New Roman"/>
          <w:color w:val="auto"/>
          <w:sz w:val="32"/>
          <w:szCs w:val="32"/>
          <w:u w:val="none" w:color="auto"/>
          <w:lang w:val="en-US" w:eastAsia="zh-CN"/>
        </w:rPr>
        <w:t>市</w:t>
      </w:r>
      <w:r>
        <w:rPr>
          <w:rFonts w:hint="default" w:ascii="Times New Roman" w:hAnsi="Times New Roman" w:eastAsia="仿宋_GB2312" w:cs="Times New Roman"/>
          <w:color w:val="auto"/>
          <w:sz w:val="32"/>
          <w:szCs w:val="32"/>
          <w:u w:val="none" w:color="auto"/>
          <w:lang w:eastAsia="zh-CN"/>
        </w:rPr>
        <w:t>工信</w:t>
      </w:r>
      <w:r>
        <w:rPr>
          <w:rFonts w:hint="default" w:ascii="Times New Roman" w:hAnsi="Times New Roman" w:eastAsia="仿宋_GB2312" w:cs="Times New Roman"/>
          <w:color w:val="auto"/>
          <w:sz w:val="32"/>
          <w:szCs w:val="32"/>
          <w:u w:val="none" w:color="auto"/>
          <w:lang w:val="en-US" w:eastAsia="zh-CN"/>
        </w:rPr>
        <w:t>局</w:t>
      </w:r>
      <w:r>
        <w:rPr>
          <w:rFonts w:hint="default" w:ascii="Times New Roman" w:hAnsi="Times New Roman" w:eastAsia="仿宋_GB2312" w:cs="Times New Roman"/>
          <w:color w:val="auto"/>
          <w:sz w:val="32"/>
          <w:szCs w:val="32"/>
          <w:u w:val="none" w:color="auto"/>
        </w:rPr>
        <w:t>、公安</w:t>
      </w:r>
      <w:r>
        <w:rPr>
          <w:rFonts w:hint="default" w:ascii="Times New Roman" w:hAnsi="Times New Roman" w:eastAsia="仿宋_GB2312" w:cs="Times New Roman"/>
          <w:color w:val="auto"/>
          <w:sz w:val="32"/>
          <w:szCs w:val="32"/>
          <w:u w:val="none" w:color="auto"/>
          <w:lang w:val="en-US" w:eastAsia="zh-CN"/>
        </w:rPr>
        <w:t>局</w:t>
      </w:r>
      <w:r>
        <w:rPr>
          <w:rFonts w:hint="default" w:ascii="Times New Roman" w:hAnsi="Times New Roman" w:eastAsia="仿宋_GB2312" w:cs="Times New Roman"/>
          <w:color w:val="auto"/>
          <w:sz w:val="32"/>
          <w:szCs w:val="32"/>
          <w:u w:val="none" w:color="auto"/>
        </w:rPr>
        <w:t>、</w:t>
      </w:r>
      <w:r>
        <w:rPr>
          <w:rFonts w:hint="default" w:ascii="Times New Roman" w:hAnsi="Times New Roman" w:eastAsia="仿宋_GB2312" w:cs="Times New Roman"/>
          <w:color w:val="auto"/>
          <w:sz w:val="32"/>
          <w:szCs w:val="32"/>
          <w:u w:val="none" w:color="auto"/>
          <w:lang w:val="en-US" w:eastAsia="zh-CN"/>
        </w:rPr>
        <w:t>住建局</w:t>
      </w:r>
      <w:r>
        <w:rPr>
          <w:rFonts w:hint="default" w:ascii="Times New Roman" w:hAnsi="Times New Roman" w:eastAsia="仿宋_GB2312" w:cs="Times New Roman"/>
          <w:color w:val="auto"/>
          <w:sz w:val="32"/>
          <w:szCs w:val="32"/>
          <w:u w:val="none" w:color="auto"/>
        </w:rPr>
        <w:t>、市场监管局为副召集人单位，</w:t>
      </w:r>
      <w:r>
        <w:rPr>
          <w:rFonts w:hint="default" w:ascii="Times New Roman" w:hAnsi="Times New Roman" w:eastAsia="仿宋_GB2312" w:cs="Times New Roman"/>
          <w:color w:val="auto"/>
          <w:spacing w:val="0"/>
          <w:kern w:val="0"/>
          <w:sz w:val="32"/>
          <w:szCs w:val="32"/>
          <w:u w:val="none" w:color="auto"/>
          <w:lang w:val="en-US" w:eastAsia="zh-CN" w:bidi="ar-SA"/>
        </w:rPr>
        <w:t>成员由市发改委、教育局、民政局、资规局、生态环境局、城管局、交通运输局、商务局、文体广旅局、卫健委、国资运服中心、邮政管理局、</w:t>
      </w:r>
      <w:r>
        <w:rPr>
          <w:rFonts w:hint="default" w:ascii="Times New Roman" w:hAnsi="Times New Roman" w:eastAsia="仿宋_GB2312" w:cs="Times New Roman"/>
          <w:b w:val="0"/>
          <w:bCs w:val="0"/>
          <w:color w:val="auto"/>
          <w:spacing w:val="0"/>
          <w:kern w:val="0"/>
          <w:sz w:val="32"/>
          <w:szCs w:val="32"/>
          <w:u w:val="none" w:color="auto"/>
          <w:lang w:val="en-US" w:eastAsia="zh-CN" w:bidi="ar-SA"/>
        </w:rPr>
        <w:t>数据局</w:t>
      </w:r>
      <w:r>
        <w:rPr>
          <w:rFonts w:hint="default" w:ascii="Times New Roman" w:hAnsi="Times New Roman" w:eastAsia="仿宋_GB2312" w:cs="Times New Roman"/>
          <w:color w:val="auto"/>
          <w:spacing w:val="0"/>
          <w:kern w:val="0"/>
          <w:sz w:val="32"/>
          <w:szCs w:val="32"/>
          <w:u w:val="none" w:color="auto"/>
          <w:lang w:val="en-US" w:eastAsia="zh-CN" w:bidi="ar-SA"/>
        </w:rPr>
        <w:t>、机关事务中心、太仓供电公司、331机制办、太仓海事局等部门单位组成。工作专班办公室设在市消防救援大队，牵头负责整治行动日常工作，成员单位派员参加。</w:t>
      </w:r>
    </w:p>
    <w:p>
      <w:pPr>
        <w:pStyle w:val="4"/>
        <w:keepNext w:val="0"/>
        <w:keepLines w:val="0"/>
        <w:pageBreakBefore w:val="0"/>
        <w:widowControl w:val="0"/>
        <w:kinsoku/>
        <w:wordWrap w:val="0"/>
        <w:overflowPunct/>
        <w:topLinePunct w:val="0"/>
        <w:autoSpaceDE/>
        <w:autoSpaceDN/>
        <w:bidi w:val="0"/>
        <w:adjustRightInd/>
        <w:snapToGrid/>
        <w:spacing w:line="600" w:lineRule="exact"/>
        <w:jc w:val="both"/>
        <w:textAlignment w:val="auto"/>
        <w:rPr>
          <w:rFonts w:hint="default" w:ascii="Times New Roman" w:hAnsi="Times New Roman" w:eastAsia="仿宋_GB2312" w:cs="Times New Roman"/>
          <w:color w:val="auto"/>
          <w:spacing w:val="0"/>
          <w:kern w:val="0"/>
          <w:sz w:val="32"/>
          <w:szCs w:val="32"/>
          <w:u w:val="none" w:color="auto"/>
          <w:lang w:val="en-US" w:eastAsia="zh-CN"/>
        </w:rPr>
      </w:pPr>
      <w:r>
        <w:rPr>
          <w:rFonts w:hint="default" w:ascii="Times New Roman" w:hAnsi="Times New Roman" w:eastAsia="楷体_GB2312" w:cs="Times New Roman"/>
          <w:color w:val="auto"/>
          <w:spacing w:val="0"/>
          <w:sz w:val="32"/>
          <w:szCs w:val="32"/>
          <w:u w:val="none" w:color="auto"/>
          <w:lang w:eastAsia="zh-CN"/>
        </w:rPr>
        <w:t>（</w:t>
      </w:r>
      <w:r>
        <w:rPr>
          <w:rFonts w:hint="default" w:ascii="Times New Roman" w:hAnsi="Times New Roman" w:eastAsia="楷体_GB2312" w:cs="Times New Roman"/>
          <w:color w:val="auto"/>
          <w:spacing w:val="0"/>
          <w:sz w:val="32"/>
          <w:szCs w:val="32"/>
          <w:u w:val="none" w:color="auto"/>
          <w:lang w:val="en-US" w:eastAsia="zh-CN"/>
        </w:rPr>
        <w:t>二</w:t>
      </w:r>
      <w:r>
        <w:rPr>
          <w:rFonts w:hint="default" w:ascii="Times New Roman" w:hAnsi="Times New Roman" w:eastAsia="楷体_GB2312" w:cs="Times New Roman"/>
          <w:color w:val="auto"/>
          <w:spacing w:val="0"/>
          <w:sz w:val="32"/>
          <w:szCs w:val="32"/>
          <w:u w:val="none" w:color="auto"/>
          <w:lang w:eastAsia="zh-CN"/>
        </w:rPr>
        <w:t>）</w:t>
      </w:r>
      <w:r>
        <w:rPr>
          <w:rFonts w:hint="default" w:ascii="Times New Roman" w:hAnsi="Times New Roman" w:eastAsia="楷体_GB2312" w:cs="Times New Roman"/>
          <w:color w:val="auto"/>
          <w:spacing w:val="0"/>
          <w:sz w:val="32"/>
          <w:szCs w:val="32"/>
          <w:u w:val="none" w:color="auto"/>
        </w:rPr>
        <w:t>压实</w:t>
      </w:r>
      <w:r>
        <w:rPr>
          <w:rFonts w:hint="default" w:ascii="Times New Roman" w:hAnsi="Times New Roman" w:eastAsia="楷体_GB2312" w:cs="Times New Roman"/>
          <w:color w:val="auto"/>
          <w:spacing w:val="0"/>
          <w:sz w:val="32"/>
          <w:szCs w:val="32"/>
          <w:u w:val="none" w:color="auto"/>
          <w:lang w:val="en-US" w:eastAsia="zh-CN"/>
        </w:rPr>
        <w:t>属地</w:t>
      </w:r>
      <w:r>
        <w:rPr>
          <w:rFonts w:hint="default" w:ascii="Times New Roman" w:hAnsi="Times New Roman" w:eastAsia="楷体_GB2312" w:cs="Times New Roman"/>
          <w:color w:val="auto"/>
          <w:spacing w:val="0"/>
          <w:sz w:val="32"/>
          <w:szCs w:val="32"/>
          <w:u w:val="none" w:color="auto"/>
        </w:rPr>
        <w:t>责任</w:t>
      </w:r>
      <w:r>
        <w:rPr>
          <w:rFonts w:hint="default" w:ascii="Times New Roman" w:hAnsi="Times New Roman" w:eastAsia="楷体_GB2312" w:cs="Times New Roman"/>
          <w:color w:val="auto"/>
          <w:spacing w:val="0"/>
          <w:sz w:val="32"/>
          <w:szCs w:val="32"/>
          <w:u w:val="none" w:color="auto"/>
          <w:lang w:eastAsia="zh-CN"/>
        </w:rPr>
        <w:t>。</w:t>
      </w:r>
      <w:r>
        <w:rPr>
          <w:rFonts w:hint="default" w:ascii="Times New Roman" w:hAnsi="Times New Roman" w:eastAsia="仿宋_GB2312" w:cs="Times New Roman"/>
          <w:color w:val="auto"/>
          <w:spacing w:val="0"/>
          <w:kern w:val="0"/>
          <w:sz w:val="32"/>
          <w:szCs w:val="32"/>
          <w:u w:val="none" w:color="auto"/>
          <w:lang w:val="en-US" w:eastAsia="zh-CN"/>
        </w:rPr>
        <w:t>各地要严格落实属地责任，各级</w:t>
      </w:r>
      <w:r>
        <w:rPr>
          <w:rFonts w:hint="default" w:ascii="Times New Roman" w:hAnsi="Times New Roman" w:eastAsia="仿宋_GB2312" w:cs="Times New Roman"/>
          <w:color w:val="auto"/>
          <w:spacing w:val="0"/>
          <w:kern w:val="0"/>
          <w:sz w:val="32"/>
          <w:szCs w:val="32"/>
          <w:u w:val="none" w:color="auto"/>
          <w:shd w:val="clear" w:color="auto" w:fill="auto"/>
          <w:lang w:val="en-US" w:eastAsia="zh-CN"/>
        </w:rPr>
        <w:t>政府</w:t>
      </w:r>
      <w:r>
        <w:rPr>
          <w:rFonts w:hint="default" w:ascii="Times New Roman" w:hAnsi="Times New Roman" w:eastAsia="仿宋_GB2312" w:cs="Times New Roman"/>
          <w:color w:val="auto"/>
          <w:spacing w:val="0"/>
          <w:kern w:val="0"/>
          <w:sz w:val="32"/>
          <w:szCs w:val="32"/>
          <w:u w:val="none" w:color="auto"/>
          <w:lang w:val="en-US" w:eastAsia="zh-CN"/>
        </w:rPr>
        <w:t>主要负责人要亲自部署、狠抓落实，推动本辖区</w:t>
      </w:r>
      <w:r>
        <w:rPr>
          <w:rFonts w:hint="default" w:ascii="Times New Roman" w:hAnsi="Times New Roman" w:eastAsia="仿宋_GB2312" w:cs="Times New Roman"/>
          <w:color w:val="auto"/>
          <w:spacing w:val="0"/>
          <w:kern w:val="0"/>
          <w:sz w:val="32"/>
          <w:szCs w:val="32"/>
          <w:u w:val="none" w:color="auto"/>
          <w:shd w:val="clear" w:color="auto" w:fill="auto"/>
          <w:lang w:val="en-US" w:eastAsia="zh-CN"/>
        </w:rPr>
        <w:t>整治行动有序开展</w:t>
      </w:r>
      <w:r>
        <w:rPr>
          <w:rFonts w:hint="default" w:ascii="Times New Roman" w:hAnsi="Times New Roman" w:eastAsia="仿宋_GB2312" w:cs="Times New Roman"/>
          <w:color w:val="auto"/>
          <w:spacing w:val="0"/>
          <w:kern w:val="0"/>
          <w:sz w:val="32"/>
          <w:szCs w:val="32"/>
          <w:u w:val="none" w:color="auto"/>
          <w:lang w:val="en-US" w:eastAsia="zh-CN"/>
        </w:rPr>
        <w:t>。各地要</w:t>
      </w:r>
      <w:r>
        <w:rPr>
          <w:rFonts w:hint="default" w:ascii="Times New Roman" w:hAnsi="Times New Roman" w:eastAsia="仿宋_GB2312" w:cs="Times New Roman"/>
          <w:color w:val="auto"/>
          <w:spacing w:val="0"/>
          <w:kern w:val="0"/>
          <w:sz w:val="32"/>
          <w:szCs w:val="32"/>
          <w:highlight w:val="none"/>
          <w:u w:val="none" w:color="auto"/>
          <w:lang w:val="en-US" w:eastAsia="zh-CN"/>
        </w:rPr>
        <w:t>结合实际</w:t>
      </w:r>
      <w:r>
        <w:rPr>
          <w:rFonts w:hint="default" w:ascii="Times New Roman" w:hAnsi="Times New Roman" w:eastAsia="仿宋_GB2312" w:cs="Times New Roman"/>
          <w:color w:val="auto"/>
          <w:spacing w:val="0"/>
          <w:kern w:val="0"/>
          <w:sz w:val="32"/>
          <w:szCs w:val="32"/>
          <w:u w:val="none" w:color="auto"/>
          <w:lang w:val="en-US" w:eastAsia="zh-CN"/>
        </w:rPr>
        <w:t>，加快制定本地区实施方案，确保政策措施到位、人员配置到位、工作落实到位。</w:t>
      </w:r>
    </w:p>
    <w:p>
      <w:pPr>
        <w:pStyle w:val="4"/>
        <w:keepNext w:val="0"/>
        <w:keepLines w:val="0"/>
        <w:pageBreakBefore w:val="0"/>
        <w:widowControl w:val="0"/>
        <w:kinsoku/>
        <w:wordWrap w:val="0"/>
        <w:overflowPunct/>
        <w:topLinePunct w:val="0"/>
        <w:autoSpaceDE/>
        <w:autoSpaceDN/>
        <w:bidi w:val="0"/>
        <w:adjustRightInd/>
        <w:snapToGrid/>
        <w:spacing w:line="600" w:lineRule="exact"/>
        <w:jc w:val="both"/>
        <w:textAlignment w:val="auto"/>
        <w:rPr>
          <w:rFonts w:hint="default" w:ascii="Times New Roman" w:hAnsi="Times New Roman" w:eastAsia="仿宋_GB2312" w:cs="Times New Roman"/>
          <w:color w:val="auto"/>
          <w:spacing w:val="0"/>
          <w:kern w:val="0"/>
          <w:sz w:val="32"/>
          <w:szCs w:val="32"/>
          <w:u w:val="none" w:color="auto"/>
          <w:lang w:val="en-US" w:eastAsia="zh-CN"/>
        </w:rPr>
      </w:pPr>
      <w:r>
        <w:rPr>
          <w:rFonts w:hint="default" w:ascii="Times New Roman" w:hAnsi="Times New Roman" w:eastAsia="楷体_GB2312" w:cs="Times New Roman"/>
          <w:color w:val="auto"/>
          <w:spacing w:val="0"/>
          <w:sz w:val="32"/>
          <w:szCs w:val="32"/>
          <w:u w:val="none" w:color="auto"/>
          <w:lang w:eastAsia="zh-CN"/>
        </w:rPr>
        <w:t>（</w:t>
      </w:r>
      <w:r>
        <w:rPr>
          <w:rFonts w:hint="default" w:ascii="Times New Roman" w:hAnsi="Times New Roman" w:eastAsia="楷体_GB2312" w:cs="Times New Roman"/>
          <w:color w:val="auto"/>
          <w:spacing w:val="0"/>
          <w:sz w:val="32"/>
          <w:szCs w:val="32"/>
          <w:u w:val="none" w:color="auto"/>
          <w:lang w:val="en-US" w:eastAsia="zh-CN"/>
        </w:rPr>
        <w:t>三</w:t>
      </w:r>
      <w:r>
        <w:rPr>
          <w:rFonts w:hint="default" w:ascii="Times New Roman" w:hAnsi="Times New Roman" w:eastAsia="楷体_GB2312" w:cs="Times New Roman"/>
          <w:color w:val="auto"/>
          <w:spacing w:val="0"/>
          <w:sz w:val="32"/>
          <w:szCs w:val="32"/>
          <w:u w:val="none" w:color="auto"/>
          <w:lang w:eastAsia="zh-CN"/>
        </w:rPr>
        <w:t>）</w:t>
      </w:r>
      <w:r>
        <w:rPr>
          <w:rFonts w:hint="default" w:ascii="Times New Roman" w:hAnsi="Times New Roman" w:eastAsia="楷体_GB2312" w:cs="Times New Roman"/>
          <w:color w:val="auto"/>
          <w:spacing w:val="0"/>
          <w:sz w:val="32"/>
          <w:szCs w:val="32"/>
          <w:u w:val="none" w:color="auto"/>
        </w:rPr>
        <w:t>健全长效机制</w:t>
      </w:r>
      <w:r>
        <w:rPr>
          <w:rFonts w:hint="default" w:ascii="Times New Roman" w:hAnsi="Times New Roman" w:eastAsia="楷体_GB2312" w:cs="Times New Roman"/>
          <w:color w:val="auto"/>
          <w:spacing w:val="0"/>
          <w:sz w:val="32"/>
          <w:szCs w:val="32"/>
          <w:u w:val="none" w:color="auto"/>
          <w:lang w:eastAsia="zh-CN"/>
        </w:rPr>
        <w:t>。</w:t>
      </w:r>
      <w:r>
        <w:rPr>
          <w:rFonts w:hint="default" w:ascii="Times New Roman" w:hAnsi="Times New Roman" w:eastAsia="仿宋_GB2312" w:cs="Times New Roman"/>
          <w:color w:val="auto"/>
          <w:spacing w:val="0"/>
          <w:kern w:val="0"/>
          <w:sz w:val="32"/>
          <w:szCs w:val="32"/>
          <w:u w:val="none" w:color="auto"/>
          <w:lang w:val="en-US" w:eastAsia="zh-CN"/>
        </w:rPr>
        <w:t>各地、各有关部门要建立健全会商研判、信息共享、协同防控、联合执法、督导通报、考核巡查、群众监督等工作机制，坚持标本兼治、系统防范，抓实抓细电动自行车生产、销售、使用、回收等各环节安全管理，并按照充电场所和设施“谁建设、谁负责”和“三管三必须”的原则，将电动自行车充电安全纳入行业管理内容，全方位提升电动自行车安全全链条治理效能。</w:t>
      </w:r>
    </w:p>
    <w:p>
      <w:pPr>
        <w:pStyle w:val="4"/>
        <w:keepNext w:val="0"/>
        <w:keepLines w:val="0"/>
        <w:pageBreakBefore w:val="0"/>
        <w:widowControl w:val="0"/>
        <w:kinsoku/>
        <w:wordWrap w:val="0"/>
        <w:overflowPunct/>
        <w:topLinePunct w:val="0"/>
        <w:autoSpaceDE/>
        <w:autoSpaceDN/>
        <w:bidi w:val="0"/>
        <w:adjustRightInd/>
        <w:snapToGrid/>
        <w:spacing w:line="600" w:lineRule="exact"/>
        <w:jc w:val="both"/>
        <w:textAlignment w:val="auto"/>
        <w:rPr>
          <w:rFonts w:hint="default" w:ascii="Times New Roman" w:hAnsi="Times New Roman" w:eastAsia="仿宋_GB2312" w:cs="Times New Roman"/>
          <w:color w:val="auto"/>
          <w:spacing w:val="0"/>
          <w:kern w:val="0"/>
          <w:sz w:val="32"/>
          <w:szCs w:val="32"/>
          <w:u w:val="none" w:color="auto"/>
          <w:lang w:val="en-US" w:eastAsia="zh-CN"/>
        </w:rPr>
      </w:pPr>
      <w:r>
        <w:rPr>
          <w:rFonts w:hint="default" w:ascii="Times New Roman" w:hAnsi="Times New Roman" w:eastAsia="楷体_GB2312" w:cs="Times New Roman"/>
          <w:color w:val="auto"/>
          <w:spacing w:val="0"/>
          <w:sz w:val="32"/>
          <w:szCs w:val="32"/>
          <w:u w:val="none" w:color="auto"/>
          <w:lang w:eastAsia="zh-CN"/>
        </w:rPr>
        <w:t>（</w:t>
      </w:r>
      <w:r>
        <w:rPr>
          <w:rFonts w:hint="default" w:ascii="Times New Roman" w:hAnsi="Times New Roman" w:eastAsia="楷体_GB2312" w:cs="Times New Roman"/>
          <w:color w:val="auto"/>
          <w:spacing w:val="0"/>
          <w:sz w:val="32"/>
          <w:szCs w:val="32"/>
          <w:u w:val="none" w:color="auto"/>
          <w:lang w:val="en-US" w:eastAsia="zh-CN"/>
        </w:rPr>
        <w:t>四</w:t>
      </w:r>
      <w:r>
        <w:rPr>
          <w:rFonts w:hint="default" w:ascii="Times New Roman" w:hAnsi="Times New Roman" w:eastAsia="楷体_GB2312" w:cs="Times New Roman"/>
          <w:color w:val="auto"/>
          <w:spacing w:val="0"/>
          <w:sz w:val="32"/>
          <w:szCs w:val="32"/>
          <w:u w:val="none" w:color="auto"/>
          <w:lang w:eastAsia="zh-CN"/>
        </w:rPr>
        <w:t>）</w:t>
      </w:r>
      <w:r>
        <w:rPr>
          <w:rFonts w:hint="default" w:ascii="Times New Roman" w:hAnsi="Times New Roman" w:eastAsia="楷体_GB2312" w:cs="Times New Roman"/>
          <w:color w:val="auto"/>
          <w:spacing w:val="0"/>
          <w:sz w:val="32"/>
          <w:szCs w:val="32"/>
          <w:u w:val="none" w:color="auto"/>
        </w:rPr>
        <w:t>严格问</w:t>
      </w:r>
      <w:r>
        <w:rPr>
          <w:rFonts w:hint="default" w:ascii="Times New Roman" w:hAnsi="Times New Roman" w:eastAsia="楷体_GB2312" w:cs="Times New Roman"/>
          <w:color w:val="auto"/>
          <w:spacing w:val="0"/>
          <w:sz w:val="32"/>
          <w:szCs w:val="32"/>
          <w:u w:val="none" w:color="auto"/>
          <w:lang w:val="en-US" w:eastAsia="zh-CN"/>
        </w:rPr>
        <w:t>责</w:t>
      </w:r>
      <w:r>
        <w:rPr>
          <w:rFonts w:hint="default" w:ascii="Times New Roman" w:hAnsi="Times New Roman" w:eastAsia="楷体_GB2312" w:cs="Times New Roman"/>
          <w:color w:val="auto"/>
          <w:spacing w:val="0"/>
          <w:sz w:val="32"/>
          <w:szCs w:val="32"/>
          <w:u w:val="none" w:color="auto"/>
        </w:rPr>
        <w:t>问效</w:t>
      </w:r>
      <w:r>
        <w:rPr>
          <w:rFonts w:hint="default" w:ascii="Times New Roman" w:hAnsi="Times New Roman" w:eastAsia="楷体_GB2312" w:cs="Times New Roman"/>
          <w:color w:val="auto"/>
          <w:spacing w:val="0"/>
          <w:sz w:val="32"/>
          <w:szCs w:val="32"/>
          <w:u w:val="none" w:color="auto"/>
          <w:lang w:eastAsia="zh-CN"/>
        </w:rPr>
        <w:t>。</w:t>
      </w:r>
      <w:r>
        <w:rPr>
          <w:rFonts w:hint="default" w:ascii="Times New Roman" w:hAnsi="Times New Roman" w:eastAsia="仿宋_GB2312" w:cs="Times New Roman"/>
          <w:color w:val="auto"/>
          <w:spacing w:val="0"/>
          <w:kern w:val="0"/>
          <w:sz w:val="32"/>
          <w:szCs w:val="32"/>
          <w:u w:val="none" w:color="auto"/>
          <w:lang w:val="en-US" w:eastAsia="zh-CN"/>
        </w:rPr>
        <w:t>各地</w:t>
      </w:r>
      <w:r>
        <w:rPr>
          <w:rFonts w:hint="default" w:ascii="Times New Roman" w:hAnsi="Times New Roman" w:eastAsia="仿宋_GB2312" w:cs="Times New Roman"/>
          <w:color w:val="auto"/>
          <w:spacing w:val="0"/>
          <w:kern w:val="0"/>
          <w:sz w:val="32"/>
          <w:szCs w:val="32"/>
          <w:u w:val="none" w:color="auto"/>
          <w:shd w:val="clear" w:color="auto" w:fill="auto"/>
          <w:lang w:val="en-US" w:eastAsia="zh-CN"/>
        </w:rPr>
        <w:t>工作专班</w:t>
      </w:r>
      <w:r>
        <w:rPr>
          <w:rFonts w:hint="default" w:ascii="Times New Roman" w:hAnsi="Times New Roman" w:eastAsia="仿宋_GB2312" w:cs="Times New Roman"/>
          <w:color w:val="auto"/>
          <w:spacing w:val="0"/>
          <w:kern w:val="0"/>
          <w:sz w:val="32"/>
          <w:szCs w:val="32"/>
          <w:u w:val="none" w:color="auto"/>
          <w:lang w:val="en-US" w:eastAsia="zh-CN"/>
        </w:rPr>
        <w:t>要加强督促指导，切实把电动自行车安全管理责任和压力传导到基层。对整治行动工作进展缓慢、推诿扯皮、排查不实的，要予以通报、约谈，涉嫌失职渎职的，严肃追责问责。</w:t>
      </w:r>
    </w:p>
    <w:p>
      <w:pPr>
        <w:keepNext w:val="0"/>
        <w:keepLines w:val="0"/>
        <w:pageBreakBefore w:val="0"/>
        <w:widowControl w:val="0"/>
        <w:kinsoku/>
        <w:wordWrap w:val="0"/>
        <w:overflowPunct/>
        <w:topLinePunct w:val="0"/>
        <w:autoSpaceDE/>
        <w:autoSpaceDN/>
        <w:bidi w:val="0"/>
        <w:adjustRightInd/>
        <w:snapToGrid/>
        <w:spacing w:before="0" w:beforeLines="0" w:after="0" w:afterLines="0" w:line="600" w:lineRule="exact"/>
        <w:ind w:left="0" w:firstLine="640" w:firstLineChars="200"/>
        <w:jc w:val="both"/>
        <w:textAlignment w:val="auto"/>
        <w:outlineLvl w:val="9"/>
        <w:rPr>
          <w:rFonts w:hint="default" w:ascii="Times New Roman" w:hAnsi="Times New Roman" w:eastAsia="仿宋_GB2312" w:cs="Times New Roman"/>
          <w:color w:val="auto"/>
          <w:spacing w:val="0"/>
          <w:kern w:val="0"/>
          <w:sz w:val="32"/>
          <w:szCs w:val="32"/>
          <w:u w:val="none" w:color="auto"/>
          <w:lang w:val="en-US" w:eastAsia="zh-CN"/>
        </w:rPr>
      </w:pPr>
      <w:r>
        <w:rPr>
          <w:rFonts w:hint="default" w:ascii="Times New Roman" w:hAnsi="Times New Roman" w:eastAsia="仿宋_GB2312" w:cs="Times New Roman"/>
          <w:color w:val="auto"/>
          <w:spacing w:val="0"/>
          <w:kern w:val="0"/>
          <w:sz w:val="32"/>
          <w:szCs w:val="32"/>
          <w:u w:val="none" w:color="auto"/>
          <w:lang w:val="en-US" w:eastAsia="zh-CN"/>
        </w:rPr>
        <w:t>请各镇（区、街道）于</w:t>
      </w:r>
      <w:r>
        <w:rPr>
          <w:rFonts w:hint="default" w:ascii="Times New Roman" w:hAnsi="Times New Roman" w:eastAsia="仿宋_GB2312" w:cs="Times New Roman"/>
          <w:color w:val="auto"/>
          <w:spacing w:val="0"/>
          <w:kern w:val="0"/>
          <w:sz w:val="32"/>
          <w:szCs w:val="32"/>
          <w:u w:val="none" w:color="auto"/>
          <w:lang w:val="en-US" w:eastAsia="zh-CN" w:bidi="ar-SA"/>
        </w:rPr>
        <w:t>6月</w:t>
      </w:r>
      <w:r>
        <w:rPr>
          <w:rFonts w:hint="default" w:ascii="Times New Roman" w:hAnsi="Times New Roman" w:eastAsia="仿宋_GB2312" w:cs="Times New Roman"/>
          <w:color w:val="auto"/>
          <w:spacing w:val="0"/>
          <w:kern w:val="0"/>
          <w:sz w:val="32"/>
          <w:szCs w:val="32"/>
          <w:highlight w:val="none"/>
          <w:u w:val="none" w:color="auto"/>
          <w:lang w:val="en-US" w:eastAsia="zh-CN" w:bidi="ar-SA"/>
        </w:rPr>
        <w:t>14</w:t>
      </w:r>
      <w:r>
        <w:rPr>
          <w:rFonts w:hint="default" w:ascii="Times New Roman" w:hAnsi="Times New Roman" w:eastAsia="仿宋_GB2312" w:cs="Times New Roman"/>
          <w:color w:val="auto"/>
          <w:spacing w:val="0"/>
          <w:kern w:val="0"/>
          <w:sz w:val="32"/>
          <w:szCs w:val="32"/>
          <w:u w:val="none" w:color="auto"/>
          <w:lang w:val="en-US" w:eastAsia="zh-CN" w:bidi="ar-SA"/>
        </w:rPr>
        <w:t>日前</w:t>
      </w:r>
      <w:r>
        <w:rPr>
          <w:rFonts w:hint="default" w:ascii="Times New Roman" w:hAnsi="Times New Roman" w:eastAsia="仿宋_GB2312" w:cs="Times New Roman"/>
          <w:color w:val="auto"/>
          <w:spacing w:val="0"/>
          <w:kern w:val="0"/>
          <w:sz w:val="32"/>
          <w:szCs w:val="32"/>
          <w:u w:val="none" w:color="auto"/>
          <w:lang w:val="en-US" w:eastAsia="zh-CN"/>
        </w:rPr>
        <w:t>将整治方案及工作机制负责人、联络员名单报市工作专班办公室，自2024年6月起每月25日前向市工作专班办公室报送工作进展情况。</w:t>
      </w:r>
    </w:p>
    <w:p>
      <w:pPr>
        <w:pStyle w:val="6"/>
        <w:rPr>
          <w:rFonts w:hint="default" w:ascii="Times New Roman" w:hAnsi="Times New Roman" w:cs="Times New Roman"/>
          <w:color w:val="auto"/>
          <w:u w:val="none" w:color="auto"/>
          <w:lang w:val="en-US" w:eastAsia="zh-CN"/>
        </w:rPr>
        <w:sectPr>
          <w:footerReference r:id="rId3" w:type="default"/>
          <w:pgSz w:w="11906" w:h="16838"/>
          <w:pgMar w:top="2098" w:right="1474" w:bottom="1984" w:left="1587" w:header="851" w:footer="992" w:gutter="0"/>
          <w:pgNumType w:fmt="decimal"/>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after="157" w:afterLines="50" w:line="600" w:lineRule="exact"/>
        <w:jc w:val="center"/>
        <w:textAlignment w:val="auto"/>
        <w:rPr>
          <w:rFonts w:hint="default" w:ascii="Times New Roman" w:hAnsi="Times New Roman" w:eastAsia="方正小标宋简体" w:cs="Times New Roman"/>
          <w:color w:val="auto"/>
          <w:sz w:val="44"/>
          <w:szCs w:val="44"/>
          <w:u w:val="none" w:color="auto"/>
          <w:vertAlign w:val="baseline"/>
          <w:lang w:val="en-US" w:eastAsia="zh-CN"/>
        </w:rPr>
      </w:pPr>
      <w:r>
        <w:rPr>
          <w:rFonts w:hint="default" w:ascii="Times New Roman" w:hAnsi="Times New Roman" w:eastAsia="方正小标宋简体" w:cs="Times New Roman"/>
          <w:color w:val="auto"/>
          <w:sz w:val="44"/>
          <w:szCs w:val="44"/>
          <w:u w:val="none" w:color="auto"/>
          <w:lang w:val="en-US" w:eastAsia="zh-CN"/>
        </w:rPr>
        <w:t>太仓市深化</w:t>
      </w:r>
      <w:r>
        <w:rPr>
          <w:rFonts w:hint="default" w:ascii="Times New Roman" w:hAnsi="Times New Roman" w:eastAsia="方正小标宋简体" w:cs="Times New Roman"/>
          <w:color w:val="auto"/>
          <w:sz w:val="44"/>
          <w:szCs w:val="44"/>
          <w:u w:val="none" w:color="auto"/>
          <w:lang w:eastAsia="zh-CN"/>
        </w:rPr>
        <w:t>电动自行车安全隐患全链条整治行动</w:t>
      </w:r>
      <w:r>
        <w:rPr>
          <w:rFonts w:hint="default" w:ascii="Times New Roman" w:hAnsi="Times New Roman" w:eastAsia="方正小标宋简体" w:cs="Times New Roman"/>
          <w:color w:val="auto"/>
          <w:sz w:val="44"/>
          <w:szCs w:val="44"/>
          <w:u w:val="none" w:color="auto"/>
          <w:lang w:val="en-US" w:eastAsia="zh-CN"/>
        </w:rPr>
        <w:t>工作任务清单</w:t>
      </w:r>
    </w:p>
    <w:tbl>
      <w:tblPr>
        <w:tblStyle w:val="12"/>
        <w:tblW w:w="131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79"/>
        <w:gridCol w:w="6170"/>
        <w:gridCol w:w="2192"/>
        <w:gridCol w:w="26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blHeader/>
        </w:trPr>
        <w:tc>
          <w:tcPr>
            <w:tcW w:w="2179" w:type="dxa"/>
            <w:vAlign w:val="center"/>
          </w:tcPr>
          <w:p>
            <w:pPr>
              <w:pStyle w:val="10"/>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color w:val="auto"/>
                <w:sz w:val="28"/>
                <w:szCs w:val="28"/>
                <w:u w:val="none" w:color="auto"/>
                <w:vertAlign w:val="baseline"/>
                <w:lang w:val="en-US" w:eastAsia="zh-CN"/>
              </w:rPr>
            </w:pPr>
            <w:r>
              <w:rPr>
                <w:rFonts w:hint="default" w:ascii="Times New Roman" w:hAnsi="Times New Roman" w:eastAsia="黑体" w:cs="Times New Roman"/>
                <w:color w:val="auto"/>
                <w:sz w:val="28"/>
                <w:szCs w:val="28"/>
                <w:u w:val="none" w:color="auto"/>
                <w:lang w:val="en-US" w:eastAsia="zh-CN"/>
              </w:rPr>
              <w:t>工作任务</w:t>
            </w:r>
          </w:p>
        </w:tc>
        <w:tc>
          <w:tcPr>
            <w:tcW w:w="6170"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color w:val="auto"/>
                <w:sz w:val="28"/>
                <w:szCs w:val="28"/>
                <w:u w:val="none" w:color="auto"/>
                <w:vertAlign w:val="baseline"/>
                <w:lang w:val="en-US" w:eastAsia="zh-CN"/>
              </w:rPr>
            </w:pPr>
            <w:r>
              <w:rPr>
                <w:rFonts w:hint="default" w:ascii="Times New Roman" w:hAnsi="Times New Roman" w:eastAsia="黑体" w:cs="Times New Roman"/>
                <w:color w:val="auto"/>
                <w:sz w:val="28"/>
                <w:szCs w:val="28"/>
                <w:u w:val="none" w:color="auto"/>
              </w:rPr>
              <w:t>具体工作举措</w:t>
            </w:r>
          </w:p>
        </w:tc>
        <w:tc>
          <w:tcPr>
            <w:tcW w:w="2192"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color w:val="auto"/>
                <w:sz w:val="28"/>
                <w:szCs w:val="28"/>
                <w:u w:val="none" w:color="auto"/>
                <w:vertAlign w:val="baseline"/>
                <w:lang w:val="en-US" w:eastAsia="zh-CN"/>
              </w:rPr>
            </w:pPr>
            <w:r>
              <w:rPr>
                <w:rFonts w:hint="default" w:ascii="Times New Roman" w:hAnsi="Times New Roman" w:eastAsia="黑体" w:cs="Times New Roman"/>
                <w:color w:val="auto"/>
                <w:sz w:val="28"/>
                <w:szCs w:val="28"/>
                <w:u w:val="none" w:color="auto"/>
              </w:rPr>
              <w:t>牵头</w:t>
            </w:r>
            <w:r>
              <w:rPr>
                <w:rFonts w:hint="default" w:ascii="Times New Roman" w:hAnsi="Times New Roman" w:eastAsia="黑体" w:cs="Times New Roman"/>
                <w:color w:val="auto"/>
                <w:sz w:val="28"/>
                <w:szCs w:val="28"/>
                <w:u w:val="none" w:color="auto"/>
                <w:lang w:eastAsia="zh-CN"/>
              </w:rPr>
              <w:t>单位</w:t>
            </w:r>
          </w:p>
        </w:tc>
        <w:tc>
          <w:tcPr>
            <w:tcW w:w="2636"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color w:val="auto"/>
                <w:sz w:val="28"/>
                <w:szCs w:val="28"/>
                <w:u w:val="none" w:color="auto"/>
                <w:vertAlign w:val="baseline"/>
                <w:lang w:val="en-US" w:eastAsia="zh-CN"/>
              </w:rPr>
            </w:pPr>
            <w:r>
              <w:rPr>
                <w:rFonts w:hint="default" w:ascii="Times New Roman" w:hAnsi="Times New Roman" w:eastAsia="黑体" w:cs="Times New Roman"/>
                <w:color w:val="auto"/>
                <w:sz w:val="28"/>
                <w:szCs w:val="28"/>
                <w:u w:val="none" w:color="auto"/>
                <w:lang w:val="en-US" w:eastAsia="zh-CN"/>
              </w:rPr>
              <w:t>配合单位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2179" w:type="dxa"/>
            <w:vMerge w:val="restart"/>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cs="Times New Roman"/>
                <w:color w:val="auto"/>
                <w:sz w:val="28"/>
                <w:szCs w:val="28"/>
                <w:u w:val="none" w:color="auto"/>
                <w:vertAlign w:val="baseline"/>
                <w:lang w:val="en-US" w:eastAsia="zh-CN"/>
              </w:rPr>
            </w:pPr>
            <w:r>
              <w:rPr>
                <w:rFonts w:hint="default" w:ascii="Times New Roman" w:hAnsi="Times New Roman" w:eastAsia="仿宋_GB2312" w:cs="Times New Roman"/>
                <w:color w:val="auto"/>
                <w:sz w:val="28"/>
                <w:szCs w:val="28"/>
                <w:u w:val="none" w:color="auto"/>
                <w:vertAlign w:val="baseline"/>
                <w:lang w:val="en-US" w:eastAsia="zh-CN"/>
              </w:rPr>
              <w:t>一、加强生产环节源头管理</w:t>
            </w:r>
          </w:p>
        </w:tc>
        <w:tc>
          <w:tcPr>
            <w:tcW w:w="6170" w:type="dxa"/>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K" w:cs="Times New Roman"/>
                <w:color w:val="auto"/>
                <w:spacing w:val="0"/>
                <w:kern w:val="0"/>
                <w:sz w:val="28"/>
                <w:szCs w:val="28"/>
                <w:u w:val="none" w:color="auto"/>
                <w:lang w:val="en-US" w:eastAsia="zh-CN"/>
              </w:rPr>
            </w:pPr>
            <w:r>
              <w:rPr>
                <w:rFonts w:hint="default" w:ascii="Times New Roman" w:hAnsi="Times New Roman" w:eastAsia="方正仿宋_GBK" w:cs="Times New Roman"/>
                <w:color w:val="auto"/>
                <w:spacing w:val="0"/>
                <w:kern w:val="0"/>
                <w:sz w:val="28"/>
                <w:szCs w:val="28"/>
                <w:u w:val="none" w:color="auto"/>
                <w:lang w:val="en-US" w:eastAsia="zh-CN"/>
              </w:rPr>
              <w:t>1.强化标准贯彻落实。指导督促企业严格落实强制性国家标准，落实电动自行车控制器、蓄电池、充电器互认协同要求，推行“一车一池一充一码”。</w:t>
            </w:r>
          </w:p>
        </w:tc>
        <w:tc>
          <w:tcPr>
            <w:tcW w:w="2192" w:type="dxa"/>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K" w:cs="Times New Roman"/>
                <w:color w:val="auto"/>
                <w:spacing w:val="0"/>
                <w:kern w:val="0"/>
                <w:sz w:val="28"/>
                <w:szCs w:val="28"/>
                <w:u w:val="none" w:color="auto"/>
                <w:lang w:val="en-US" w:eastAsia="zh-CN"/>
              </w:rPr>
            </w:pPr>
            <w:r>
              <w:rPr>
                <w:rFonts w:hint="default" w:ascii="Times New Roman" w:hAnsi="Times New Roman" w:eastAsia="方正仿宋_GBK" w:cs="Times New Roman"/>
                <w:color w:val="auto"/>
                <w:spacing w:val="0"/>
                <w:kern w:val="0"/>
                <w:sz w:val="28"/>
                <w:szCs w:val="28"/>
                <w:u w:val="none" w:color="auto"/>
                <w:lang w:val="en-US" w:eastAsia="zh-CN"/>
              </w:rPr>
              <w:t>市工信局</w:t>
            </w:r>
          </w:p>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K" w:cs="Times New Roman"/>
                <w:color w:val="auto"/>
                <w:spacing w:val="0"/>
                <w:kern w:val="0"/>
                <w:sz w:val="28"/>
                <w:szCs w:val="28"/>
                <w:u w:val="none" w:color="auto"/>
                <w:lang w:val="en-US" w:eastAsia="zh-CN"/>
              </w:rPr>
            </w:pPr>
            <w:r>
              <w:rPr>
                <w:rFonts w:hint="default" w:ascii="Times New Roman" w:hAnsi="Times New Roman" w:eastAsia="方正仿宋_GBK" w:cs="Times New Roman"/>
                <w:color w:val="auto"/>
                <w:spacing w:val="0"/>
                <w:kern w:val="0"/>
                <w:sz w:val="28"/>
                <w:szCs w:val="28"/>
                <w:u w:val="none" w:color="auto"/>
                <w:lang w:val="en-US" w:eastAsia="zh-CN"/>
              </w:rPr>
              <w:t>市市场监管局</w:t>
            </w:r>
          </w:p>
        </w:tc>
        <w:tc>
          <w:tcPr>
            <w:tcW w:w="2636" w:type="dxa"/>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K" w:cs="Times New Roman"/>
                <w:color w:val="auto"/>
                <w:spacing w:val="0"/>
                <w:kern w:val="0"/>
                <w:sz w:val="28"/>
                <w:szCs w:val="28"/>
                <w:u w:val="none" w:color="auto"/>
                <w:lang w:val="en-US" w:eastAsia="zh-CN"/>
              </w:rPr>
            </w:pPr>
            <w:r>
              <w:rPr>
                <w:rFonts w:hint="default" w:ascii="Times New Roman" w:hAnsi="Times New Roman" w:eastAsia="方正仿宋_GBK" w:cs="Times New Roman"/>
                <w:color w:val="auto"/>
                <w:spacing w:val="0"/>
                <w:kern w:val="0"/>
                <w:sz w:val="28"/>
                <w:szCs w:val="28"/>
                <w:u w:val="none" w:color="auto"/>
                <w:lang w:val="en-US" w:eastAsia="zh-CN"/>
              </w:rPr>
              <w:t>市公安局、市消防救援大队；各镇（区、街道）政府（管委会、办事处）组织落实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2179" w:type="dxa"/>
            <w:vMerge w:val="continue"/>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cs="Times New Roman"/>
                <w:color w:val="auto"/>
                <w:sz w:val="28"/>
                <w:szCs w:val="28"/>
                <w:u w:val="none" w:color="auto"/>
                <w:vertAlign w:val="baseline"/>
                <w:lang w:val="en-US" w:eastAsia="zh-CN"/>
              </w:rPr>
            </w:pPr>
          </w:p>
        </w:tc>
        <w:tc>
          <w:tcPr>
            <w:tcW w:w="6170" w:type="dxa"/>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K" w:cs="Times New Roman"/>
                <w:color w:val="auto"/>
                <w:spacing w:val="0"/>
                <w:kern w:val="0"/>
                <w:sz w:val="28"/>
                <w:szCs w:val="28"/>
                <w:u w:val="none" w:color="auto"/>
                <w:lang w:val="en-US" w:eastAsia="zh-CN"/>
              </w:rPr>
            </w:pPr>
            <w:r>
              <w:rPr>
                <w:rFonts w:hint="default" w:ascii="Times New Roman" w:hAnsi="Times New Roman" w:eastAsia="方正仿宋_GBK" w:cs="Times New Roman"/>
                <w:color w:val="auto"/>
                <w:spacing w:val="0"/>
                <w:kern w:val="0"/>
                <w:sz w:val="28"/>
                <w:szCs w:val="28"/>
                <w:u w:val="none" w:color="auto"/>
                <w:lang w:val="en-US" w:eastAsia="zh-CN"/>
              </w:rPr>
              <w:t>2.严格认证监督管理。强化电动自行车及核心部件强制性产品认证管理，加强获证生产企业、认证机构监督检查。</w:t>
            </w:r>
          </w:p>
        </w:tc>
        <w:tc>
          <w:tcPr>
            <w:tcW w:w="2192" w:type="dxa"/>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K" w:cs="Times New Roman"/>
                <w:color w:val="auto"/>
                <w:spacing w:val="0"/>
                <w:kern w:val="0"/>
                <w:sz w:val="28"/>
                <w:szCs w:val="28"/>
                <w:u w:val="none" w:color="auto"/>
                <w:lang w:val="en-US" w:eastAsia="zh-CN"/>
              </w:rPr>
            </w:pPr>
            <w:r>
              <w:rPr>
                <w:rFonts w:hint="default" w:ascii="Times New Roman" w:hAnsi="Times New Roman" w:eastAsia="方正仿宋_GBK" w:cs="Times New Roman"/>
                <w:color w:val="auto"/>
                <w:spacing w:val="0"/>
                <w:kern w:val="0"/>
                <w:sz w:val="28"/>
                <w:szCs w:val="28"/>
                <w:u w:val="none" w:color="auto"/>
                <w:lang w:val="en-US" w:eastAsia="zh-CN"/>
              </w:rPr>
              <w:t>市市场监管局</w:t>
            </w:r>
          </w:p>
        </w:tc>
        <w:tc>
          <w:tcPr>
            <w:tcW w:w="2636" w:type="dxa"/>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K" w:cs="Times New Roman"/>
                <w:color w:val="auto"/>
                <w:spacing w:val="0"/>
                <w:kern w:val="0"/>
                <w:sz w:val="28"/>
                <w:szCs w:val="28"/>
                <w:u w:val="none" w:color="auto"/>
                <w:lang w:val="en-US" w:eastAsia="zh-CN"/>
              </w:rPr>
            </w:pPr>
            <w:r>
              <w:rPr>
                <w:rFonts w:hint="default" w:ascii="Times New Roman" w:hAnsi="Times New Roman" w:eastAsia="方正仿宋_GBK" w:cs="Times New Roman"/>
                <w:color w:val="auto"/>
                <w:spacing w:val="0"/>
                <w:kern w:val="0"/>
                <w:sz w:val="28"/>
                <w:szCs w:val="28"/>
                <w:u w:val="none" w:color="auto"/>
                <w:lang w:val="en-US" w:eastAsia="zh-CN"/>
              </w:rPr>
              <w:t>各镇（区、街道）政府（管委会、办事处）组织落实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2179" w:type="dxa"/>
            <w:vMerge w:val="continue"/>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cs="Times New Roman"/>
                <w:color w:val="auto"/>
                <w:sz w:val="28"/>
                <w:szCs w:val="28"/>
                <w:u w:val="none" w:color="auto"/>
                <w:vertAlign w:val="baseline"/>
                <w:lang w:val="en-US" w:eastAsia="zh-CN"/>
              </w:rPr>
            </w:pPr>
          </w:p>
        </w:tc>
        <w:tc>
          <w:tcPr>
            <w:tcW w:w="6170" w:type="dxa"/>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K" w:cs="Times New Roman"/>
                <w:color w:val="auto"/>
                <w:spacing w:val="0"/>
                <w:kern w:val="0"/>
                <w:sz w:val="28"/>
                <w:szCs w:val="28"/>
                <w:u w:val="none" w:color="auto"/>
                <w:lang w:val="en-US" w:eastAsia="zh-CN"/>
              </w:rPr>
            </w:pPr>
            <w:r>
              <w:rPr>
                <w:rFonts w:hint="default" w:ascii="Times New Roman" w:hAnsi="Times New Roman" w:eastAsia="方正仿宋_GBK" w:cs="Times New Roman"/>
                <w:color w:val="auto"/>
                <w:spacing w:val="0"/>
                <w:kern w:val="0"/>
                <w:sz w:val="28"/>
                <w:szCs w:val="28"/>
                <w:u w:val="none" w:color="auto"/>
                <w:lang w:val="en-US" w:eastAsia="zh-CN"/>
              </w:rPr>
              <w:t>3.引导行业规范发展。严格落实国家行业规范，指导符合条件的生产企业进入国家“正面清单”目录，推动电动自行车产品质量水平整体提升。</w:t>
            </w:r>
          </w:p>
        </w:tc>
        <w:tc>
          <w:tcPr>
            <w:tcW w:w="2192" w:type="dxa"/>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K" w:cs="Times New Roman"/>
                <w:color w:val="auto"/>
                <w:spacing w:val="0"/>
                <w:kern w:val="0"/>
                <w:sz w:val="28"/>
                <w:szCs w:val="28"/>
                <w:u w:val="none" w:color="auto"/>
                <w:lang w:val="en-US" w:eastAsia="zh-CN"/>
              </w:rPr>
            </w:pPr>
            <w:r>
              <w:rPr>
                <w:rFonts w:hint="default" w:ascii="Times New Roman" w:hAnsi="Times New Roman" w:eastAsia="方正仿宋_GBK" w:cs="Times New Roman"/>
                <w:color w:val="auto"/>
                <w:spacing w:val="0"/>
                <w:kern w:val="0"/>
                <w:sz w:val="28"/>
                <w:szCs w:val="28"/>
                <w:u w:val="none" w:color="auto"/>
                <w:lang w:val="en-US" w:eastAsia="zh-CN"/>
              </w:rPr>
              <w:t>市工信局</w:t>
            </w:r>
          </w:p>
        </w:tc>
        <w:tc>
          <w:tcPr>
            <w:tcW w:w="2636" w:type="dxa"/>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K" w:cs="Times New Roman"/>
                <w:color w:val="auto"/>
                <w:spacing w:val="0"/>
                <w:kern w:val="0"/>
                <w:sz w:val="28"/>
                <w:szCs w:val="28"/>
                <w:u w:val="none" w:color="auto"/>
                <w:lang w:val="en-US" w:eastAsia="zh-CN"/>
              </w:rPr>
            </w:pPr>
            <w:r>
              <w:rPr>
                <w:rFonts w:hint="default" w:ascii="Times New Roman" w:hAnsi="Times New Roman" w:eastAsia="方正仿宋_GBK" w:cs="Times New Roman"/>
                <w:color w:val="auto"/>
                <w:spacing w:val="0"/>
                <w:kern w:val="0"/>
                <w:sz w:val="28"/>
                <w:szCs w:val="28"/>
                <w:u w:val="none" w:color="auto"/>
                <w:lang w:val="en-US" w:eastAsia="zh-CN"/>
              </w:rPr>
              <w:t>市市场监管局；各镇（区、街道）政府（管委会、办事处）组织落实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2179" w:type="dxa"/>
            <w:vMerge w:val="continue"/>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cs="Times New Roman"/>
                <w:color w:val="auto"/>
                <w:sz w:val="28"/>
                <w:szCs w:val="28"/>
                <w:u w:val="none" w:color="auto"/>
                <w:vertAlign w:val="baseline"/>
                <w:lang w:val="en-US" w:eastAsia="zh-CN"/>
              </w:rPr>
            </w:pPr>
          </w:p>
        </w:tc>
        <w:tc>
          <w:tcPr>
            <w:tcW w:w="6170" w:type="dxa"/>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K" w:cs="Times New Roman"/>
                <w:color w:val="auto"/>
                <w:spacing w:val="0"/>
                <w:kern w:val="0"/>
                <w:sz w:val="28"/>
                <w:szCs w:val="28"/>
                <w:u w:val="none" w:color="auto"/>
                <w:lang w:val="en-US" w:eastAsia="zh-CN"/>
              </w:rPr>
            </w:pPr>
            <w:r>
              <w:rPr>
                <w:rFonts w:hint="default" w:ascii="Times New Roman" w:hAnsi="Times New Roman" w:eastAsia="方正仿宋_GBK" w:cs="Times New Roman"/>
                <w:color w:val="auto"/>
                <w:spacing w:val="0"/>
                <w:kern w:val="0"/>
                <w:sz w:val="28"/>
                <w:szCs w:val="28"/>
                <w:u w:val="none" w:color="auto"/>
                <w:lang w:val="en-US" w:eastAsia="zh-CN"/>
              </w:rPr>
              <w:t>4.加强企业质量管控。集中开展排查整治，全面摸清生产企业底数，逐一审查生产资质，2024年10月底前完成。常态化开展质量抽查并定期向社会公布抽查结果，持续严厉打击生产假冒伪劣产品行为，发现存在质量缺陷时，严格执行召回制度，2024年底前取得明显进展并持续推进。</w:t>
            </w:r>
          </w:p>
        </w:tc>
        <w:tc>
          <w:tcPr>
            <w:tcW w:w="2192" w:type="dxa"/>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K" w:cs="Times New Roman"/>
                <w:color w:val="auto"/>
                <w:spacing w:val="0"/>
                <w:kern w:val="0"/>
                <w:sz w:val="28"/>
                <w:szCs w:val="28"/>
                <w:u w:val="none" w:color="auto"/>
                <w:lang w:val="en-US" w:eastAsia="zh-CN"/>
              </w:rPr>
            </w:pPr>
            <w:r>
              <w:rPr>
                <w:rFonts w:hint="default" w:ascii="Times New Roman" w:hAnsi="Times New Roman" w:eastAsia="方正仿宋_GBK" w:cs="Times New Roman"/>
                <w:color w:val="auto"/>
                <w:spacing w:val="0"/>
                <w:kern w:val="0"/>
                <w:sz w:val="28"/>
                <w:szCs w:val="28"/>
                <w:u w:val="none" w:color="auto"/>
                <w:lang w:val="en-US" w:eastAsia="zh-CN"/>
              </w:rPr>
              <w:t>市市场监管局</w:t>
            </w:r>
          </w:p>
        </w:tc>
        <w:tc>
          <w:tcPr>
            <w:tcW w:w="2636" w:type="dxa"/>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K" w:cs="Times New Roman"/>
                <w:color w:val="auto"/>
                <w:spacing w:val="0"/>
                <w:kern w:val="0"/>
                <w:sz w:val="28"/>
                <w:szCs w:val="28"/>
                <w:u w:val="none" w:color="auto"/>
                <w:lang w:val="en-US" w:eastAsia="zh-CN"/>
              </w:rPr>
            </w:pPr>
            <w:r>
              <w:rPr>
                <w:rFonts w:hint="default" w:ascii="Times New Roman" w:hAnsi="Times New Roman" w:eastAsia="方正仿宋_GBK" w:cs="Times New Roman"/>
                <w:color w:val="auto"/>
                <w:spacing w:val="0"/>
                <w:kern w:val="0"/>
                <w:sz w:val="28"/>
                <w:szCs w:val="28"/>
                <w:u w:val="none" w:color="auto"/>
                <w:lang w:val="en-US" w:eastAsia="zh-CN"/>
              </w:rPr>
              <w:t>市工信局；各镇（区、街道）政府（管委会、办事处）组织落实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2179" w:type="dxa"/>
            <w:vMerge w:val="restart"/>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cs="Times New Roman"/>
                <w:color w:val="auto"/>
                <w:sz w:val="28"/>
                <w:szCs w:val="28"/>
                <w:u w:val="none" w:color="auto"/>
                <w:vertAlign w:val="baseline"/>
                <w:lang w:val="en-US" w:eastAsia="zh-CN"/>
              </w:rPr>
            </w:pPr>
            <w:r>
              <w:rPr>
                <w:rFonts w:hint="default" w:ascii="Times New Roman" w:hAnsi="Times New Roman" w:eastAsia="仿宋_GB2312" w:cs="Times New Roman"/>
                <w:color w:val="auto"/>
                <w:sz w:val="28"/>
                <w:szCs w:val="28"/>
                <w:u w:val="none" w:color="auto"/>
                <w:vertAlign w:val="baseline"/>
                <w:lang w:val="en-US" w:eastAsia="zh-CN"/>
              </w:rPr>
              <w:t>二、加强销售环节经营管理</w:t>
            </w:r>
          </w:p>
        </w:tc>
        <w:tc>
          <w:tcPr>
            <w:tcW w:w="6170" w:type="dxa"/>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K" w:cs="Times New Roman"/>
                <w:color w:val="auto"/>
                <w:spacing w:val="0"/>
                <w:kern w:val="0"/>
                <w:sz w:val="28"/>
                <w:szCs w:val="28"/>
                <w:u w:val="none" w:color="auto"/>
                <w:lang w:val="en-US" w:eastAsia="zh-CN"/>
              </w:rPr>
            </w:pPr>
            <w:r>
              <w:rPr>
                <w:rFonts w:hint="default" w:ascii="Times New Roman" w:hAnsi="Times New Roman" w:eastAsia="方正仿宋_GBK" w:cs="Times New Roman"/>
                <w:color w:val="auto"/>
                <w:spacing w:val="0"/>
                <w:kern w:val="0"/>
                <w:sz w:val="28"/>
                <w:szCs w:val="28"/>
                <w:u w:val="none" w:color="auto"/>
                <w:lang w:val="en-US" w:eastAsia="zh-CN"/>
              </w:rPr>
              <w:t>5.整治销售企业和网点。集中约谈一次销售企业和网点，持续开展监督检查，规范销售市场秩序，2024年8月底前完成。加强质量监督抽查，从严查处非法销售行为，2024年底前完成并持续推进。提前引导销售企业和网点下架不符合强制性国家标准的充电器。</w:t>
            </w:r>
          </w:p>
        </w:tc>
        <w:tc>
          <w:tcPr>
            <w:tcW w:w="2192" w:type="dxa"/>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K" w:cs="Times New Roman"/>
                <w:color w:val="auto"/>
                <w:spacing w:val="0"/>
                <w:kern w:val="0"/>
                <w:sz w:val="28"/>
                <w:szCs w:val="28"/>
                <w:u w:val="none" w:color="auto"/>
                <w:lang w:val="en-US" w:eastAsia="zh-CN"/>
              </w:rPr>
            </w:pPr>
            <w:r>
              <w:rPr>
                <w:rFonts w:hint="default" w:ascii="Times New Roman" w:hAnsi="Times New Roman" w:eastAsia="方正仿宋_GBK" w:cs="Times New Roman"/>
                <w:color w:val="auto"/>
                <w:spacing w:val="0"/>
                <w:kern w:val="0"/>
                <w:sz w:val="28"/>
                <w:szCs w:val="28"/>
                <w:u w:val="none" w:color="auto"/>
                <w:lang w:val="en-US" w:eastAsia="zh-CN"/>
              </w:rPr>
              <w:t>市市场监管局</w:t>
            </w:r>
          </w:p>
        </w:tc>
        <w:tc>
          <w:tcPr>
            <w:tcW w:w="2636" w:type="dxa"/>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K" w:cs="Times New Roman"/>
                <w:color w:val="auto"/>
                <w:spacing w:val="0"/>
                <w:kern w:val="0"/>
                <w:sz w:val="28"/>
                <w:szCs w:val="28"/>
                <w:u w:val="none" w:color="auto"/>
                <w:lang w:val="en-US" w:eastAsia="zh-CN"/>
              </w:rPr>
            </w:pPr>
            <w:r>
              <w:rPr>
                <w:rFonts w:hint="default" w:ascii="Times New Roman" w:hAnsi="Times New Roman" w:eastAsia="方正仿宋_GBK" w:cs="Times New Roman"/>
                <w:color w:val="auto"/>
                <w:spacing w:val="0"/>
                <w:kern w:val="0"/>
                <w:sz w:val="28"/>
                <w:szCs w:val="28"/>
                <w:u w:val="none" w:color="auto"/>
                <w:lang w:val="en-US" w:eastAsia="zh-CN"/>
              </w:rPr>
              <w:t>各镇（区、街道）政府（管委会、办事处）组织落实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2179" w:type="dxa"/>
            <w:vMerge w:val="continue"/>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cs="Times New Roman"/>
                <w:color w:val="auto"/>
                <w:sz w:val="28"/>
                <w:szCs w:val="28"/>
                <w:u w:val="none" w:color="auto"/>
                <w:vertAlign w:val="baseline"/>
                <w:lang w:val="en-US" w:eastAsia="zh-CN"/>
              </w:rPr>
            </w:pPr>
          </w:p>
        </w:tc>
        <w:tc>
          <w:tcPr>
            <w:tcW w:w="6170" w:type="dxa"/>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K" w:cs="Times New Roman"/>
                <w:color w:val="auto"/>
                <w:spacing w:val="0"/>
                <w:kern w:val="0"/>
                <w:sz w:val="28"/>
                <w:szCs w:val="28"/>
                <w:u w:val="none" w:color="auto"/>
                <w:lang w:val="en-US" w:eastAsia="zh-CN"/>
              </w:rPr>
            </w:pPr>
            <w:r>
              <w:rPr>
                <w:rFonts w:hint="default" w:ascii="Times New Roman" w:hAnsi="Times New Roman" w:eastAsia="方正仿宋_GBK" w:cs="Times New Roman"/>
                <w:color w:val="auto"/>
                <w:spacing w:val="0"/>
                <w:kern w:val="0"/>
                <w:sz w:val="28"/>
                <w:szCs w:val="28"/>
                <w:u w:val="none" w:color="auto"/>
                <w:lang w:val="en-US" w:eastAsia="zh-CN"/>
              </w:rPr>
              <w:t>6.规范线上销售活动。加强电商平台监管，严禁销售未经认证的电动自行车、蓄电池和充电器等产品，引导合规宣传，在电动自行车相关商品销售页面，明示“禁止非法拼装改装”内容，2024年8月底前完成。加强寄递渠道安全监管，禁止寄递电动自行车用蓄电池。</w:t>
            </w:r>
          </w:p>
        </w:tc>
        <w:tc>
          <w:tcPr>
            <w:tcW w:w="2192" w:type="dxa"/>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K" w:cs="Times New Roman"/>
                <w:color w:val="auto"/>
                <w:spacing w:val="0"/>
                <w:kern w:val="0"/>
                <w:sz w:val="28"/>
                <w:szCs w:val="28"/>
                <w:u w:val="none" w:color="auto"/>
                <w:lang w:val="en-US" w:eastAsia="zh-CN"/>
              </w:rPr>
            </w:pPr>
            <w:r>
              <w:rPr>
                <w:rFonts w:hint="default" w:ascii="Times New Roman" w:hAnsi="Times New Roman" w:eastAsia="方正仿宋_GBK" w:cs="Times New Roman"/>
                <w:color w:val="auto"/>
                <w:spacing w:val="0"/>
                <w:kern w:val="0"/>
                <w:sz w:val="28"/>
                <w:szCs w:val="28"/>
                <w:u w:val="none" w:color="auto"/>
                <w:lang w:val="en-US" w:eastAsia="zh-CN"/>
              </w:rPr>
              <w:t>市市场监管局</w:t>
            </w:r>
          </w:p>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K" w:cs="Times New Roman"/>
                <w:color w:val="auto"/>
                <w:spacing w:val="0"/>
                <w:kern w:val="0"/>
                <w:sz w:val="28"/>
                <w:szCs w:val="28"/>
                <w:u w:val="none" w:color="auto"/>
                <w:lang w:val="en-US" w:eastAsia="zh-CN"/>
              </w:rPr>
            </w:pPr>
            <w:r>
              <w:rPr>
                <w:rFonts w:hint="default" w:ascii="Times New Roman" w:hAnsi="Times New Roman" w:eastAsia="方正仿宋_GBK" w:cs="Times New Roman"/>
                <w:color w:val="auto"/>
                <w:spacing w:val="0"/>
                <w:kern w:val="0"/>
                <w:sz w:val="28"/>
                <w:szCs w:val="28"/>
                <w:u w:val="none" w:color="auto"/>
                <w:lang w:val="en-US" w:eastAsia="zh-CN"/>
              </w:rPr>
              <w:t>太仓邮政管理局</w:t>
            </w:r>
          </w:p>
        </w:tc>
        <w:tc>
          <w:tcPr>
            <w:tcW w:w="2636" w:type="dxa"/>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K" w:cs="Times New Roman"/>
                <w:color w:val="auto"/>
                <w:spacing w:val="0"/>
                <w:kern w:val="0"/>
                <w:sz w:val="28"/>
                <w:szCs w:val="28"/>
                <w:u w:val="none" w:color="auto"/>
                <w:lang w:val="en-US" w:eastAsia="zh-CN"/>
              </w:rPr>
            </w:pPr>
            <w:r>
              <w:rPr>
                <w:rFonts w:hint="default" w:ascii="Times New Roman" w:hAnsi="Times New Roman" w:eastAsia="方正仿宋_GBK" w:cs="Times New Roman"/>
                <w:color w:val="auto"/>
                <w:spacing w:val="0"/>
                <w:kern w:val="0"/>
                <w:sz w:val="28"/>
                <w:szCs w:val="28"/>
                <w:u w:val="none" w:color="auto"/>
                <w:lang w:val="en-US" w:eastAsia="zh-CN"/>
              </w:rPr>
              <w:t>市公安局、市商务局；各镇（区、街道）政府（管委会、办事处）组织落实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trPr>
        <w:tc>
          <w:tcPr>
            <w:tcW w:w="2179" w:type="dxa"/>
            <w:vMerge w:val="continue"/>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cs="Times New Roman"/>
                <w:color w:val="auto"/>
                <w:sz w:val="28"/>
                <w:szCs w:val="28"/>
                <w:u w:val="none" w:color="auto"/>
                <w:vertAlign w:val="baseline"/>
                <w:lang w:val="en-US" w:eastAsia="zh-CN"/>
              </w:rPr>
            </w:pPr>
          </w:p>
        </w:tc>
        <w:tc>
          <w:tcPr>
            <w:tcW w:w="6170" w:type="dxa"/>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K" w:cs="Times New Roman"/>
                <w:color w:val="auto"/>
                <w:spacing w:val="0"/>
                <w:kern w:val="0"/>
                <w:sz w:val="28"/>
                <w:szCs w:val="28"/>
                <w:u w:val="none" w:color="auto"/>
                <w:lang w:val="en-US" w:eastAsia="zh-CN"/>
              </w:rPr>
            </w:pPr>
            <w:r>
              <w:rPr>
                <w:rFonts w:hint="default" w:ascii="Times New Roman" w:hAnsi="Times New Roman" w:eastAsia="方正仿宋_GBK" w:cs="Times New Roman"/>
                <w:color w:val="auto"/>
                <w:spacing w:val="0"/>
                <w:kern w:val="0"/>
                <w:sz w:val="28"/>
                <w:szCs w:val="28"/>
                <w:u w:val="none" w:color="auto"/>
                <w:lang w:val="en-US" w:eastAsia="zh-CN"/>
              </w:rPr>
              <w:t>7.严打非法销售行为。严厉打击销售假冒伪劣产品行为，定期公布典型执法案例，涉嫌犯罪的依法追究刑事责任，2024年底前取得明显进展并持续推进。强化区域协作，加大联合打击力度。</w:t>
            </w:r>
          </w:p>
        </w:tc>
        <w:tc>
          <w:tcPr>
            <w:tcW w:w="2192" w:type="dxa"/>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K" w:cs="Times New Roman"/>
                <w:color w:val="auto"/>
                <w:spacing w:val="0"/>
                <w:kern w:val="0"/>
                <w:sz w:val="28"/>
                <w:szCs w:val="28"/>
                <w:u w:val="none" w:color="auto"/>
                <w:lang w:val="en-US" w:eastAsia="zh-CN"/>
              </w:rPr>
            </w:pPr>
            <w:r>
              <w:rPr>
                <w:rFonts w:hint="default" w:ascii="Times New Roman" w:hAnsi="Times New Roman" w:eastAsia="方正仿宋_GBK" w:cs="Times New Roman"/>
                <w:color w:val="auto"/>
                <w:spacing w:val="0"/>
                <w:kern w:val="0"/>
                <w:sz w:val="28"/>
                <w:szCs w:val="28"/>
                <w:u w:val="none" w:color="auto"/>
                <w:lang w:val="en-US" w:eastAsia="zh-CN"/>
              </w:rPr>
              <w:t>市公安局</w:t>
            </w:r>
          </w:p>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K" w:cs="Times New Roman"/>
                <w:color w:val="auto"/>
                <w:spacing w:val="0"/>
                <w:kern w:val="0"/>
                <w:sz w:val="28"/>
                <w:szCs w:val="28"/>
                <w:u w:val="none" w:color="auto"/>
                <w:lang w:val="en-US" w:eastAsia="zh-CN"/>
              </w:rPr>
            </w:pPr>
            <w:r>
              <w:rPr>
                <w:rFonts w:hint="default" w:ascii="Times New Roman" w:hAnsi="Times New Roman" w:eastAsia="方正仿宋_GBK" w:cs="Times New Roman"/>
                <w:color w:val="auto"/>
                <w:spacing w:val="0"/>
                <w:kern w:val="0"/>
                <w:sz w:val="28"/>
                <w:szCs w:val="28"/>
                <w:u w:val="none" w:color="auto"/>
                <w:lang w:val="en-US" w:eastAsia="zh-CN"/>
              </w:rPr>
              <w:t>市市场监管局</w:t>
            </w:r>
          </w:p>
        </w:tc>
        <w:tc>
          <w:tcPr>
            <w:tcW w:w="2636" w:type="dxa"/>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K" w:cs="Times New Roman"/>
                <w:color w:val="auto"/>
                <w:spacing w:val="0"/>
                <w:kern w:val="0"/>
                <w:sz w:val="28"/>
                <w:szCs w:val="28"/>
                <w:u w:val="none" w:color="auto"/>
                <w:lang w:val="en-US" w:eastAsia="zh-CN"/>
              </w:rPr>
            </w:pPr>
            <w:r>
              <w:rPr>
                <w:rFonts w:hint="default" w:ascii="Times New Roman" w:hAnsi="Times New Roman" w:eastAsia="方正仿宋_GBK" w:cs="Times New Roman"/>
                <w:color w:val="auto"/>
                <w:spacing w:val="0"/>
                <w:kern w:val="0"/>
                <w:sz w:val="28"/>
                <w:szCs w:val="28"/>
                <w:u w:val="none" w:color="auto"/>
                <w:lang w:val="en-US" w:eastAsia="zh-CN"/>
              </w:rPr>
              <w:t>市工信局、市应急管理局、市消防救援大队；各镇（区、街道）政府（管委会、办事处）组织落实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trPr>
        <w:tc>
          <w:tcPr>
            <w:tcW w:w="2179" w:type="dxa"/>
            <w:vMerge w:val="continue"/>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cs="Times New Roman"/>
                <w:color w:val="auto"/>
                <w:sz w:val="28"/>
                <w:szCs w:val="28"/>
                <w:u w:val="none" w:color="auto"/>
                <w:vertAlign w:val="baseline"/>
                <w:lang w:val="en-US" w:eastAsia="zh-CN"/>
              </w:rPr>
            </w:pPr>
          </w:p>
        </w:tc>
        <w:tc>
          <w:tcPr>
            <w:tcW w:w="6170" w:type="dxa"/>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K" w:cs="Times New Roman"/>
                <w:color w:val="auto"/>
                <w:spacing w:val="0"/>
                <w:kern w:val="0"/>
                <w:sz w:val="28"/>
                <w:szCs w:val="28"/>
                <w:u w:val="none" w:color="auto"/>
                <w:lang w:val="en-US" w:eastAsia="zh-CN"/>
              </w:rPr>
            </w:pPr>
            <w:r>
              <w:rPr>
                <w:rFonts w:hint="default" w:ascii="Times New Roman" w:hAnsi="Times New Roman" w:eastAsia="方正仿宋_GBK" w:cs="Times New Roman"/>
                <w:color w:val="auto"/>
                <w:spacing w:val="0"/>
                <w:kern w:val="0"/>
                <w:sz w:val="28"/>
                <w:szCs w:val="28"/>
                <w:u w:val="none" w:color="auto"/>
                <w:lang w:val="en-US" w:eastAsia="zh-CN"/>
              </w:rPr>
              <w:t>8.严格登记管理。严格登记审查，严禁不符合要求的电动自行车登记上牌。将蓄电池识别代码纳入登记事项，2024年底前完成。组织开展为期6个月的登记服务网点整治。临时信息牌电动自行车未实现大规模淘汰退出的，延续过渡期管理政策。</w:t>
            </w:r>
          </w:p>
        </w:tc>
        <w:tc>
          <w:tcPr>
            <w:tcW w:w="2192" w:type="dxa"/>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K" w:cs="Times New Roman"/>
                <w:color w:val="auto"/>
                <w:spacing w:val="0"/>
                <w:kern w:val="0"/>
                <w:sz w:val="28"/>
                <w:szCs w:val="28"/>
                <w:u w:val="none" w:color="auto"/>
                <w:lang w:val="en-US" w:eastAsia="zh-CN"/>
              </w:rPr>
            </w:pPr>
            <w:r>
              <w:rPr>
                <w:rFonts w:hint="default" w:ascii="Times New Roman" w:hAnsi="Times New Roman" w:eastAsia="方正仿宋_GBK" w:cs="Times New Roman"/>
                <w:color w:val="auto"/>
                <w:spacing w:val="0"/>
                <w:kern w:val="0"/>
                <w:sz w:val="28"/>
                <w:szCs w:val="28"/>
                <w:u w:val="none" w:color="auto"/>
                <w:lang w:val="en-US" w:eastAsia="zh-CN"/>
              </w:rPr>
              <w:t>市公安局</w:t>
            </w:r>
          </w:p>
        </w:tc>
        <w:tc>
          <w:tcPr>
            <w:tcW w:w="2636" w:type="dxa"/>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K" w:cs="Times New Roman"/>
                <w:color w:val="auto"/>
                <w:spacing w:val="0"/>
                <w:kern w:val="0"/>
                <w:sz w:val="28"/>
                <w:szCs w:val="28"/>
                <w:u w:val="none" w:color="auto"/>
                <w:lang w:val="en-US" w:eastAsia="zh-CN"/>
              </w:rPr>
            </w:pPr>
            <w:r>
              <w:rPr>
                <w:rFonts w:hint="default" w:ascii="Times New Roman" w:hAnsi="Times New Roman" w:eastAsia="方正仿宋_GBK" w:cs="Times New Roman"/>
                <w:color w:val="auto"/>
                <w:spacing w:val="0"/>
                <w:kern w:val="0"/>
                <w:sz w:val="28"/>
                <w:szCs w:val="28"/>
                <w:u w:val="none" w:color="auto"/>
                <w:lang w:val="en-US" w:eastAsia="zh-CN"/>
              </w:rPr>
              <w:t>各镇（区、街道）政府（管委会、办事处）组织落实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trPr>
        <w:tc>
          <w:tcPr>
            <w:tcW w:w="2179" w:type="dxa"/>
            <w:vMerge w:val="restart"/>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cs="Times New Roman"/>
                <w:color w:val="auto"/>
                <w:sz w:val="28"/>
                <w:szCs w:val="28"/>
                <w:u w:val="none" w:color="auto"/>
                <w:vertAlign w:val="baseline"/>
                <w:lang w:val="en-US" w:eastAsia="zh-CN"/>
              </w:rPr>
            </w:pPr>
            <w:r>
              <w:rPr>
                <w:rFonts w:hint="default" w:ascii="Times New Roman" w:hAnsi="Times New Roman" w:eastAsia="仿宋_GB2312" w:cs="Times New Roman"/>
                <w:color w:val="auto"/>
                <w:sz w:val="28"/>
                <w:szCs w:val="28"/>
                <w:u w:val="none" w:color="auto"/>
                <w:vertAlign w:val="baseline"/>
                <w:lang w:val="en-US" w:eastAsia="zh-CN"/>
              </w:rPr>
              <w:t>三、加强使用环节安全管理</w:t>
            </w:r>
          </w:p>
        </w:tc>
        <w:tc>
          <w:tcPr>
            <w:tcW w:w="6170" w:type="dxa"/>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K" w:cs="Times New Roman"/>
                <w:color w:val="auto"/>
                <w:spacing w:val="0"/>
                <w:kern w:val="0"/>
                <w:sz w:val="28"/>
                <w:szCs w:val="28"/>
                <w:u w:val="none" w:color="auto"/>
                <w:lang w:val="en-US" w:eastAsia="zh-CN"/>
              </w:rPr>
            </w:pPr>
            <w:r>
              <w:rPr>
                <w:rFonts w:hint="default" w:ascii="Times New Roman" w:hAnsi="Times New Roman" w:eastAsia="方正仿宋_GBK" w:cs="Times New Roman"/>
                <w:color w:val="auto"/>
                <w:spacing w:val="0"/>
                <w:kern w:val="0"/>
                <w:sz w:val="28"/>
                <w:szCs w:val="28"/>
                <w:u w:val="none" w:color="auto"/>
                <w:lang w:val="en-US" w:eastAsia="zh-CN"/>
              </w:rPr>
              <w:t>9.严查非法拼装改装。加强对销售网点和维修店铺检查，要求明示“禁止非法拼装改装”等内容并公布举报电话，依法从严查处违法改装行为。打击违规回收、二次组装加工蓄电池、违规更换大容量锂电池等违法违规行为，涉嫌犯罪的依法追究刑事责任，2024年8月底前整治曝光一批典型违法行为并持续推进。</w:t>
            </w:r>
          </w:p>
        </w:tc>
        <w:tc>
          <w:tcPr>
            <w:tcW w:w="2192" w:type="dxa"/>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K" w:cs="Times New Roman"/>
                <w:color w:val="auto"/>
                <w:spacing w:val="0"/>
                <w:kern w:val="0"/>
                <w:sz w:val="28"/>
                <w:szCs w:val="28"/>
                <w:u w:val="none" w:color="auto"/>
                <w:lang w:val="en-US" w:eastAsia="zh-CN"/>
              </w:rPr>
            </w:pPr>
            <w:r>
              <w:rPr>
                <w:rFonts w:hint="default" w:ascii="Times New Roman" w:hAnsi="Times New Roman" w:eastAsia="方正仿宋_GBK" w:cs="Times New Roman"/>
                <w:color w:val="auto"/>
                <w:spacing w:val="0"/>
                <w:kern w:val="0"/>
                <w:sz w:val="28"/>
                <w:szCs w:val="28"/>
                <w:u w:val="none" w:color="auto"/>
                <w:lang w:val="en-US" w:eastAsia="zh-CN"/>
              </w:rPr>
              <w:t>市市场监管局</w:t>
            </w:r>
          </w:p>
        </w:tc>
        <w:tc>
          <w:tcPr>
            <w:tcW w:w="2636" w:type="dxa"/>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K" w:cs="Times New Roman"/>
                <w:color w:val="auto"/>
                <w:spacing w:val="0"/>
                <w:kern w:val="0"/>
                <w:sz w:val="28"/>
                <w:szCs w:val="28"/>
                <w:u w:val="none" w:color="auto"/>
                <w:lang w:val="en-US" w:eastAsia="zh-CN"/>
              </w:rPr>
            </w:pPr>
            <w:r>
              <w:rPr>
                <w:rFonts w:hint="default" w:ascii="Times New Roman" w:hAnsi="Times New Roman" w:eastAsia="方正仿宋_GBK" w:cs="Times New Roman"/>
                <w:color w:val="auto"/>
                <w:spacing w:val="0"/>
                <w:kern w:val="0"/>
                <w:sz w:val="28"/>
                <w:szCs w:val="28"/>
                <w:u w:val="none" w:color="auto"/>
                <w:lang w:val="en-US" w:eastAsia="zh-CN"/>
              </w:rPr>
              <w:t>市公安局；各镇（区、街道）政府（管委会、办事处）组织落实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trPr>
        <w:tc>
          <w:tcPr>
            <w:tcW w:w="2179" w:type="dxa"/>
            <w:vMerge w:val="continue"/>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cs="Times New Roman"/>
                <w:color w:val="auto"/>
                <w:sz w:val="28"/>
                <w:szCs w:val="28"/>
                <w:u w:val="none" w:color="auto"/>
                <w:vertAlign w:val="baseline"/>
                <w:lang w:val="en-US" w:eastAsia="zh-CN"/>
              </w:rPr>
            </w:pPr>
          </w:p>
        </w:tc>
        <w:tc>
          <w:tcPr>
            <w:tcW w:w="6170" w:type="dxa"/>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K" w:cs="Times New Roman"/>
                <w:color w:val="auto"/>
                <w:spacing w:val="0"/>
                <w:kern w:val="0"/>
                <w:sz w:val="28"/>
                <w:szCs w:val="28"/>
                <w:u w:val="none" w:color="auto"/>
                <w:lang w:val="en-US" w:eastAsia="zh-CN"/>
              </w:rPr>
            </w:pPr>
            <w:r>
              <w:rPr>
                <w:rFonts w:hint="default" w:ascii="Times New Roman" w:hAnsi="Times New Roman" w:eastAsia="方正仿宋_GBK" w:cs="Times New Roman"/>
                <w:color w:val="auto"/>
                <w:spacing w:val="0"/>
                <w:kern w:val="0"/>
                <w:sz w:val="28"/>
                <w:szCs w:val="28"/>
                <w:u w:val="none" w:color="auto"/>
                <w:lang w:val="en-US" w:eastAsia="zh-CN"/>
              </w:rPr>
              <w:t>10.加强路面执法检查。依法查处上路行驶的电动自行车各类违法违规行为，2025年底前完成。运用科技手段加强非现场执法，对突出违法行为、多次违法人员开展专项治理，保持严管态势。</w:t>
            </w:r>
          </w:p>
        </w:tc>
        <w:tc>
          <w:tcPr>
            <w:tcW w:w="2192" w:type="dxa"/>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K" w:cs="Times New Roman"/>
                <w:color w:val="auto"/>
                <w:spacing w:val="0"/>
                <w:kern w:val="0"/>
                <w:sz w:val="28"/>
                <w:szCs w:val="28"/>
                <w:u w:val="none" w:color="auto"/>
                <w:lang w:val="en-US" w:eastAsia="zh-CN"/>
              </w:rPr>
            </w:pPr>
            <w:r>
              <w:rPr>
                <w:rFonts w:hint="default" w:ascii="Times New Roman" w:hAnsi="Times New Roman" w:eastAsia="方正仿宋_GBK" w:cs="Times New Roman"/>
                <w:color w:val="auto"/>
                <w:spacing w:val="0"/>
                <w:kern w:val="0"/>
                <w:sz w:val="28"/>
                <w:szCs w:val="28"/>
                <w:u w:val="none" w:color="auto"/>
                <w:lang w:val="en-US" w:eastAsia="zh-CN"/>
              </w:rPr>
              <w:t>市公安局</w:t>
            </w:r>
          </w:p>
        </w:tc>
        <w:tc>
          <w:tcPr>
            <w:tcW w:w="2636" w:type="dxa"/>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K" w:cs="Times New Roman"/>
                <w:color w:val="auto"/>
                <w:spacing w:val="0"/>
                <w:kern w:val="0"/>
                <w:sz w:val="28"/>
                <w:szCs w:val="28"/>
                <w:u w:val="none" w:color="auto"/>
                <w:lang w:val="en-US" w:eastAsia="zh-CN"/>
              </w:rPr>
            </w:pPr>
            <w:r>
              <w:rPr>
                <w:rFonts w:hint="default" w:ascii="Times New Roman" w:hAnsi="Times New Roman" w:eastAsia="方正仿宋_GBK" w:cs="Times New Roman"/>
                <w:color w:val="auto"/>
                <w:spacing w:val="0"/>
                <w:kern w:val="0"/>
                <w:sz w:val="28"/>
                <w:szCs w:val="28"/>
                <w:u w:val="none" w:color="auto"/>
                <w:lang w:val="en-US" w:eastAsia="zh-CN"/>
              </w:rPr>
              <w:t>各镇（区、街道）政府（管委会、办事处）组织落实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trPr>
        <w:tc>
          <w:tcPr>
            <w:tcW w:w="2179" w:type="dxa"/>
            <w:vMerge w:val="continue"/>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cs="Times New Roman"/>
                <w:color w:val="auto"/>
                <w:sz w:val="28"/>
                <w:szCs w:val="28"/>
                <w:u w:val="none" w:color="auto"/>
                <w:vertAlign w:val="baseline"/>
                <w:lang w:val="en-US" w:eastAsia="zh-CN"/>
              </w:rPr>
            </w:pPr>
          </w:p>
        </w:tc>
        <w:tc>
          <w:tcPr>
            <w:tcW w:w="6170" w:type="dxa"/>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K" w:cs="Times New Roman"/>
                <w:color w:val="auto"/>
                <w:spacing w:val="0"/>
                <w:kern w:val="0"/>
                <w:sz w:val="28"/>
                <w:szCs w:val="28"/>
                <w:u w:val="none" w:color="auto"/>
                <w:lang w:val="en-US" w:eastAsia="zh-CN"/>
              </w:rPr>
            </w:pPr>
            <w:r>
              <w:rPr>
                <w:rFonts w:hint="default" w:ascii="Times New Roman" w:hAnsi="Times New Roman" w:eastAsia="方正仿宋_GBK" w:cs="Times New Roman"/>
                <w:color w:val="auto"/>
                <w:spacing w:val="0"/>
                <w:kern w:val="0"/>
                <w:sz w:val="28"/>
                <w:szCs w:val="28"/>
                <w:u w:val="none" w:color="auto"/>
                <w:lang w:val="en-US" w:eastAsia="zh-CN"/>
              </w:rPr>
              <w:t>11.强化配送平台管理。召开行政指导会，督促外卖等即时配送平台企业严格落实安全责任，完善配送管理制度，加强配送人员使用电动自行车及蓄电池审查备案，强化安全教育培训，科学设置配送任务，对使用车辆开展自查自改，2024年8月底前完成。鼓励企业为配送人员统一配发符合标准的电动自行车，推行共享换电模式。</w:t>
            </w:r>
          </w:p>
        </w:tc>
        <w:tc>
          <w:tcPr>
            <w:tcW w:w="2192" w:type="dxa"/>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K" w:cs="Times New Roman"/>
                <w:color w:val="auto"/>
                <w:spacing w:val="0"/>
                <w:kern w:val="0"/>
                <w:sz w:val="28"/>
                <w:szCs w:val="28"/>
                <w:u w:val="none" w:color="auto"/>
                <w:lang w:val="en-US" w:eastAsia="zh-CN"/>
              </w:rPr>
            </w:pPr>
            <w:r>
              <w:rPr>
                <w:rFonts w:hint="default" w:ascii="Times New Roman" w:hAnsi="Times New Roman" w:eastAsia="方正仿宋_GBK" w:cs="Times New Roman"/>
                <w:color w:val="auto"/>
                <w:spacing w:val="0"/>
                <w:kern w:val="0"/>
                <w:sz w:val="28"/>
                <w:szCs w:val="28"/>
                <w:u w:val="none" w:color="auto"/>
                <w:lang w:val="en-US" w:eastAsia="zh-CN"/>
              </w:rPr>
              <w:t>市市场监管局</w:t>
            </w:r>
          </w:p>
        </w:tc>
        <w:tc>
          <w:tcPr>
            <w:tcW w:w="2636" w:type="dxa"/>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K" w:cs="Times New Roman"/>
                <w:color w:val="auto"/>
                <w:spacing w:val="0"/>
                <w:kern w:val="0"/>
                <w:sz w:val="28"/>
                <w:szCs w:val="28"/>
                <w:u w:val="none" w:color="auto"/>
                <w:lang w:val="en-US" w:eastAsia="zh-CN"/>
              </w:rPr>
            </w:pPr>
            <w:r>
              <w:rPr>
                <w:rFonts w:hint="default" w:ascii="Times New Roman" w:hAnsi="Times New Roman" w:eastAsia="方正仿宋_GBK" w:cs="Times New Roman"/>
                <w:color w:val="auto"/>
                <w:spacing w:val="0"/>
                <w:kern w:val="0"/>
                <w:sz w:val="28"/>
                <w:szCs w:val="28"/>
                <w:u w:val="none" w:color="auto"/>
                <w:lang w:val="en-US" w:eastAsia="zh-CN"/>
              </w:rPr>
              <w:t>市公安局；各镇（区、街道）政府（管委会、办事处）组织落实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trPr>
        <w:tc>
          <w:tcPr>
            <w:tcW w:w="2179" w:type="dxa"/>
            <w:vMerge w:val="continue"/>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cs="Times New Roman"/>
                <w:color w:val="auto"/>
                <w:sz w:val="28"/>
                <w:szCs w:val="28"/>
                <w:u w:val="none" w:color="auto"/>
                <w:vertAlign w:val="baseline"/>
                <w:lang w:val="en-US" w:eastAsia="zh-CN"/>
              </w:rPr>
            </w:pPr>
          </w:p>
        </w:tc>
        <w:tc>
          <w:tcPr>
            <w:tcW w:w="6170" w:type="dxa"/>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K" w:cs="Times New Roman"/>
                <w:color w:val="auto"/>
                <w:spacing w:val="0"/>
                <w:kern w:val="0"/>
                <w:sz w:val="28"/>
                <w:szCs w:val="28"/>
                <w:u w:val="none" w:color="auto"/>
                <w:lang w:val="en-US" w:eastAsia="zh-CN"/>
              </w:rPr>
            </w:pPr>
            <w:r>
              <w:rPr>
                <w:rFonts w:hint="default" w:ascii="Times New Roman" w:hAnsi="Times New Roman" w:eastAsia="方正仿宋_GBK" w:cs="Times New Roman"/>
                <w:color w:val="auto"/>
                <w:spacing w:val="0"/>
                <w:kern w:val="0"/>
                <w:sz w:val="28"/>
                <w:szCs w:val="28"/>
                <w:u w:val="none" w:color="auto"/>
                <w:lang w:val="en-US" w:eastAsia="zh-CN"/>
              </w:rPr>
              <w:t>12.加强项目规划管理。严格新建居住项目规划管理，将电动自行车停放充电场所纳入项目配套，优先在室外露天区域设置，并与主体工程同步规划。优化既有居民住宅小区新建和改造停放充电场所办理程序，合理利用周边公共开放空间及各类公共服务场所灵活规划建设停放场所并纳入公用设施管理范围。</w:t>
            </w:r>
          </w:p>
        </w:tc>
        <w:tc>
          <w:tcPr>
            <w:tcW w:w="2192" w:type="dxa"/>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K" w:cs="Times New Roman"/>
                <w:color w:val="auto"/>
                <w:spacing w:val="0"/>
                <w:kern w:val="0"/>
                <w:sz w:val="28"/>
                <w:szCs w:val="28"/>
                <w:u w:val="none" w:color="auto"/>
                <w:lang w:val="en-US" w:eastAsia="zh-CN"/>
              </w:rPr>
            </w:pPr>
            <w:r>
              <w:rPr>
                <w:rFonts w:hint="default" w:ascii="Times New Roman" w:hAnsi="Times New Roman" w:eastAsia="方正仿宋_GBK" w:cs="Times New Roman"/>
                <w:color w:val="auto"/>
                <w:spacing w:val="0"/>
                <w:kern w:val="0"/>
                <w:sz w:val="28"/>
                <w:szCs w:val="28"/>
                <w:u w:val="none" w:color="auto"/>
                <w:lang w:val="en-US" w:eastAsia="zh-CN"/>
              </w:rPr>
              <w:t>市资规局</w:t>
            </w:r>
          </w:p>
        </w:tc>
        <w:tc>
          <w:tcPr>
            <w:tcW w:w="2636" w:type="dxa"/>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K" w:cs="Times New Roman"/>
                <w:color w:val="auto"/>
                <w:spacing w:val="0"/>
                <w:kern w:val="0"/>
                <w:sz w:val="28"/>
                <w:szCs w:val="28"/>
                <w:u w:val="none" w:color="auto"/>
                <w:lang w:val="en-US" w:eastAsia="zh-CN"/>
              </w:rPr>
            </w:pPr>
            <w:r>
              <w:rPr>
                <w:rFonts w:hint="default" w:ascii="Times New Roman" w:hAnsi="Times New Roman" w:eastAsia="方正仿宋_GBK" w:cs="Times New Roman"/>
                <w:color w:val="auto"/>
                <w:spacing w:val="0"/>
                <w:kern w:val="0"/>
                <w:sz w:val="28"/>
                <w:szCs w:val="28"/>
                <w:u w:val="none" w:color="auto"/>
                <w:lang w:val="en-US" w:eastAsia="zh-CN"/>
              </w:rPr>
              <w:t>各镇（区、街道）政府（管委会、办事处）组织落实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trPr>
        <w:tc>
          <w:tcPr>
            <w:tcW w:w="2179" w:type="dxa"/>
            <w:vMerge w:val="continue"/>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cs="Times New Roman"/>
                <w:color w:val="auto"/>
                <w:sz w:val="28"/>
                <w:szCs w:val="28"/>
                <w:u w:val="none" w:color="auto"/>
                <w:vertAlign w:val="baseline"/>
                <w:lang w:val="en-US" w:eastAsia="zh-CN"/>
              </w:rPr>
            </w:pPr>
          </w:p>
        </w:tc>
        <w:tc>
          <w:tcPr>
            <w:tcW w:w="6170" w:type="dxa"/>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K" w:cs="Times New Roman"/>
                <w:color w:val="auto"/>
                <w:spacing w:val="0"/>
                <w:kern w:val="0"/>
                <w:sz w:val="28"/>
                <w:szCs w:val="28"/>
                <w:u w:val="none" w:color="auto"/>
                <w:lang w:val="en-US" w:eastAsia="zh-CN"/>
              </w:rPr>
            </w:pPr>
            <w:r>
              <w:rPr>
                <w:rFonts w:hint="default" w:ascii="Times New Roman" w:hAnsi="Times New Roman" w:eastAsia="方正仿宋_GBK" w:cs="Times New Roman"/>
                <w:color w:val="auto"/>
                <w:spacing w:val="0"/>
                <w:kern w:val="0"/>
                <w:sz w:val="28"/>
                <w:szCs w:val="28"/>
                <w:u w:val="none" w:color="auto"/>
                <w:lang w:val="en-US" w:eastAsia="zh-CN"/>
              </w:rPr>
              <w:t>13.规范场所设施建设。加快推进既有居民住宅小区停放充电场所建设，2025年底前基本满足停放充电需求。严格居民住宅小区地下半地下停放充电场所设置标准，按规定设置自动灭火系统，落实分组停放，抓紧改造提升不符合要求的场所。按照相关建设标准，优化电动自行车充电场所相关设计要求。推广共享充电柜，鼓励建设无线充电设施。鼓励在停放充电场所配备绝缘、难燃的带钩长杆。推动有条件的停放充电场所建设微型消防站，配备具有辅助呼吸防护能力的背负式新能源处置特种灭火装置。推动机关团体、企事业单位按照标准建设停放充电场所，提供“满电回家”服务。</w:t>
            </w:r>
          </w:p>
        </w:tc>
        <w:tc>
          <w:tcPr>
            <w:tcW w:w="2192" w:type="dxa"/>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K" w:cs="Times New Roman"/>
                <w:color w:val="auto"/>
                <w:spacing w:val="0"/>
                <w:kern w:val="0"/>
                <w:sz w:val="28"/>
                <w:szCs w:val="28"/>
                <w:u w:val="none" w:color="auto"/>
                <w:lang w:val="en-US" w:eastAsia="zh-CN"/>
              </w:rPr>
            </w:pPr>
            <w:r>
              <w:rPr>
                <w:rFonts w:hint="default" w:ascii="Times New Roman" w:hAnsi="Times New Roman" w:eastAsia="方正仿宋_GBK" w:cs="Times New Roman"/>
                <w:color w:val="auto"/>
                <w:spacing w:val="0"/>
                <w:kern w:val="0"/>
                <w:sz w:val="28"/>
                <w:szCs w:val="28"/>
                <w:u w:val="none" w:color="auto"/>
                <w:lang w:val="en-US" w:eastAsia="zh-CN"/>
              </w:rPr>
              <w:t>市住建局</w:t>
            </w:r>
          </w:p>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K" w:cs="Times New Roman"/>
                <w:color w:val="auto"/>
                <w:spacing w:val="0"/>
                <w:kern w:val="0"/>
                <w:sz w:val="28"/>
                <w:szCs w:val="28"/>
                <w:u w:val="none" w:color="auto"/>
                <w:lang w:val="en-US" w:eastAsia="zh-CN"/>
              </w:rPr>
            </w:pPr>
            <w:r>
              <w:rPr>
                <w:rFonts w:hint="default" w:ascii="Times New Roman" w:hAnsi="Times New Roman" w:eastAsia="方正仿宋_GBK" w:cs="Times New Roman"/>
                <w:color w:val="auto"/>
                <w:spacing w:val="0"/>
                <w:kern w:val="0"/>
                <w:sz w:val="28"/>
                <w:szCs w:val="28"/>
                <w:u w:val="none" w:color="auto"/>
                <w:lang w:val="en-US" w:eastAsia="zh-CN"/>
              </w:rPr>
              <w:t>市消防救援大队</w:t>
            </w:r>
          </w:p>
        </w:tc>
        <w:tc>
          <w:tcPr>
            <w:tcW w:w="2636" w:type="dxa"/>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K" w:cs="Times New Roman"/>
                <w:color w:val="auto"/>
                <w:spacing w:val="0"/>
                <w:kern w:val="0"/>
                <w:sz w:val="28"/>
                <w:szCs w:val="28"/>
                <w:u w:val="none" w:color="auto"/>
                <w:lang w:val="en-US" w:eastAsia="zh-CN"/>
              </w:rPr>
            </w:pPr>
            <w:r>
              <w:rPr>
                <w:rFonts w:hint="default" w:ascii="Times New Roman" w:hAnsi="Times New Roman" w:eastAsia="方正仿宋_GBK" w:cs="Times New Roman"/>
                <w:color w:val="auto"/>
                <w:spacing w:val="0"/>
                <w:kern w:val="0"/>
                <w:sz w:val="28"/>
                <w:szCs w:val="28"/>
                <w:u w:val="none" w:color="auto"/>
                <w:lang w:val="en-US" w:eastAsia="zh-CN"/>
              </w:rPr>
              <w:t>市331机制办、市机关事务中心、市国资运服中心、市工信局及各行业主管部门；各镇（区、街道）政府（管委会、办事处）组织落实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trPr>
        <w:tc>
          <w:tcPr>
            <w:tcW w:w="2179" w:type="dxa"/>
            <w:vMerge w:val="continue"/>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cs="Times New Roman"/>
                <w:color w:val="auto"/>
                <w:sz w:val="28"/>
                <w:szCs w:val="28"/>
                <w:u w:val="none" w:color="auto"/>
                <w:vertAlign w:val="baseline"/>
                <w:lang w:val="en-US" w:eastAsia="zh-CN"/>
              </w:rPr>
            </w:pPr>
          </w:p>
        </w:tc>
        <w:tc>
          <w:tcPr>
            <w:tcW w:w="6170" w:type="dxa"/>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K" w:cs="Times New Roman"/>
                <w:color w:val="auto"/>
                <w:spacing w:val="0"/>
                <w:kern w:val="0"/>
                <w:sz w:val="28"/>
                <w:szCs w:val="28"/>
                <w:u w:val="none" w:color="auto"/>
                <w:lang w:val="en-US" w:eastAsia="zh-CN"/>
              </w:rPr>
            </w:pPr>
            <w:r>
              <w:rPr>
                <w:rFonts w:hint="default" w:ascii="Times New Roman" w:hAnsi="Times New Roman" w:eastAsia="方正仿宋_GBK" w:cs="Times New Roman"/>
                <w:color w:val="auto"/>
                <w:spacing w:val="0"/>
                <w:kern w:val="0"/>
                <w:sz w:val="28"/>
                <w:szCs w:val="28"/>
                <w:u w:val="none" w:color="auto"/>
                <w:lang w:val="en-US" w:eastAsia="zh-CN"/>
              </w:rPr>
              <w:t>14.突出架空层使用管理。民用建筑架空层作为停放充电场所的，要做好有效防火分隔，保持消防设施器材和视频监控设备完好有效，实行车辆分组停放，安装符合安全条件的专用充电设施。督促加强架空层日常安全巡查工作。</w:t>
            </w:r>
          </w:p>
        </w:tc>
        <w:tc>
          <w:tcPr>
            <w:tcW w:w="2192" w:type="dxa"/>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K" w:cs="Times New Roman"/>
                <w:color w:val="auto"/>
                <w:spacing w:val="0"/>
                <w:kern w:val="0"/>
                <w:sz w:val="28"/>
                <w:szCs w:val="28"/>
                <w:u w:val="none" w:color="auto"/>
                <w:lang w:val="en-US" w:eastAsia="zh-CN"/>
              </w:rPr>
            </w:pPr>
            <w:r>
              <w:rPr>
                <w:rFonts w:hint="default" w:ascii="Times New Roman" w:hAnsi="Times New Roman" w:eastAsia="方正仿宋_GBK" w:cs="Times New Roman"/>
                <w:color w:val="auto"/>
                <w:spacing w:val="0"/>
                <w:kern w:val="0"/>
                <w:sz w:val="28"/>
                <w:szCs w:val="28"/>
                <w:u w:val="none" w:color="auto"/>
                <w:lang w:val="en-US" w:eastAsia="zh-CN"/>
              </w:rPr>
              <w:t>市消防救援大队</w:t>
            </w:r>
          </w:p>
        </w:tc>
        <w:tc>
          <w:tcPr>
            <w:tcW w:w="2636" w:type="dxa"/>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K" w:cs="Times New Roman"/>
                <w:color w:val="auto"/>
                <w:spacing w:val="0"/>
                <w:kern w:val="0"/>
                <w:sz w:val="28"/>
                <w:szCs w:val="28"/>
                <w:u w:val="none" w:color="auto"/>
                <w:lang w:val="en-US" w:eastAsia="zh-CN"/>
              </w:rPr>
            </w:pPr>
            <w:r>
              <w:rPr>
                <w:rFonts w:hint="default" w:ascii="Times New Roman" w:hAnsi="Times New Roman" w:eastAsia="方正仿宋_GBK" w:cs="Times New Roman"/>
                <w:color w:val="auto"/>
                <w:spacing w:val="0"/>
                <w:kern w:val="0"/>
                <w:sz w:val="28"/>
                <w:szCs w:val="28"/>
                <w:u w:val="none" w:color="auto"/>
                <w:lang w:val="en-US" w:eastAsia="zh-CN"/>
              </w:rPr>
              <w:t>市住建局、市331机制办；各镇（区、街道）政府（管委会、办事处）组织落实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trPr>
        <w:tc>
          <w:tcPr>
            <w:tcW w:w="2179" w:type="dxa"/>
            <w:vMerge w:val="continue"/>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cs="Times New Roman"/>
                <w:color w:val="auto"/>
                <w:sz w:val="28"/>
                <w:szCs w:val="28"/>
                <w:u w:val="none" w:color="auto"/>
                <w:vertAlign w:val="baseline"/>
                <w:lang w:val="en-US" w:eastAsia="zh-CN"/>
              </w:rPr>
            </w:pPr>
          </w:p>
        </w:tc>
        <w:tc>
          <w:tcPr>
            <w:tcW w:w="6170" w:type="dxa"/>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K" w:cs="Times New Roman"/>
                <w:color w:val="auto"/>
                <w:spacing w:val="0"/>
                <w:kern w:val="0"/>
                <w:sz w:val="28"/>
                <w:szCs w:val="28"/>
                <w:u w:val="none" w:color="auto"/>
                <w:lang w:val="en-US" w:eastAsia="zh-CN"/>
              </w:rPr>
            </w:pPr>
            <w:r>
              <w:rPr>
                <w:rFonts w:hint="default" w:ascii="Times New Roman" w:hAnsi="Times New Roman" w:eastAsia="方正仿宋_GBK" w:cs="Times New Roman"/>
                <w:color w:val="auto"/>
                <w:spacing w:val="0"/>
                <w:kern w:val="0"/>
                <w:sz w:val="28"/>
                <w:szCs w:val="28"/>
                <w:u w:val="none" w:color="auto"/>
                <w:lang w:val="en-US" w:eastAsia="zh-CN"/>
              </w:rPr>
              <w:t>15.严查违规停放充电行为。加强联合检查，依法对违规停放充电行为开展执法查处、检查劝阻和宣传提示。加强居民住宅小区停放充电场所排查，督促整改不符合安全条件的场所。督促物业服务企业及时制止违规停放充电行为，拒不改正、情节严重的要及时报告，并协助处理。</w:t>
            </w:r>
          </w:p>
        </w:tc>
        <w:tc>
          <w:tcPr>
            <w:tcW w:w="2192" w:type="dxa"/>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K" w:cs="Times New Roman"/>
                <w:color w:val="auto"/>
                <w:spacing w:val="0"/>
                <w:kern w:val="0"/>
                <w:sz w:val="28"/>
                <w:szCs w:val="28"/>
                <w:u w:val="none" w:color="auto"/>
                <w:lang w:val="en-US" w:eastAsia="zh-CN"/>
              </w:rPr>
            </w:pPr>
            <w:r>
              <w:rPr>
                <w:rFonts w:hint="default" w:ascii="Times New Roman" w:hAnsi="Times New Roman" w:eastAsia="方正仿宋_GBK" w:cs="Times New Roman"/>
                <w:color w:val="auto"/>
                <w:spacing w:val="0"/>
                <w:kern w:val="0"/>
                <w:sz w:val="28"/>
                <w:szCs w:val="28"/>
                <w:u w:val="none" w:color="auto"/>
                <w:lang w:val="en-US" w:eastAsia="zh-CN"/>
              </w:rPr>
              <w:t>市消防救援大队</w:t>
            </w:r>
          </w:p>
        </w:tc>
        <w:tc>
          <w:tcPr>
            <w:tcW w:w="2636" w:type="dxa"/>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K" w:cs="Times New Roman"/>
                <w:color w:val="auto"/>
                <w:spacing w:val="0"/>
                <w:kern w:val="0"/>
                <w:sz w:val="28"/>
                <w:szCs w:val="28"/>
                <w:u w:val="none" w:color="auto"/>
                <w:lang w:val="en-US" w:eastAsia="zh-CN"/>
              </w:rPr>
            </w:pPr>
            <w:r>
              <w:rPr>
                <w:rFonts w:hint="default" w:ascii="Times New Roman" w:hAnsi="Times New Roman" w:eastAsia="方正仿宋_GBK" w:cs="Times New Roman"/>
                <w:color w:val="auto"/>
                <w:spacing w:val="0"/>
                <w:kern w:val="0"/>
                <w:sz w:val="28"/>
                <w:szCs w:val="28"/>
                <w:u w:val="none" w:color="auto"/>
                <w:lang w:val="en-US" w:eastAsia="zh-CN"/>
              </w:rPr>
              <w:t>市住建局、市公安局、市331机制办；各镇（区、街道）政府（管委会、办事处）组织落实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5" w:hRule="atLeast"/>
        </w:trPr>
        <w:tc>
          <w:tcPr>
            <w:tcW w:w="2179" w:type="dxa"/>
            <w:vMerge w:val="continue"/>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cs="Times New Roman"/>
                <w:color w:val="auto"/>
                <w:sz w:val="28"/>
                <w:szCs w:val="28"/>
                <w:u w:val="none" w:color="auto"/>
                <w:vertAlign w:val="baseline"/>
                <w:lang w:val="en-US" w:eastAsia="zh-CN"/>
              </w:rPr>
            </w:pPr>
          </w:p>
        </w:tc>
        <w:tc>
          <w:tcPr>
            <w:tcW w:w="6170" w:type="dxa"/>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K" w:cs="Times New Roman"/>
                <w:color w:val="auto"/>
                <w:spacing w:val="0"/>
                <w:kern w:val="0"/>
                <w:sz w:val="28"/>
                <w:szCs w:val="28"/>
                <w:u w:val="none" w:color="auto"/>
                <w:lang w:val="en-US" w:eastAsia="zh-CN"/>
              </w:rPr>
            </w:pPr>
            <w:r>
              <w:rPr>
                <w:rFonts w:hint="default" w:ascii="Times New Roman" w:hAnsi="Times New Roman" w:eastAsia="方正仿宋_GBK" w:cs="Times New Roman"/>
                <w:color w:val="auto"/>
                <w:spacing w:val="0"/>
                <w:kern w:val="0"/>
                <w:sz w:val="28"/>
                <w:szCs w:val="28"/>
                <w:u w:val="none" w:color="auto"/>
                <w:lang w:val="en-US" w:eastAsia="zh-CN"/>
              </w:rPr>
              <w:t>16.合理确定充电费用。积极创造条件帮助降低充电服务价格。居民住宅小区充电电价一律按居民合表用户电价执行，合理确定充电服务费标准。加大电动自行车充电设施转供电环节违规加价查处力度，不得收取任何未经公示的费用。按照相关政策和标准，做好充电设施报装接电服务工作。</w:t>
            </w:r>
          </w:p>
        </w:tc>
        <w:tc>
          <w:tcPr>
            <w:tcW w:w="2192" w:type="dxa"/>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K" w:cs="Times New Roman"/>
                <w:color w:val="auto"/>
                <w:spacing w:val="0"/>
                <w:kern w:val="0"/>
                <w:sz w:val="28"/>
                <w:szCs w:val="28"/>
                <w:u w:val="none" w:color="auto"/>
                <w:lang w:val="en-US" w:eastAsia="zh-CN"/>
              </w:rPr>
            </w:pPr>
            <w:r>
              <w:rPr>
                <w:rFonts w:hint="default" w:ascii="Times New Roman" w:hAnsi="Times New Roman" w:eastAsia="方正仿宋_GBK" w:cs="Times New Roman"/>
                <w:color w:val="auto"/>
                <w:spacing w:val="0"/>
                <w:kern w:val="0"/>
                <w:sz w:val="28"/>
                <w:szCs w:val="28"/>
                <w:u w:val="none" w:color="auto"/>
                <w:lang w:val="en-US" w:eastAsia="zh-CN"/>
              </w:rPr>
              <w:t>市发改委</w:t>
            </w:r>
          </w:p>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K" w:cs="Times New Roman"/>
                <w:color w:val="auto"/>
                <w:spacing w:val="0"/>
                <w:kern w:val="0"/>
                <w:sz w:val="28"/>
                <w:szCs w:val="28"/>
                <w:u w:val="none" w:color="auto"/>
                <w:lang w:val="en-US" w:eastAsia="zh-CN"/>
              </w:rPr>
            </w:pPr>
            <w:r>
              <w:rPr>
                <w:rFonts w:hint="default" w:ascii="Times New Roman" w:hAnsi="Times New Roman" w:eastAsia="方正仿宋_GBK" w:cs="Times New Roman"/>
                <w:color w:val="auto"/>
                <w:spacing w:val="0"/>
                <w:kern w:val="0"/>
                <w:sz w:val="28"/>
                <w:szCs w:val="28"/>
                <w:u w:val="none" w:color="auto"/>
                <w:lang w:val="en-US" w:eastAsia="zh-CN"/>
              </w:rPr>
              <w:t>太仓供电公司</w:t>
            </w:r>
          </w:p>
        </w:tc>
        <w:tc>
          <w:tcPr>
            <w:tcW w:w="2636" w:type="dxa"/>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K" w:cs="Times New Roman"/>
                <w:color w:val="auto"/>
                <w:spacing w:val="0"/>
                <w:kern w:val="0"/>
                <w:sz w:val="28"/>
                <w:szCs w:val="28"/>
                <w:u w:val="none" w:color="auto"/>
                <w:lang w:val="en-US" w:eastAsia="zh-CN"/>
              </w:rPr>
            </w:pPr>
            <w:r>
              <w:rPr>
                <w:rFonts w:hint="default" w:ascii="Times New Roman" w:hAnsi="Times New Roman" w:eastAsia="方正仿宋_GBK" w:cs="Times New Roman"/>
                <w:color w:val="auto"/>
                <w:spacing w:val="0"/>
                <w:kern w:val="0"/>
                <w:sz w:val="28"/>
                <w:szCs w:val="28"/>
                <w:u w:val="none" w:color="auto"/>
                <w:lang w:val="en-US" w:eastAsia="zh-CN"/>
              </w:rPr>
              <w:t>市市场监管局、市国资运服中心；各镇（区、街道）政府（管委会、办事处）组织落实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179" w:type="dxa"/>
            <w:vMerge w:val="continue"/>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pPr>
          </w:p>
        </w:tc>
        <w:tc>
          <w:tcPr>
            <w:tcW w:w="6170" w:type="dxa"/>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K" w:cs="Times New Roman"/>
                <w:color w:val="auto"/>
                <w:spacing w:val="0"/>
                <w:kern w:val="0"/>
                <w:sz w:val="28"/>
                <w:szCs w:val="28"/>
                <w:u w:val="none" w:color="auto"/>
                <w:lang w:val="en-US" w:eastAsia="zh-CN"/>
              </w:rPr>
            </w:pPr>
            <w:r>
              <w:rPr>
                <w:rFonts w:hint="eastAsia" w:ascii="Times New Roman" w:hAnsi="Times New Roman" w:eastAsia="方正仿宋_GBK" w:cs="Times New Roman"/>
                <w:color w:val="auto"/>
                <w:spacing w:val="0"/>
                <w:kern w:val="0"/>
                <w:sz w:val="28"/>
                <w:szCs w:val="28"/>
                <w:u w:val="none" w:color="auto"/>
                <w:lang w:val="en-US" w:eastAsia="zh-CN"/>
              </w:rPr>
              <w:t>17</w:t>
            </w:r>
            <w:r>
              <w:rPr>
                <w:rFonts w:hint="default" w:ascii="Times New Roman" w:hAnsi="Times New Roman" w:eastAsia="方正仿宋_GBK" w:cs="Times New Roman"/>
                <w:color w:val="auto"/>
                <w:spacing w:val="0"/>
                <w:kern w:val="0"/>
                <w:sz w:val="28"/>
                <w:szCs w:val="28"/>
                <w:u w:val="none" w:color="auto"/>
                <w:lang w:val="en-US" w:eastAsia="zh-CN"/>
              </w:rPr>
              <w:t>.明确渡船载运要求。督促渡运单位落实电动自行车上下船、在船停放、应急处置等安全制度。明确散装液体危险货物船舶上电动自行车存放充电相关监管要求并督促落实。</w:t>
            </w:r>
          </w:p>
        </w:tc>
        <w:tc>
          <w:tcPr>
            <w:tcW w:w="2192" w:type="dxa"/>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K" w:cs="Times New Roman"/>
                <w:color w:val="auto"/>
                <w:spacing w:val="0"/>
                <w:kern w:val="0"/>
                <w:sz w:val="28"/>
                <w:szCs w:val="28"/>
                <w:u w:val="none" w:color="auto"/>
                <w:lang w:val="en-US" w:eastAsia="zh-CN"/>
              </w:rPr>
            </w:pPr>
            <w:r>
              <w:rPr>
                <w:rFonts w:hint="default" w:ascii="Times New Roman" w:hAnsi="Times New Roman" w:eastAsia="方正仿宋_GBK" w:cs="Times New Roman"/>
                <w:color w:val="auto"/>
                <w:spacing w:val="0"/>
                <w:kern w:val="0"/>
                <w:sz w:val="28"/>
                <w:szCs w:val="28"/>
                <w:u w:val="none" w:color="auto"/>
                <w:lang w:val="en-US" w:eastAsia="zh-CN"/>
              </w:rPr>
              <w:t>太仓海事局</w:t>
            </w:r>
          </w:p>
        </w:tc>
        <w:tc>
          <w:tcPr>
            <w:tcW w:w="2636" w:type="dxa"/>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K" w:cs="Times New Roman"/>
                <w:color w:val="auto"/>
                <w:spacing w:val="0"/>
                <w:kern w:val="0"/>
                <w:sz w:val="28"/>
                <w:szCs w:val="28"/>
                <w:u w:val="none" w:color="auto"/>
                <w:lang w:val="en-US" w:eastAsia="zh-CN"/>
              </w:rPr>
            </w:pPr>
            <w:r>
              <w:rPr>
                <w:rFonts w:hint="default" w:ascii="Times New Roman" w:hAnsi="Times New Roman" w:eastAsia="方正仿宋_GBK" w:cs="Times New Roman"/>
                <w:color w:val="auto"/>
                <w:spacing w:val="0"/>
                <w:kern w:val="0"/>
                <w:sz w:val="28"/>
                <w:szCs w:val="28"/>
                <w:u w:val="none" w:color="auto"/>
                <w:lang w:val="en-US" w:eastAsia="zh-CN"/>
              </w:rPr>
              <w:t>各镇（区、街道）政府（管委会、办事处）组织落实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2179" w:type="dxa"/>
            <w:vMerge w:val="restart"/>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cs="Times New Roman"/>
                <w:color w:val="auto"/>
                <w:sz w:val="28"/>
                <w:szCs w:val="28"/>
                <w:u w:val="none" w:color="auto"/>
                <w:vertAlign w:val="baseline"/>
                <w:lang w:val="en-US" w:eastAsia="zh-CN"/>
              </w:rPr>
            </w:pPr>
            <w:r>
              <w:rPr>
                <w:rFonts w:hint="default" w:ascii="Times New Roman" w:hAnsi="Times New Roman" w:eastAsia="仿宋_GB2312" w:cs="Times New Roman"/>
                <w:color w:val="auto"/>
                <w:sz w:val="28"/>
                <w:szCs w:val="28"/>
                <w:u w:val="none" w:color="auto"/>
                <w:vertAlign w:val="baseline"/>
                <w:lang w:val="en-US" w:eastAsia="zh-CN"/>
              </w:rPr>
              <w:t>四、加强回收环节报废管理</w:t>
            </w:r>
          </w:p>
        </w:tc>
        <w:tc>
          <w:tcPr>
            <w:tcW w:w="6170" w:type="dxa"/>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K" w:cs="Times New Roman"/>
                <w:color w:val="auto"/>
                <w:spacing w:val="0"/>
                <w:kern w:val="0"/>
                <w:sz w:val="28"/>
                <w:szCs w:val="28"/>
                <w:u w:val="none" w:color="auto"/>
                <w:lang w:val="en-US" w:eastAsia="zh-CN"/>
              </w:rPr>
            </w:pPr>
            <w:r>
              <w:rPr>
                <w:rFonts w:hint="default" w:ascii="Times New Roman" w:hAnsi="Times New Roman" w:eastAsia="方正仿宋_GBK" w:cs="Times New Roman"/>
                <w:color w:val="auto"/>
                <w:spacing w:val="0"/>
                <w:kern w:val="0"/>
                <w:sz w:val="28"/>
                <w:szCs w:val="28"/>
                <w:u w:val="none" w:color="auto"/>
                <w:lang w:val="en-US" w:eastAsia="zh-CN"/>
              </w:rPr>
              <w:t>1</w:t>
            </w:r>
            <w:r>
              <w:rPr>
                <w:rFonts w:hint="eastAsia" w:ascii="Times New Roman" w:hAnsi="Times New Roman" w:eastAsia="方正仿宋_GBK" w:cs="Times New Roman"/>
                <w:color w:val="auto"/>
                <w:spacing w:val="0"/>
                <w:kern w:val="0"/>
                <w:sz w:val="28"/>
                <w:szCs w:val="28"/>
                <w:u w:val="none" w:color="auto"/>
                <w:lang w:val="en-US" w:eastAsia="zh-CN"/>
              </w:rPr>
              <w:t>8</w:t>
            </w:r>
            <w:r>
              <w:rPr>
                <w:rFonts w:hint="default" w:ascii="Times New Roman" w:hAnsi="Times New Roman" w:eastAsia="方正仿宋_GBK" w:cs="Times New Roman"/>
                <w:color w:val="auto"/>
                <w:spacing w:val="0"/>
                <w:kern w:val="0"/>
                <w:sz w:val="28"/>
                <w:szCs w:val="28"/>
                <w:u w:val="none" w:color="auto"/>
                <w:lang w:val="en-US" w:eastAsia="zh-CN"/>
              </w:rPr>
              <w:t>.大力推行以旧换新。积极落实国家关于推动大规模设备更新和消费品以旧换新统一部署，细化支持政策，推动电动自行车及蓄电池以旧换新，引导老旧、非标、临时信息牌电动自行车退出。</w:t>
            </w:r>
          </w:p>
        </w:tc>
        <w:tc>
          <w:tcPr>
            <w:tcW w:w="2192" w:type="dxa"/>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K" w:cs="Times New Roman"/>
                <w:color w:val="auto"/>
                <w:spacing w:val="0"/>
                <w:kern w:val="0"/>
                <w:sz w:val="28"/>
                <w:szCs w:val="28"/>
                <w:u w:val="none" w:color="auto"/>
                <w:lang w:val="en-US" w:eastAsia="zh-CN"/>
              </w:rPr>
            </w:pPr>
            <w:r>
              <w:rPr>
                <w:rFonts w:hint="default" w:ascii="Times New Roman" w:hAnsi="Times New Roman" w:eastAsia="方正仿宋_GBK" w:cs="Times New Roman"/>
                <w:color w:val="auto"/>
                <w:spacing w:val="0"/>
                <w:kern w:val="0"/>
                <w:sz w:val="28"/>
                <w:szCs w:val="28"/>
                <w:u w:val="none" w:color="auto"/>
                <w:lang w:val="en-US" w:eastAsia="zh-CN"/>
              </w:rPr>
              <w:t>市商务局</w:t>
            </w:r>
          </w:p>
        </w:tc>
        <w:tc>
          <w:tcPr>
            <w:tcW w:w="2636" w:type="dxa"/>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K" w:cs="Times New Roman"/>
                <w:color w:val="auto"/>
                <w:spacing w:val="0"/>
                <w:kern w:val="0"/>
                <w:sz w:val="28"/>
                <w:szCs w:val="28"/>
                <w:u w:val="none" w:color="auto"/>
                <w:lang w:val="en-US" w:eastAsia="zh-CN"/>
              </w:rPr>
            </w:pPr>
            <w:r>
              <w:rPr>
                <w:rFonts w:hint="default" w:ascii="Times New Roman" w:hAnsi="Times New Roman" w:eastAsia="方正仿宋_GBK" w:cs="Times New Roman"/>
                <w:color w:val="auto"/>
                <w:spacing w:val="0"/>
                <w:kern w:val="0"/>
                <w:sz w:val="28"/>
                <w:szCs w:val="28"/>
                <w:u w:val="none" w:color="auto"/>
                <w:lang w:val="en-US" w:eastAsia="zh-CN"/>
              </w:rPr>
              <w:t>市工信局等部门；各镇（区、街道）政府（管委会、办事处）组织落实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trPr>
        <w:tc>
          <w:tcPr>
            <w:tcW w:w="2179" w:type="dxa"/>
            <w:vMerge w:val="continue"/>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cs="Times New Roman"/>
                <w:color w:val="auto"/>
                <w:sz w:val="28"/>
                <w:szCs w:val="28"/>
                <w:u w:val="none" w:color="auto"/>
                <w:vertAlign w:val="baseline"/>
                <w:lang w:val="en-US" w:eastAsia="zh-CN"/>
              </w:rPr>
            </w:pPr>
          </w:p>
        </w:tc>
        <w:tc>
          <w:tcPr>
            <w:tcW w:w="6170" w:type="dxa"/>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K" w:cs="Times New Roman"/>
                <w:color w:val="auto"/>
                <w:spacing w:val="0"/>
                <w:kern w:val="0"/>
                <w:sz w:val="28"/>
                <w:szCs w:val="28"/>
                <w:u w:val="none" w:color="auto"/>
                <w:lang w:val="en-US" w:eastAsia="zh-CN"/>
              </w:rPr>
            </w:pPr>
            <w:r>
              <w:rPr>
                <w:rFonts w:hint="default" w:ascii="Times New Roman" w:hAnsi="Times New Roman" w:eastAsia="方正仿宋_GBK" w:cs="Times New Roman"/>
                <w:color w:val="auto"/>
                <w:spacing w:val="0"/>
                <w:kern w:val="0"/>
                <w:sz w:val="28"/>
                <w:szCs w:val="28"/>
                <w:u w:val="none" w:color="auto"/>
                <w:lang w:val="en-US" w:eastAsia="zh-CN"/>
              </w:rPr>
              <w:t>1</w:t>
            </w:r>
            <w:r>
              <w:rPr>
                <w:rFonts w:hint="eastAsia" w:ascii="Times New Roman" w:hAnsi="Times New Roman" w:eastAsia="方正仿宋_GBK" w:cs="Times New Roman"/>
                <w:color w:val="auto"/>
                <w:spacing w:val="0"/>
                <w:kern w:val="0"/>
                <w:sz w:val="28"/>
                <w:szCs w:val="28"/>
                <w:u w:val="none" w:color="auto"/>
                <w:lang w:val="en-US" w:eastAsia="zh-CN"/>
              </w:rPr>
              <w:t>9</w:t>
            </w:r>
            <w:r>
              <w:rPr>
                <w:rFonts w:hint="default" w:ascii="Times New Roman" w:hAnsi="Times New Roman" w:eastAsia="方正仿宋_GBK" w:cs="Times New Roman"/>
                <w:color w:val="auto"/>
                <w:spacing w:val="0"/>
                <w:kern w:val="0"/>
                <w:sz w:val="28"/>
                <w:szCs w:val="28"/>
                <w:u w:val="none" w:color="auto"/>
                <w:lang w:val="en-US" w:eastAsia="zh-CN"/>
              </w:rPr>
              <w:t>.健全回收报废体系。严格落实老旧蓄电池国家强制性报废标准，健全完善蓄电池回收利用体系，促进老旧蓄电池规范回收处理。鼓励销售网点提供免费检查服务，引导淘汰老旧蓄电池；对超过生产日期5年的蓄电池开展全面强制安全性评估，达到报废条件的一律强制报废，2025年5月底前取得明显成效并持续推进。</w:t>
            </w:r>
          </w:p>
        </w:tc>
        <w:tc>
          <w:tcPr>
            <w:tcW w:w="2192" w:type="dxa"/>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K" w:cs="Times New Roman"/>
                <w:color w:val="auto"/>
                <w:spacing w:val="0"/>
                <w:kern w:val="0"/>
                <w:sz w:val="28"/>
                <w:szCs w:val="28"/>
                <w:u w:val="none" w:color="auto"/>
                <w:lang w:val="en-US" w:eastAsia="zh-CN"/>
              </w:rPr>
            </w:pPr>
            <w:r>
              <w:rPr>
                <w:rFonts w:hint="default" w:ascii="Times New Roman" w:hAnsi="Times New Roman" w:eastAsia="方正仿宋_GBK" w:cs="Times New Roman"/>
                <w:color w:val="auto"/>
                <w:spacing w:val="0"/>
                <w:kern w:val="0"/>
                <w:sz w:val="28"/>
                <w:szCs w:val="28"/>
                <w:u w:val="none" w:color="auto"/>
                <w:lang w:val="en-US" w:eastAsia="zh-CN"/>
              </w:rPr>
              <w:t>市工信局</w:t>
            </w:r>
          </w:p>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K" w:cs="Times New Roman"/>
                <w:color w:val="auto"/>
                <w:spacing w:val="0"/>
                <w:kern w:val="0"/>
                <w:sz w:val="28"/>
                <w:szCs w:val="28"/>
                <w:u w:val="none" w:color="auto"/>
                <w:lang w:val="en-US" w:eastAsia="zh-CN"/>
              </w:rPr>
            </w:pPr>
            <w:r>
              <w:rPr>
                <w:rFonts w:hint="default" w:ascii="Times New Roman" w:hAnsi="Times New Roman" w:eastAsia="方正仿宋_GBK" w:cs="Times New Roman"/>
                <w:color w:val="auto"/>
                <w:spacing w:val="0"/>
                <w:kern w:val="0"/>
                <w:sz w:val="28"/>
                <w:szCs w:val="28"/>
                <w:u w:val="none" w:color="auto"/>
                <w:lang w:val="en-US" w:eastAsia="zh-CN"/>
              </w:rPr>
              <w:t>太仓生态环境局</w:t>
            </w:r>
          </w:p>
        </w:tc>
        <w:tc>
          <w:tcPr>
            <w:tcW w:w="2636" w:type="dxa"/>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K" w:cs="Times New Roman"/>
                <w:color w:val="auto"/>
                <w:spacing w:val="0"/>
                <w:kern w:val="0"/>
                <w:sz w:val="28"/>
                <w:szCs w:val="28"/>
                <w:u w:val="none" w:color="auto"/>
                <w:lang w:val="en-US" w:eastAsia="zh-CN"/>
              </w:rPr>
            </w:pPr>
            <w:r>
              <w:rPr>
                <w:rFonts w:hint="default" w:ascii="Times New Roman" w:hAnsi="Times New Roman" w:eastAsia="方正仿宋_GBK" w:cs="Times New Roman"/>
                <w:color w:val="auto"/>
                <w:spacing w:val="0"/>
                <w:kern w:val="0"/>
                <w:sz w:val="28"/>
                <w:szCs w:val="28"/>
                <w:u w:val="none" w:color="auto"/>
                <w:lang w:val="en-US" w:eastAsia="zh-CN"/>
              </w:rPr>
              <w:t>市市场监管局、市发改委、市国资运服中心、市331机制办；各镇（区、街道）政府（管委会、办事处）组织落实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trPr>
        <w:tc>
          <w:tcPr>
            <w:tcW w:w="2179" w:type="dxa"/>
            <w:vMerge w:val="restart"/>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cs="Times New Roman"/>
                <w:color w:val="auto"/>
                <w:sz w:val="28"/>
                <w:szCs w:val="28"/>
                <w:u w:val="none" w:color="auto"/>
                <w:vertAlign w:val="baseline"/>
                <w:lang w:val="en-US" w:eastAsia="zh-CN"/>
              </w:rPr>
            </w:pPr>
            <w:r>
              <w:rPr>
                <w:rFonts w:hint="default" w:ascii="Times New Roman" w:hAnsi="Times New Roman" w:eastAsia="仿宋_GB2312" w:cs="Times New Roman"/>
                <w:color w:val="auto"/>
                <w:sz w:val="28"/>
                <w:szCs w:val="28"/>
                <w:u w:val="none" w:color="auto"/>
                <w:vertAlign w:val="baseline"/>
                <w:lang w:val="en-US" w:eastAsia="zh-CN"/>
              </w:rPr>
              <w:t>五、加强技术模式创新应用</w:t>
            </w:r>
          </w:p>
        </w:tc>
        <w:tc>
          <w:tcPr>
            <w:tcW w:w="6170" w:type="dxa"/>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K" w:cs="Times New Roman"/>
                <w:color w:val="auto"/>
                <w:spacing w:val="0"/>
                <w:kern w:val="0"/>
                <w:sz w:val="28"/>
                <w:szCs w:val="28"/>
                <w:u w:val="none" w:color="auto"/>
                <w:lang w:val="en-US" w:eastAsia="zh-CN"/>
              </w:rPr>
            </w:pPr>
            <w:r>
              <w:rPr>
                <w:rFonts w:hint="eastAsia" w:ascii="Times New Roman" w:hAnsi="Times New Roman" w:eastAsia="方正仿宋_GBK" w:cs="Times New Roman"/>
                <w:color w:val="auto"/>
                <w:spacing w:val="0"/>
                <w:kern w:val="0"/>
                <w:sz w:val="28"/>
                <w:szCs w:val="28"/>
                <w:u w:val="none" w:color="auto"/>
                <w:lang w:val="en-US" w:eastAsia="zh-CN"/>
              </w:rPr>
              <w:t>20</w:t>
            </w:r>
            <w:r>
              <w:rPr>
                <w:rFonts w:hint="default" w:ascii="Times New Roman" w:hAnsi="Times New Roman" w:eastAsia="方正仿宋_GBK" w:cs="Times New Roman"/>
                <w:color w:val="auto"/>
                <w:spacing w:val="0"/>
                <w:kern w:val="0"/>
                <w:sz w:val="28"/>
                <w:szCs w:val="28"/>
                <w:u w:val="none" w:color="auto"/>
                <w:lang w:val="en-US" w:eastAsia="zh-CN"/>
              </w:rPr>
              <w:t>.强化科技赋能。引导充电设施建设运营单位建立数据平台，对充电设施实时监控，2025年底前完成。鼓励充电设施运营单位推广共享换电模式。鼓励在楼宇电梯安装智能阻止系统，实行动态监控，制止电动自行车违规入户充电。</w:t>
            </w:r>
          </w:p>
        </w:tc>
        <w:tc>
          <w:tcPr>
            <w:tcW w:w="2192" w:type="dxa"/>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K" w:cs="Times New Roman"/>
                <w:color w:val="auto"/>
                <w:spacing w:val="0"/>
                <w:kern w:val="0"/>
                <w:sz w:val="28"/>
                <w:szCs w:val="28"/>
                <w:u w:val="none" w:color="auto"/>
                <w:lang w:val="en-US" w:eastAsia="zh-CN"/>
              </w:rPr>
            </w:pPr>
            <w:r>
              <w:rPr>
                <w:rFonts w:hint="default" w:ascii="Times New Roman" w:hAnsi="Times New Roman" w:eastAsia="方正仿宋_GBK" w:cs="Times New Roman"/>
                <w:color w:val="auto"/>
                <w:spacing w:val="0"/>
                <w:kern w:val="0"/>
                <w:sz w:val="28"/>
                <w:szCs w:val="28"/>
                <w:u w:val="none" w:color="auto"/>
                <w:lang w:val="en-US" w:eastAsia="zh-CN"/>
              </w:rPr>
              <w:t>市市场监管局</w:t>
            </w:r>
          </w:p>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K" w:cs="Times New Roman"/>
                <w:color w:val="auto"/>
                <w:spacing w:val="0"/>
                <w:kern w:val="0"/>
                <w:sz w:val="28"/>
                <w:szCs w:val="28"/>
                <w:u w:val="none" w:color="auto"/>
                <w:lang w:val="en-US" w:eastAsia="zh-CN"/>
              </w:rPr>
            </w:pPr>
            <w:r>
              <w:rPr>
                <w:rFonts w:hint="default" w:ascii="Times New Roman" w:hAnsi="Times New Roman" w:eastAsia="方正仿宋_GBK" w:cs="Times New Roman"/>
                <w:color w:val="auto"/>
                <w:spacing w:val="0"/>
                <w:kern w:val="0"/>
                <w:sz w:val="28"/>
                <w:szCs w:val="28"/>
                <w:u w:val="none" w:color="auto"/>
                <w:lang w:val="en-US" w:eastAsia="zh-CN"/>
              </w:rPr>
              <w:t>市消防救援大队</w:t>
            </w:r>
          </w:p>
        </w:tc>
        <w:tc>
          <w:tcPr>
            <w:tcW w:w="2636" w:type="dxa"/>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K" w:cs="Times New Roman"/>
                <w:color w:val="auto"/>
                <w:spacing w:val="0"/>
                <w:kern w:val="0"/>
                <w:sz w:val="28"/>
                <w:szCs w:val="28"/>
                <w:u w:val="none" w:color="auto"/>
                <w:lang w:val="en-US" w:eastAsia="zh-CN"/>
              </w:rPr>
            </w:pPr>
            <w:r>
              <w:rPr>
                <w:rFonts w:hint="default" w:ascii="Times New Roman" w:hAnsi="Times New Roman" w:eastAsia="方正仿宋_GBK" w:cs="Times New Roman"/>
                <w:color w:val="auto"/>
                <w:spacing w:val="0"/>
                <w:kern w:val="0"/>
                <w:sz w:val="28"/>
                <w:szCs w:val="28"/>
                <w:u w:val="none" w:color="auto"/>
                <w:lang w:val="en-US" w:eastAsia="zh-CN"/>
              </w:rPr>
              <w:t>市住建局、市331机制办；各镇（区、街道）政府（管委会、办事处）组织落实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2179" w:type="dxa"/>
            <w:vMerge w:val="continue"/>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cs="Times New Roman"/>
                <w:color w:val="auto"/>
                <w:sz w:val="28"/>
                <w:szCs w:val="28"/>
                <w:u w:val="none" w:color="auto"/>
                <w:vertAlign w:val="baseline"/>
                <w:lang w:val="en-US" w:eastAsia="zh-CN"/>
              </w:rPr>
            </w:pPr>
          </w:p>
        </w:tc>
        <w:tc>
          <w:tcPr>
            <w:tcW w:w="6170" w:type="dxa"/>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K" w:cs="Times New Roman"/>
                <w:color w:val="auto"/>
                <w:spacing w:val="0"/>
                <w:kern w:val="0"/>
                <w:sz w:val="28"/>
                <w:szCs w:val="28"/>
                <w:u w:val="none" w:color="auto"/>
                <w:lang w:val="en-US" w:eastAsia="zh-CN"/>
              </w:rPr>
            </w:pPr>
            <w:r>
              <w:rPr>
                <w:rFonts w:hint="default" w:ascii="Times New Roman" w:hAnsi="Times New Roman" w:eastAsia="方正仿宋_GBK" w:cs="Times New Roman"/>
                <w:color w:val="auto"/>
                <w:spacing w:val="0"/>
                <w:kern w:val="0"/>
                <w:sz w:val="28"/>
                <w:szCs w:val="28"/>
                <w:u w:val="none" w:color="auto"/>
                <w:lang w:val="en-US" w:eastAsia="zh-CN"/>
              </w:rPr>
              <w:t>2</w:t>
            </w:r>
            <w:r>
              <w:rPr>
                <w:rFonts w:hint="eastAsia" w:ascii="Times New Roman" w:hAnsi="Times New Roman" w:eastAsia="方正仿宋_GBK" w:cs="Times New Roman"/>
                <w:color w:val="auto"/>
                <w:spacing w:val="0"/>
                <w:kern w:val="0"/>
                <w:sz w:val="28"/>
                <w:szCs w:val="28"/>
                <w:u w:val="none" w:color="auto"/>
                <w:lang w:val="en-US" w:eastAsia="zh-CN"/>
              </w:rPr>
              <w:t>1</w:t>
            </w:r>
            <w:r>
              <w:rPr>
                <w:rFonts w:hint="default" w:ascii="Times New Roman" w:hAnsi="Times New Roman" w:eastAsia="方正仿宋_GBK" w:cs="Times New Roman"/>
                <w:color w:val="auto"/>
                <w:spacing w:val="0"/>
                <w:kern w:val="0"/>
                <w:sz w:val="28"/>
                <w:szCs w:val="28"/>
                <w:u w:val="none" w:color="auto"/>
                <w:lang w:val="en-US" w:eastAsia="zh-CN"/>
              </w:rPr>
              <w:t>.完善违规充电监测体系。探索通过电流的特征信号分析，对电动自行车入户充电行为进行监测，发现违规充电行为及时告警，引导市民在安全合规区域停放充电。</w:t>
            </w:r>
          </w:p>
        </w:tc>
        <w:tc>
          <w:tcPr>
            <w:tcW w:w="2192" w:type="dxa"/>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K" w:cs="Times New Roman"/>
                <w:color w:val="auto"/>
                <w:spacing w:val="0"/>
                <w:kern w:val="0"/>
                <w:sz w:val="28"/>
                <w:szCs w:val="28"/>
                <w:u w:val="none" w:color="auto"/>
                <w:lang w:val="en-US" w:eastAsia="zh-CN"/>
              </w:rPr>
            </w:pPr>
            <w:r>
              <w:rPr>
                <w:rFonts w:hint="default" w:ascii="Times New Roman" w:hAnsi="Times New Roman" w:eastAsia="方正仿宋_GBK" w:cs="Times New Roman"/>
                <w:color w:val="auto"/>
                <w:spacing w:val="0"/>
                <w:kern w:val="0"/>
                <w:sz w:val="28"/>
                <w:szCs w:val="28"/>
                <w:u w:val="none" w:color="auto"/>
                <w:lang w:val="en-US" w:eastAsia="zh-CN"/>
              </w:rPr>
              <w:t>市331机制办等</w:t>
            </w:r>
          </w:p>
        </w:tc>
        <w:tc>
          <w:tcPr>
            <w:tcW w:w="2636" w:type="dxa"/>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K" w:cs="Times New Roman"/>
                <w:color w:val="auto"/>
                <w:spacing w:val="0"/>
                <w:kern w:val="0"/>
                <w:sz w:val="28"/>
                <w:szCs w:val="28"/>
                <w:u w:val="none" w:color="auto"/>
                <w:lang w:val="en-US" w:eastAsia="zh-CN"/>
              </w:rPr>
            </w:pPr>
            <w:r>
              <w:rPr>
                <w:rFonts w:hint="default" w:ascii="Times New Roman" w:hAnsi="Times New Roman" w:eastAsia="方正仿宋_GBK" w:cs="Times New Roman"/>
                <w:color w:val="auto"/>
                <w:spacing w:val="0"/>
                <w:kern w:val="0"/>
                <w:sz w:val="28"/>
                <w:szCs w:val="28"/>
                <w:u w:val="none" w:color="auto"/>
                <w:lang w:val="en-US" w:eastAsia="zh-CN"/>
              </w:rPr>
              <w:t>市数据局；各镇（区、街道）政府（管委会、办事处）组织落实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trPr>
        <w:tc>
          <w:tcPr>
            <w:tcW w:w="2179" w:type="dxa"/>
            <w:vMerge w:val="continue"/>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cs="Times New Roman"/>
                <w:color w:val="auto"/>
                <w:sz w:val="28"/>
                <w:szCs w:val="28"/>
                <w:u w:val="none" w:color="auto"/>
                <w:vertAlign w:val="baseline"/>
                <w:lang w:val="en-US" w:eastAsia="zh-CN"/>
              </w:rPr>
            </w:pPr>
          </w:p>
        </w:tc>
        <w:tc>
          <w:tcPr>
            <w:tcW w:w="6170" w:type="dxa"/>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K" w:cs="Times New Roman"/>
                <w:color w:val="auto"/>
                <w:spacing w:val="0"/>
                <w:kern w:val="0"/>
                <w:sz w:val="28"/>
                <w:szCs w:val="28"/>
                <w:u w:val="none" w:color="auto"/>
                <w:lang w:val="en-US" w:eastAsia="zh-CN"/>
              </w:rPr>
            </w:pPr>
            <w:r>
              <w:rPr>
                <w:rFonts w:hint="default" w:ascii="Times New Roman" w:hAnsi="Times New Roman" w:eastAsia="方正仿宋_GBK" w:cs="Times New Roman"/>
                <w:color w:val="auto"/>
                <w:spacing w:val="0"/>
                <w:kern w:val="0"/>
                <w:sz w:val="28"/>
                <w:szCs w:val="28"/>
                <w:u w:val="none" w:color="auto"/>
                <w:lang w:val="en-US" w:eastAsia="zh-CN"/>
              </w:rPr>
              <w:t>2</w:t>
            </w:r>
            <w:r>
              <w:rPr>
                <w:rFonts w:hint="eastAsia" w:ascii="Times New Roman" w:hAnsi="Times New Roman" w:eastAsia="方正仿宋_GBK" w:cs="Times New Roman"/>
                <w:color w:val="auto"/>
                <w:spacing w:val="0"/>
                <w:kern w:val="0"/>
                <w:sz w:val="28"/>
                <w:szCs w:val="28"/>
                <w:u w:val="none" w:color="auto"/>
                <w:lang w:val="en-US" w:eastAsia="zh-CN"/>
              </w:rPr>
              <w:t>2</w:t>
            </w:r>
            <w:r>
              <w:rPr>
                <w:rFonts w:hint="default" w:ascii="Times New Roman" w:hAnsi="Times New Roman" w:eastAsia="方正仿宋_GBK" w:cs="Times New Roman"/>
                <w:color w:val="auto"/>
                <w:spacing w:val="0"/>
                <w:kern w:val="0"/>
                <w:sz w:val="28"/>
                <w:szCs w:val="28"/>
                <w:u w:val="none" w:color="auto"/>
                <w:lang w:val="en-US" w:eastAsia="zh-CN"/>
              </w:rPr>
              <w:t>.创新运营模式。探索共享电单车试点，采用电子围栏等方式做好车辆停放、集中充换电的安全管理。</w:t>
            </w:r>
          </w:p>
        </w:tc>
        <w:tc>
          <w:tcPr>
            <w:tcW w:w="2192" w:type="dxa"/>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K" w:cs="Times New Roman"/>
                <w:color w:val="auto"/>
                <w:spacing w:val="0"/>
                <w:kern w:val="0"/>
                <w:sz w:val="28"/>
                <w:szCs w:val="28"/>
                <w:u w:val="none" w:color="auto"/>
                <w:lang w:val="en-US" w:eastAsia="zh-CN"/>
              </w:rPr>
            </w:pPr>
            <w:r>
              <w:rPr>
                <w:rFonts w:hint="default" w:ascii="Times New Roman" w:hAnsi="Times New Roman" w:eastAsia="方正仿宋_GBK" w:cs="Times New Roman"/>
                <w:color w:val="auto"/>
                <w:spacing w:val="0"/>
                <w:kern w:val="0"/>
                <w:sz w:val="28"/>
                <w:szCs w:val="28"/>
                <w:u w:val="none" w:color="auto"/>
                <w:lang w:val="en-US" w:eastAsia="zh-CN"/>
              </w:rPr>
              <w:t>市城管局</w:t>
            </w:r>
          </w:p>
        </w:tc>
        <w:tc>
          <w:tcPr>
            <w:tcW w:w="2636" w:type="dxa"/>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K" w:cs="Times New Roman"/>
                <w:color w:val="auto"/>
                <w:spacing w:val="0"/>
                <w:kern w:val="0"/>
                <w:sz w:val="28"/>
                <w:szCs w:val="28"/>
                <w:u w:val="none" w:color="auto"/>
                <w:lang w:val="en-US" w:eastAsia="zh-CN"/>
              </w:rPr>
            </w:pPr>
            <w:r>
              <w:rPr>
                <w:rFonts w:hint="default" w:ascii="Times New Roman" w:hAnsi="Times New Roman" w:eastAsia="方正仿宋_GBK" w:cs="Times New Roman"/>
                <w:color w:val="auto"/>
                <w:spacing w:val="0"/>
                <w:kern w:val="0"/>
                <w:sz w:val="28"/>
                <w:szCs w:val="28"/>
                <w:u w:val="none" w:color="auto"/>
                <w:lang w:val="en-US" w:eastAsia="zh-CN"/>
              </w:rPr>
              <w:t>各镇（区、街道）政府（管委会、办事处）组织落实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4" w:hRule="atLeast"/>
        </w:trPr>
        <w:tc>
          <w:tcPr>
            <w:tcW w:w="2179" w:type="dxa"/>
            <w:vMerge w:val="restart"/>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cs="Times New Roman"/>
                <w:color w:val="auto"/>
                <w:sz w:val="28"/>
                <w:szCs w:val="28"/>
                <w:u w:val="none" w:color="auto"/>
                <w:vertAlign w:val="baseline"/>
                <w:lang w:val="en-US" w:eastAsia="zh-CN"/>
              </w:rPr>
            </w:pPr>
            <w:r>
              <w:rPr>
                <w:rFonts w:hint="default" w:ascii="Times New Roman" w:hAnsi="Times New Roman" w:eastAsia="仿宋_GB2312" w:cs="Times New Roman"/>
                <w:color w:val="auto"/>
                <w:sz w:val="28"/>
                <w:szCs w:val="28"/>
                <w:u w:val="none" w:color="auto"/>
                <w:vertAlign w:val="baseline"/>
                <w:lang w:val="en-US" w:eastAsia="zh-CN"/>
              </w:rPr>
              <w:t>六、加强全链条监督管理</w:t>
            </w:r>
          </w:p>
        </w:tc>
        <w:tc>
          <w:tcPr>
            <w:tcW w:w="6170" w:type="dxa"/>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K" w:cs="Times New Roman"/>
                <w:color w:val="auto"/>
                <w:spacing w:val="0"/>
                <w:kern w:val="0"/>
                <w:sz w:val="28"/>
                <w:szCs w:val="28"/>
                <w:u w:val="none" w:color="auto"/>
                <w:lang w:val="en-US" w:eastAsia="zh-CN"/>
              </w:rPr>
            </w:pPr>
            <w:r>
              <w:rPr>
                <w:rFonts w:hint="default" w:ascii="Times New Roman" w:hAnsi="Times New Roman" w:eastAsia="方正仿宋_GBK" w:cs="Times New Roman"/>
                <w:color w:val="auto"/>
                <w:spacing w:val="0"/>
                <w:kern w:val="0"/>
                <w:sz w:val="28"/>
                <w:szCs w:val="28"/>
                <w:u w:val="none" w:color="auto"/>
                <w:lang w:val="en-US" w:eastAsia="zh-CN"/>
              </w:rPr>
              <w:t>2</w:t>
            </w:r>
            <w:r>
              <w:rPr>
                <w:rFonts w:hint="eastAsia" w:ascii="Times New Roman" w:hAnsi="Times New Roman" w:eastAsia="方正仿宋_GBK" w:cs="Times New Roman"/>
                <w:color w:val="auto"/>
                <w:spacing w:val="0"/>
                <w:kern w:val="0"/>
                <w:sz w:val="28"/>
                <w:szCs w:val="28"/>
                <w:u w:val="none" w:color="auto"/>
                <w:lang w:val="en-US" w:eastAsia="zh-CN"/>
              </w:rPr>
              <w:t>3</w:t>
            </w:r>
            <w:r>
              <w:rPr>
                <w:rFonts w:hint="default" w:ascii="Times New Roman" w:hAnsi="Times New Roman" w:eastAsia="方正仿宋_GBK" w:cs="Times New Roman"/>
                <w:color w:val="auto"/>
                <w:spacing w:val="0"/>
                <w:kern w:val="0"/>
                <w:sz w:val="28"/>
                <w:szCs w:val="28"/>
                <w:u w:val="none" w:color="auto"/>
                <w:lang w:val="en-US" w:eastAsia="zh-CN"/>
              </w:rPr>
              <w:t>.严格督查考核。将深化电动自行车安全隐患全链条整治行动开展情况纳入有关督导检查和考核内容，切实压实各方监管责任。</w:t>
            </w:r>
          </w:p>
        </w:tc>
        <w:tc>
          <w:tcPr>
            <w:tcW w:w="2192" w:type="dxa"/>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K" w:cs="Times New Roman"/>
                <w:color w:val="auto"/>
                <w:spacing w:val="0"/>
                <w:kern w:val="0"/>
                <w:sz w:val="28"/>
                <w:szCs w:val="28"/>
                <w:u w:val="none" w:color="auto"/>
                <w:lang w:val="en-US" w:eastAsia="zh-CN"/>
              </w:rPr>
            </w:pPr>
            <w:r>
              <w:rPr>
                <w:rFonts w:hint="default" w:ascii="Times New Roman" w:hAnsi="Times New Roman" w:eastAsia="方正仿宋_GBK" w:cs="Times New Roman"/>
                <w:color w:val="auto"/>
                <w:spacing w:val="0"/>
                <w:kern w:val="0"/>
                <w:sz w:val="28"/>
                <w:szCs w:val="28"/>
                <w:u w:val="none" w:color="auto"/>
                <w:lang w:val="en-US" w:eastAsia="zh-CN"/>
              </w:rPr>
              <w:t>市应急管理局</w:t>
            </w:r>
          </w:p>
        </w:tc>
        <w:tc>
          <w:tcPr>
            <w:tcW w:w="2636" w:type="dxa"/>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K" w:cs="Times New Roman"/>
                <w:color w:val="auto"/>
                <w:spacing w:val="0"/>
                <w:kern w:val="0"/>
                <w:sz w:val="28"/>
                <w:szCs w:val="28"/>
                <w:u w:val="none" w:color="auto"/>
                <w:lang w:val="en-US" w:eastAsia="zh-CN"/>
              </w:rPr>
            </w:pPr>
            <w:r>
              <w:rPr>
                <w:rFonts w:hint="default" w:ascii="Times New Roman" w:hAnsi="Times New Roman" w:eastAsia="方正仿宋_GBK" w:cs="Times New Roman"/>
                <w:color w:val="auto"/>
                <w:spacing w:val="0"/>
                <w:kern w:val="0"/>
                <w:sz w:val="28"/>
                <w:szCs w:val="28"/>
                <w:u w:val="none" w:color="auto"/>
                <w:lang w:val="en-US" w:eastAsia="zh-CN"/>
              </w:rPr>
              <w:t>各镇（区、街道）政府（管委会、办事处）组织落实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trPr>
        <w:tc>
          <w:tcPr>
            <w:tcW w:w="2179" w:type="dxa"/>
            <w:vMerge w:val="continue"/>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cs="Times New Roman"/>
                <w:color w:val="auto"/>
                <w:sz w:val="28"/>
                <w:szCs w:val="28"/>
                <w:u w:val="none" w:color="auto"/>
                <w:vertAlign w:val="baseline"/>
                <w:lang w:val="en-US" w:eastAsia="zh-CN"/>
              </w:rPr>
            </w:pPr>
          </w:p>
        </w:tc>
        <w:tc>
          <w:tcPr>
            <w:tcW w:w="6170" w:type="dxa"/>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K" w:cs="Times New Roman"/>
                <w:color w:val="auto"/>
                <w:spacing w:val="0"/>
                <w:kern w:val="0"/>
                <w:sz w:val="28"/>
                <w:szCs w:val="28"/>
                <w:u w:val="none" w:color="auto"/>
                <w:lang w:val="en-US" w:eastAsia="zh-CN"/>
              </w:rPr>
            </w:pPr>
            <w:r>
              <w:rPr>
                <w:rFonts w:hint="default" w:ascii="Times New Roman" w:hAnsi="Times New Roman" w:eastAsia="方正仿宋_GBK" w:cs="Times New Roman"/>
                <w:color w:val="auto"/>
                <w:spacing w:val="0"/>
                <w:kern w:val="0"/>
                <w:sz w:val="28"/>
                <w:szCs w:val="28"/>
                <w:u w:val="none" w:color="auto"/>
                <w:lang w:val="en-US" w:eastAsia="zh-CN"/>
              </w:rPr>
              <w:t>2</w:t>
            </w:r>
            <w:r>
              <w:rPr>
                <w:rFonts w:hint="eastAsia" w:ascii="Times New Roman" w:hAnsi="Times New Roman" w:eastAsia="方正仿宋_GBK" w:cs="Times New Roman"/>
                <w:color w:val="auto"/>
                <w:spacing w:val="0"/>
                <w:kern w:val="0"/>
                <w:sz w:val="28"/>
                <w:szCs w:val="28"/>
                <w:u w:val="none" w:color="auto"/>
                <w:lang w:val="en-US" w:eastAsia="zh-CN"/>
              </w:rPr>
              <w:t>4</w:t>
            </w:r>
            <w:r>
              <w:rPr>
                <w:rFonts w:hint="default" w:ascii="Times New Roman" w:hAnsi="Times New Roman" w:eastAsia="方正仿宋_GBK" w:cs="Times New Roman"/>
                <w:color w:val="auto"/>
                <w:spacing w:val="0"/>
                <w:kern w:val="0"/>
                <w:sz w:val="28"/>
                <w:szCs w:val="28"/>
                <w:u w:val="none" w:color="auto"/>
                <w:lang w:val="en-US" w:eastAsia="zh-CN"/>
              </w:rPr>
              <w:t>.建立责任倒查机制。建立电动自行车亡人事故责任倒查机制，运用“一车一池一充一码”和电动自行车登记信息管理系统，开展事故溯源调查，必要时开展联合执法，造成重大影响的依法追责。整治期间发生电动自行车亡人火灾事故的一律提级调查。</w:t>
            </w:r>
          </w:p>
        </w:tc>
        <w:tc>
          <w:tcPr>
            <w:tcW w:w="2192" w:type="dxa"/>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K" w:cs="Times New Roman"/>
                <w:color w:val="auto"/>
                <w:spacing w:val="0"/>
                <w:kern w:val="0"/>
                <w:sz w:val="28"/>
                <w:szCs w:val="28"/>
                <w:u w:val="none" w:color="auto"/>
                <w:lang w:val="en-US" w:eastAsia="zh-CN"/>
              </w:rPr>
            </w:pPr>
            <w:r>
              <w:rPr>
                <w:rFonts w:hint="default" w:ascii="Times New Roman" w:hAnsi="Times New Roman" w:eastAsia="方正仿宋_GBK" w:cs="Times New Roman"/>
                <w:color w:val="auto"/>
                <w:spacing w:val="0"/>
                <w:kern w:val="0"/>
                <w:sz w:val="28"/>
                <w:szCs w:val="28"/>
                <w:u w:val="none" w:color="auto"/>
                <w:lang w:val="en-US" w:eastAsia="zh-CN"/>
              </w:rPr>
              <w:t>市应急管理局</w:t>
            </w:r>
          </w:p>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K" w:cs="Times New Roman"/>
                <w:color w:val="auto"/>
                <w:spacing w:val="0"/>
                <w:kern w:val="0"/>
                <w:sz w:val="28"/>
                <w:szCs w:val="28"/>
                <w:u w:val="none" w:color="auto"/>
                <w:lang w:val="en-US" w:eastAsia="zh-CN"/>
              </w:rPr>
            </w:pPr>
            <w:r>
              <w:rPr>
                <w:rFonts w:hint="default" w:ascii="Times New Roman" w:hAnsi="Times New Roman" w:eastAsia="方正仿宋_GBK" w:cs="Times New Roman"/>
                <w:color w:val="auto"/>
                <w:spacing w:val="0"/>
                <w:kern w:val="0"/>
                <w:sz w:val="28"/>
                <w:szCs w:val="28"/>
                <w:u w:val="none" w:color="auto"/>
                <w:lang w:val="en-US" w:eastAsia="zh-CN"/>
              </w:rPr>
              <w:t>市消防救援大队</w:t>
            </w:r>
          </w:p>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K" w:cs="Times New Roman"/>
                <w:color w:val="auto"/>
                <w:spacing w:val="0"/>
                <w:kern w:val="0"/>
                <w:sz w:val="28"/>
                <w:szCs w:val="28"/>
                <w:u w:val="none" w:color="auto"/>
                <w:lang w:val="en-US" w:eastAsia="zh-CN"/>
              </w:rPr>
            </w:pPr>
            <w:r>
              <w:rPr>
                <w:rFonts w:hint="default" w:ascii="Times New Roman" w:hAnsi="Times New Roman" w:eastAsia="方正仿宋_GBK" w:cs="Times New Roman"/>
                <w:color w:val="auto"/>
                <w:spacing w:val="0"/>
                <w:kern w:val="0"/>
                <w:sz w:val="28"/>
                <w:szCs w:val="28"/>
                <w:u w:val="none" w:color="auto"/>
                <w:lang w:val="en-US" w:eastAsia="zh-CN"/>
              </w:rPr>
              <w:t>市公安局</w:t>
            </w:r>
          </w:p>
        </w:tc>
        <w:tc>
          <w:tcPr>
            <w:tcW w:w="2636" w:type="dxa"/>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K" w:cs="Times New Roman"/>
                <w:color w:val="auto"/>
                <w:spacing w:val="0"/>
                <w:kern w:val="0"/>
                <w:sz w:val="28"/>
                <w:szCs w:val="28"/>
                <w:u w:val="none" w:color="auto"/>
                <w:lang w:val="en-US" w:eastAsia="zh-CN"/>
              </w:rPr>
            </w:pPr>
            <w:r>
              <w:rPr>
                <w:rFonts w:hint="default" w:ascii="Times New Roman" w:hAnsi="Times New Roman" w:eastAsia="方正仿宋_GBK" w:cs="Times New Roman"/>
                <w:color w:val="auto"/>
                <w:spacing w:val="0"/>
                <w:kern w:val="0"/>
                <w:sz w:val="28"/>
                <w:szCs w:val="28"/>
                <w:u w:val="none" w:color="auto"/>
                <w:lang w:val="en-US" w:eastAsia="zh-CN"/>
              </w:rPr>
              <w:t>市市场监管局、市工信局、市商务局；各镇（区、街道）政府（管委会、办事处）组织落实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trPr>
        <w:tc>
          <w:tcPr>
            <w:tcW w:w="2179" w:type="dxa"/>
            <w:vMerge w:val="continue"/>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cs="Times New Roman"/>
                <w:color w:val="auto"/>
                <w:sz w:val="28"/>
                <w:szCs w:val="28"/>
                <w:u w:val="none" w:color="auto"/>
                <w:vertAlign w:val="baseline"/>
                <w:lang w:val="en-US" w:eastAsia="zh-CN"/>
              </w:rPr>
            </w:pPr>
          </w:p>
        </w:tc>
        <w:tc>
          <w:tcPr>
            <w:tcW w:w="6170" w:type="dxa"/>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K" w:cs="Times New Roman"/>
                <w:color w:val="auto"/>
                <w:spacing w:val="0"/>
                <w:kern w:val="0"/>
                <w:sz w:val="28"/>
                <w:szCs w:val="28"/>
                <w:u w:val="none" w:color="auto"/>
                <w:lang w:val="en-US" w:eastAsia="zh-CN"/>
              </w:rPr>
            </w:pPr>
            <w:r>
              <w:rPr>
                <w:rFonts w:hint="default" w:ascii="Times New Roman" w:hAnsi="Times New Roman" w:eastAsia="方正仿宋_GBK" w:cs="Times New Roman"/>
                <w:color w:val="auto"/>
                <w:spacing w:val="0"/>
                <w:kern w:val="0"/>
                <w:sz w:val="28"/>
                <w:szCs w:val="28"/>
                <w:u w:val="none" w:color="auto"/>
                <w:lang w:val="en-US" w:eastAsia="zh-CN"/>
              </w:rPr>
              <w:t>2</w:t>
            </w:r>
            <w:r>
              <w:rPr>
                <w:rFonts w:hint="eastAsia" w:ascii="Times New Roman" w:hAnsi="Times New Roman" w:eastAsia="方正仿宋_GBK" w:cs="Times New Roman"/>
                <w:color w:val="auto"/>
                <w:spacing w:val="0"/>
                <w:kern w:val="0"/>
                <w:sz w:val="28"/>
                <w:szCs w:val="28"/>
                <w:u w:val="none" w:color="auto"/>
                <w:lang w:val="en-US" w:eastAsia="zh-CN"/>
              </w:rPr>
              <w:t>5</w:t>
            </w:r>
            <w:r>
              <w:rPr>
                <w:rFonts w:hint="default" w:ascii="Times New Roman" w:hAnsi="Times New Roman" w:eastAsia="方正仿宋_GBK" w:cs="Times New Roman"/>
                <w:color w:val="auto"/>
                <w:spacing w:val="0"/>
                <w:kern w:val="0"/>
                <w:sz w:val="28"/>
                <w:szCs w:val="28"/>
                <w:u w:val="none" w:color="auto"/>
                <w:lang w:val="en-US" w:eastAsia="zh-CN"/>
              </w:rPr>
              <w:t>.加大联合惩戒力度。依法曝光违规生产、销售、回收、拼装改装的企业或个人，以及引发火灾事故的电动自行车、蓄电池品牌型号等。严重违法企业单位和责任人员依法列入相关严重失信主体名单。从严查处擅自拆开铅酸电池盖片加液等违法违规行为，严厉打击不按规定执行危险废物转移联单等违法行为。</w:t>
            </w:r>
          </w:p>
        </w:tc>
        <w:tc>
          <w:tcPr>
            <w:tcW w:w="2192" w:type="dxa"/>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K" w:cs="Times New Roman"/>
                <w:color w:val="auto"/>
                <w:spacing w:val="0"/>
                <w:kern w:val="0"/>
                <w:sz w:val="28"/>
                <w:szCs w:val="28"/>
                <w:u w:val="none" w:color="auto"/>
                <w:lang w:val="en-US" w:eastAsia="zh-CN"/>
              </w:rPr>
            </w:pPr>
          </w:p>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K" w:cs="Times New Roman"/>
                <w:color w:val="auto"/>
                <w:spacing w:val="0"/>
                <w:kern w:val="0"/>
                <w:sz w:val="28"/>
                <w:szCs w:val="28"/>
                <w:u w:val="none" w:color="auto"/>
                <w:lang w:val="en-US" w:eastAsia="zh-CN"/>
              </w:rPr>
            </w:pPr>
            <w:r>
              <w:rPr>
                <w:rFonts w:hint="default" w:ascii="Times New Roman" w:hAnsi="Times New Roman" w:eastAsia="方正仿宋_GBK" w:cs="Times New Roman"/>
                <w:color w:val="auto"/>
                <w:spacing w:val="0"/>
                <w:kern w:val="0"/>
                <w:sz w:val="28"/>
                <w:szCs w:val="28"/>
                <w:u w:val="none" w:color="auto"/>
                <w:lang w:val="en-US" w:eastAsia="zh-CN"/>
              </w:rPr>
              <w:t>市市场监管局</w:t>
            </w:r>
          </w:p>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K" w:cs="Times New Roman"/>
                <w:color w:val="auto"/>
                <w:spacing w:val="0"/>
                <w:kern w:val="0"/>
                <w:sz w:val="28"/>
                <w:szCs w:val="28"/>
                <w:u w:val="none" w:color="auto"/>
                <w:lang w:val="en-US" w:eastAsia="zh-CN"/>
              </w:rPr>
            </w:pPr>
            <w:r>
              <w:rPr>
                <w:rFonts w:hint="default" w:ascii="Times New Roman" w:hAnsi="Times New Roman" w:eastAsia="方正仿宋_GBK" w:cs="Times New Roman"/>
                <w:color w:val="auto"/>
                <w:spacing w:val="0"/>
                <w:kern w:val="0"/>
                <w:sz w:val="28"/>
                <w:szCs w:val="28"/>
                <w:u w:val="none" w:color="auto"/>
                <w:lang w:val="en-US" w:eastAsia="zh-CN"/>
              </w:rPr>
              <w:t>市消防救援大队</w:t>
            </w:r>
          </w:p>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K" w:cs="Times New Roman"/>
                <w:color w:val="auto"/>
                <w:spacing w:val="0"/>
                <w:kern w:val="0"/>
                <w:sz w:val="28"/>
                <w:szCs w:val="28"/>
                <w:u w:val="none" w:color="auto"/>
                <w:lang w:val="en-US" w:eastAsia="zh-CN"/>
              </w:rPr>
            </w:pPr>
            <w:r>
              <w:rPr>
                <w:rFonts w:hint="default" w:ascii="Times New Roman" w:hAnsi="Times New Roman" w:eastAsia="方正仿宋_GBK" w:cs="Times New Roman"/>
                <w:color w:val="auto"/>
                <w:spacing w:val="0"/>
                <w:kern w:val="0"/>
                <w:sz w:val="28"/>
                <w:szCs w:val="28"/>
                <w:u w:val="none" w:color="auto"/>
                <w:lang w:val="en-US" w:eastAsia="zh-CN"/>
              </w:rPr>
              <w:t>太仓生态环境局</w:t>
            </w:r>
          </w:p>
        </w:tc>
        <w:tc>
          <w:tcPr>
            <w:tcW w:w="2636" w:type="dxa"/>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K" w:cs="Times New Roman"/>
                <w:color w:val="auto"/>
                <w:spacing w:val="0"/>
                <w:kern w:val="0"/>
                <w:sz w:val="28"/>
                <w:szCs w:val="28"/>
                <w:u w:val="none" w:color="auto"/>
                <w:lang w:val="en-US" w:eastAsia="zh-CN"/>
              </w:rPr>
            </w:pPr>
            <w:r>
              <w:rPr>
                <w:rFonts w:hint="default" w:ascii="Times New Roman" w:hAnsi="Times New Roman" w:eastAsia="方正仿宋_GBK" w:cs="Times New Roman"/>
                <w:color w:val="auto"/>
                <w:spacing w:val="0"/>
                <w:kern w:val="0"/>
                <w:sz w:val="28"/>
                <w:szCs w:val="28"/>
                <w:u w:val="none" w:color="auto"/>
                <w:lang w:val="en-US" w:eastAsia="zh-CN"/>
              </w:rPr>
              <w:t>市工信局、市公安局；各镇（区、街道）政府（管委会、办事处）组织落实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trPr>
        <w:tc>
          <w:tcPr>
            <w:tcW w:w="2179" w:type="dxa"/>
            <w:vMerge w:val="continue"/>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cs="Times New Roman"/>
                <w:color w:val="auto"/>
                <w:sz w:val="28"/>
                <w:szCs w:val="28"/>
                <w:u w:val="none" w:color="auto"/>
                <w:vertAlign w:val="baseline"/>
                <w:lang w:val="en-US" w:eastAsia="zh-CN"/>
              </w:rPr>
            </w:pPr>
          </w:p>
        </w:tc>
        <w:tc>
          <w:tcPr>
            <w:tcW w:w="6170" w:type="dxa"/>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K" w:cs="Times New Roman"/>
                <w:color w:val="auto"/>
                <w:spacing w:val="0"/>
                <w:kern w:val="0"/>
                <w:sz w:val="28"/>
                <w:szCs w:val="28"/>
                <w:u w:val="none" w:color="auto"/>
                <w:lang w:val="en-US" w:eastAsia="zh-CN"/>
              </w:rPr>
            </w:pPr>
            <w:r>
              <w:rPr>
                <w:rFonts w:hint="default" w:ascii="Times New Roman" w:hAnsi="Times New Roman" w:eastAsia="方正仿宋_GBK" w:cs="Times New Roman"/>
                <w:color w:val="auto"/>
                <w:spacing w:val="0"/>
                <w:kern w:val="0"/>
                <w:sz w:val="28"/>
                <w:szCs w:val="28"/>
                <w:u w:val="none" w:color="auto"/>
                <w:lang w:val="en-US" w:eastAsia="zh-CN"/>
              </w:rPr>
              <w:t>2</w:t>
            </w:r>
            <w:r>
              <w:rPr>
                <w:rFonts w:hint="eastAsia" w:ascii="Times New Roman" w:hAnsi="Times New Roman" w:eastAsia="方正仿宋_GBK" w:cs="Times New Roman"/>
                <w:color w:val="auto"/>
                <w:spacing w:val="0"/>
                <w:kern w:val="0"/>
                <w:sz w:val="28"/>
                <w:szCs w:val="28"/>
                <w:u w:val="none" w:color="auto"/>
                <w:lang w:val="en-US" w:eastAsia="zh-CN"/>
              </w:rPr>
              <w:t>6</w:t>
            </w:r>
            <w:r>
              <w:rPr>
                <w:rFonts w:hint="default" w:ascii="Times New Roman" w:hAnsi="Times New Roman" w:eastAsia="方正仿宋_GBK" w:cs="Times New Roman"/>
                <w:color w:val="auto"/>
                <w:spacing w:val="0"/>
                <w:kern w:val="0"/>
                <w:sz w:val="28"/>
                <w:szCs w:val="28"/>
                <w:u w:val="none" w:color="auto"/>
                <w:lang w:val="en-US" w:eastAsia="zh-CN"/>
              </w:rPr>
              <w:t>.提升齐抓共管合力。按照“三管三必须”要求，推进学校、民政服务机构、建筑工地、车站地铁、商业综合体、文化旅游场所、医疗卫生机构电动自行车停放充电场所建设，排查整治违规停放充电行为，定期开展疏散演练。将电动自行车消防安全纳入网格化管理，督促开展消防安全巡查检查，定期排查停放场所消防安全隐患。</w:t>
            </w:r>
          </w:p>
        </w:tc>
        <w:tc>
          <w:tcPr>
            <w:tcW w:w="2192" w:type="dxa"/>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K" w:cs="Times New Roman"/>
                <w:color w:val="auto"/>
                <w:spacing w:val="0"/>
                <w:kern w:val="0"/>
                <w:sz w:val="28"/>
                <w:szCs w:val="28"/>
                <w:u w:val="none" w:color="auto"/>
                <w:lang w:val="en-US" w:eastAsia="zh-CN"/>
              </w:rPr>
            </w:pPr>
            <w:r>
              <w:rPr>
                <w:rFonts w:hint="default" w:ascii="Times New Roman" w:hAnsi="Times New Roman" w:eastAsia="方正仿宋_GBK" w:cs="Times New Roman"/>
                <w:color w:val="auto"/>
                <w:spacing w:val="0"/>
                <w:kern w:val="0"/>
                <w:sz w:val="28"/>
                <w:szCs w:val="28"/>
                <w:u w:val="none" w:color="auto"/>
                <w:lang w:val="en-US" w:eastAsia="zh-CN"/>
              </w:rPr>
              <w:t>各行业主管部门</w:t>
            </w:r>
          </w:p>
        </w:tc>
        <w:tc>
          <w:tcPr>
            <w:tcW w:w="2636" w:type="dxa"/>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K" w:cs="Times New Roman"/>
                <w:color w:val="auto"/>
                <w:spacing w:val="0"/>
                <w:kern w:val="0"/>
                <w:sz w:val="28"/>
                <w:szCs w:val="28"/>
                <w:u w:val="none" w:color="auto"/>
                <w:lang w:val="en-US" w:eastAsia="zh-CN"/>
              </w:rPr>
            </w:pPr>
            <w:r>
              <w:rPr>
                <w:rFonts w:hint="default" w:ascii="Times New Roman" w:hAnsi="Times New Roman" w:eastAsia="方正仿宋_GBK" w:cs="Times New Roman"/>
                <w:color w:val="auto"/>
                <w:spacing w:val="0"/>
                <w:kern w:val="0"/>
                <w:sz w:val="28"/>
                <w:szCs w:val="28"/>
                <w:u w:val="none" w:color="auto"/>
                <w:lang w:val="en-US" w:eastAsia="zh-CN"/>
              </w:rPr>
              <w:t>各镇（区、街道）政府（管委会、办事处）组织落实</w:t>
            </w:r>
          </w:p>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K" w:cs="Times New Roman"/>
                <w:color w:val="auto"/>
                <w:spacing w:val="0"/>
                <w:kern w:val="0"/>
                <w:sz w:val="28"/>
                <w:szCs w:val="28"/>
                <w:u w:val="none" w:color="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trPr>
        <w:tc>
          <w:tcPr>
            <w:tcW w:w="2179" w:type="dxa"/>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cs="Times New Roman"/>
                <w:color w:val="auto"/>
                <w:sz w:val="28"/>
                <w:szCs w:val="28"/>
                <w:u w:val="none" w:color="auto"/>
                <w:vertAlign w:val="baseline"/>
                <w:lang w:val="en-US" w:eastAsia="zh-CN"/>
              </w:rPr>
            </w:pPr>
            <w:r>
              <w:rPr>
                <w:rFonts w:hint="default" w:ascii="Times New Roman" w:hAnsi="Times New Roman" w:eastAsia="仿宋_GB2312" w:cs="Times New Roman"/>
                <w:color w:val="auto"/>
                <w:sz w:val="28"/>
                <w:szCs w:val="28"/>
                <w:u w:val="none" w:color="auto"/>
                <w:vertAlign w:val="baseline"/>
                <w:lang w:val="en-US" w:eastAsia="zh-CN"/>
              </w:rPr>
              <w:t>七、加强安全宣传教育</w:t>
            </w:r>
          </w:p>
        </w:tc>
        <w:tc>
          <w:tcPr>
            <w:tcW w:w="6170" w:type="dxa"/>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K" w:cs="Times New Roman"/>
                <w:color w:val="auto"/>
                <w:spacing w:val="0"/>
                <w:kern w:val="0"/>
                <w:sz w:val="28"/>
                <w:szCs w:val="28"/>
                <w:u w:val="none" w:color="auto"/>
                <w:lang w:val="en-US" w:eastAsia="zh-CN"/>
              </w:rPr>
            </w:pPr>
            <w:r>
              <w:rPr>
                <w:rFonts w:hint="default" w:ascii="Times New Roman" w:hAnsi="Times New Roman" w:eastAsia="方正仿宋_GBK" w:cs="Times New Roman"/>
                <w:color w:val="auto"/>
                <w:spacing w:val="0"/>
                <w:kern w:val="0"/>
                <w:sz w:val="28"/>
                <w:szCs w:val="28"/>
                <w:u w:val="none" w:color="auto"/>
                <w:lang w:val="en-US" w:eastAsia="zh-CN"/>
              </w:rPr>
              <w:t>2</w:t>
            </w:r>
            <w:r>
              <w:rPr>
                <w:rFonts w:hint="eastAsia" w:ascii="Times New Roman" w:hAnsi="Times New Roman" w:eastAsia="方正仿宋_GBK" w:cs="Times New Roman"/>
                <w:color w:val="auto"/>
                <w:spacing w:val="0"/>
                <w:kern w:val="0"/>
                <w:sz w:val="28"/>
                <w:szCs w:val="28"/>
                <w:u w:val="none" w:color="auto"/>
                <w:lang w:val="en-US" w:eastAsia="zh-CN"/>
              </w:rPr>
              <w:t>7</w:t>
            </w:r>
            <w:r>
              <w:rPr>
                <w:rFonts w:hint="default" w:ascii="Times New Roman" w:hAnsi="Times New Roman" w:eastAsia="方正仿宋_GBK" w:cs="Times New Roman"/>
                <w:color w:val="auto"/>
                <w:spacing w:val="0"/>
                <w:kern w:val="0"/>
                <w:sz w:val="28"/>
                <w:szCs w:val="28"/>
                <w:u w:val="none" w:color="auto"/>
                <w:lang w:val="en-US" w:eastAsia="zh-CN"/>
              </w:rPr>
              <w:t>.开展警示宣传教育。加强电动自行车停放充电和事故防范知识宣传教育，在电梯、楼道入口等处播放张贴安全提示。学校将电动自行车交通安全和消防安全教育纳入法治宣传内容，发挥“小手拉大手”宣传作用。报纸、广播、电视及相关新媒体平台开展安全公益宣传。鼓励群众举报电动自行车安全隐患和违法线索，强化社会监督。</w:t>
            </w:r>
          </w:p>
        </w:tc>
        <w:tc>
          <w:tcPr>
            <w:tcW w:w="2192" w:type="dxa"/>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K" w:cs="Times New Roman"/>
                <w:color w:val="auto"/>
                <w:spacing w:val="0"/>
                <w:kern w:val="0"/>
                <w:sz w:val="28"/>
                <w:szCs w:val="28"/>
                <w:u w:val="none" w:color="auto"/>
                <w:lang w:val="en-US" w:eastAsia="zh-CN"/>
              </w:rPr>
            </w:pPr>
            <w:r>
              <w:rPr>
                <w:rFonts w:hint="default" w:ascii="Times New Roman" w:hAnsi="Times New Roman" w:eastAsia="方正仿宋_GBK" w:cs="Times New Roman"/>
                <w:color w:val="auto"/>
                <w:spacing w:val="0"/>
                <w:kern w:val="0"/>
                <w:sz w:val="28"/>
                <w:szCs w:val="28"/>
                <w:u w:val="none" w:color="auto"/>
                <w:lang w:val="en-US" w:eastAsia="zh-CN"/>
              </w:rPr>
              <w:t>市委宣传部</w:t>
            </w:r>
          </w:p>
        </w:tc>
        <w:tc>
          <w:tcPr>
            <w:tcW w:w="2636" w:type="dxa"/>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K" w:cs="Times New Roman"/>
                <w:color w:val="auto"/>
                <w:spacing w:val="0"/>
                <w:kern w:val="0"/>
                <w:sz w:val="28"/>
                <w:szCs w:val="28"/>
                <w:u w:val="none" w:color="auto"/>
                <w:lang w:val="en-US" w:eastAsia="zh-CN"/>
              </w:rPr>
            </w:pPr>
            <w:r>
              <w:rPr>
                <w:rFonts w:hint="default" w:ascii="Times New Roman" w:hAnsi="Times New Roman" w:eastAsia="方正仿宋_GBK" w:cs="Times New Roman"/>
                <w:color w:val="auto"/>
                <w:spacing w:val="0"/>
                <w:kern w:val="0"/>
                <w:sz w:val="28"/>
                <w:szCs w:val="28"/>
                <w:u w:val="none" w:color="auto"/>
                <w:lang w:val="en-US" w:eastAsia="zh-CN"/>
              </w:rPr>
              <w:t>各行业主管部门；各镇（区、街道）政府（管委会、办事处）组织落实</w:t>
            </w:r>
          </w:p>
        </w:tc>
      </w:tr>
    </w:tbl>
    <w:p>
      <w:pPr>
        <w:keepNext w:val="0"/>
        <w:keepLines w:val="0"/>
        <w:pageBreakBefore w:val="0"/>
        <w:widowControl w:val="0"/>
        <w:kinsoku/>
        <w:wordWrap w:val="0"/>
        <w:overflowPunct/>
        <w:topLinePunct w:val="0"/>
        <w:autoSpaceDE/>
        <w:autoSpaceDN/>
        <w:bidi w:val="0"/>
        <w:adjustRightInd/>
        <w:snapToGrid/>
        <w:spacing w:line="580" w:lineRule="exact"/>
        <w:textAlignment w:val="auto"/>
        <w:rPr>
          <w:rFonts w:hint="default" w:ascii="Times New Roman" w:hAnsi="Times New Roman" w:eastAsia="方正仿宋_GBK" w:cs="Times New Roman"/>
          <w:color w:val="auto"/>
          <w:kern w:val="0"/>
          <w:sz w:val="32"/>
          <w:szCs w:val="32"/>
          <w:u w:val="none" w:color="auto"/>
          <w:lang w:val="en-US" w:eastAsia="zh-CN"/>
        </w:rPr>
      </w:pPr>
    </w:p>
    <w:sectPr>
      <w:footerReference r:id="rId4" w:type="default"/>
      <w:pgSz w:w="16838" w:h="11906" w:orient="landscape"/>
      <w:pgMar w:top="1587" w:right="2098" w:bottom="1474" w:left="1984"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20C291D-AAC6-410B-BAA0-1DF3FA13784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embedRegular r:id="rId2" w:fontKey="{31275504-A472-477E-8B45-38391E61D818}"/>
  </w:font>
  <w:font w:name="仿宋_GB2312">
    <w:panose1 w:val="02010609030101010101"/>
    <w:charset w:val="86"/>
    <w:family w:val="auto"/>
    <w:pitch w:val="default"/>
    <w:sig w:usb0="00000001" w:usb1="080E0000" w:usb2="00000000" w:usb3="00000000" w:csb0="00040000" w:csb1="00000000"/>
    <w:embedRegular r:id="rId3" w:fontKey="{044008DF-F754-4682-88BC-7E2B1444E2DF}"/>
  </w:font>
  <w:font w:name="方正小标宋_GBK">
    <w:altName w:val="Arial Unicode MS"/>
    <w:panose1 w:val="02000000000000000000"/>
    <w:charset w:val="86"/>
    <w:family w:val="script"/>
    <w:pitch w:val="default"/>
    <w:sig w:usb0="00000000" w:usb1="00000000" w:usb2="00082016" w:usb3="00000000" w:csb0="00040001" w:csb1="00000000"/>
  </w:font>
  <w:font w:name="方正小标宋简体">
    <w:panose1 w:val="02010601030101010101"/>
    <w:charset w:val="86"/>
    <w:family w:val="auto"/>
    <w:pitch w:val="default"/>
    <w:sig w:usb0="00000001" w:usb1="080E0000" w:usb2="00000000" w:usb3="00000000" w:csb0="00040000" w:csb1="00000000"/>
  </w:font>
  <w:font w:name="方正仿宋_GBK">
    <w:panose1 w:val="02000000000000000000"/>
    <w:charset w:val="86"/>
    <w:family w:val="auto"/>
    <w:pitch w:val="default"/>
    <w:sig w:usb0="A00002BF" w:usb1="38CF7CFA" w:usb2="00082016" w:usb3="00000000" w:csb0="00040001" w:csb1="00000000"/>
    <w:embedRegular r:id="rId4" w:fontKey="{65AF1834-2771-458C-8A2F-8959480C937C}"/>
  </w:font>
  <w:font w:name="楷体_GB2312">
    <w:panose1 w:val="02010609030101010101"/>
    <w:charset w:val="86"/>
    <w:family w:val="auto"/>
    <w:pitch w:val="default"/>
    <w:sig w:usb0="00000001" w:usb1="080E0000" w:usb2="00000000" w:usb3="00000000" w:csb0="00040000" w:csb1="00000000"/>
    <w:embedRegular r:id="rId5" w:fontKey="{B80DB8E8-F93E-44A5-BC0F-1F82590BA317}"/>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- 1 -</w:t>
                          </w:r>
                          <w:r>
                            <w:rPr>
                              <w:rFonts w:hint="default" w:ascii="Times New Roman" w:hAnsi="Times New Roman" w:cs="Times New Roman"/>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8"/>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- 1 -</w:t>
                    </w:r>
                    <w:r>
                      <w:rPr>
                        <w:rFonts w:hint="default" w:ascii="Times New Roman" w:hAnsi="Times New Roman" w:cs="Times New Roman"/>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Y4ZWE4MTJiYjkzYWIzN2MxNzVhMGMxM2U1NGFlYzIifQ=="/>
  </w:docVars>
  <w:rsids>
    <w:rsidRoot w:val="02F23178"/>
    <w:rsid w:val="02F23178"/>
    <w:rsid w:val="035E4919"/>
    <w:rsid w:val="03B03F9C"/>
    <w:rsid w:val="04756378"/>
    <w:rsid w:val="086329D2"/>
    <w:rsid w:val="093E3544"/>
    <w:rsid w:val="0CA446F4"/>
    <w:rsid w:val="0CB41BB0"/>
    <w:rsid w:val="0F4D17A2"/>
    <w:rsid w:val="11266BAE"/>
    <w:rsid w:val="11792ACD"/>
    <w:rsid w:val="1C6012AB"/>
    <w:rsid w:val="1C8C20A0"/>
    <w:rsid w:val="1DCF263E"/>
    <w:rsid w:val="1E881F92"/>
    <w:rsid w:val="21380A48"/>
    <w:rsid w:val="234A4F5E"/>
    <w:rsid w:val="25092615"/>
    <w:rsid w:val="257C4BCC"/>
    <w:rsid w:val="26937D26"/>
    <w:rsid w:val="26B15034"/>
    <w:rsid w:val="287A1946"/>
    <w:rsid w:val="299C674A"/>
    <w:rsid w:val="2A9D5047"/>
    <w:rsid w:val="2BAC62BA"/>
    <w:rsid w:val="2E552C39"/>
    <w:rsid w:val="2F6170C9"/>
    <w:rsid w:val="307B0A72"/>
    <w:rsid w:val="31A31F0E"/>
    <w:rsid w:val="3216607C"/>
    <w:rsid w:val="32B332E4"/>
    <w:rsid w:val="334272BF"/>
    <w:rsid w:val="33F46A50"/>
    <w:rsid w:val="34684D49"/>
    <w:rsid w:val="38D852AC"/>
    <w:rsid w:val="39BB0085"/>
    <w:rsid w:val="3FE83992"/>
    <w:rsid w:val="44D16614"/>
    <w:rsid w:val="458C0CD2"/>
    <w:rsid w:val="462A08FB"/>
    <w:rsid w:val="47BC11DC"/>
    <w:rsid w:val="490C7C7C"/>
    <w:rsid w:val="4C433C79"/>
    <w:rsid w:val="4C4C5224"/>
    <w:rsid w:val="4FE37C4D"/>
    <w:rsid w:val="505748ED"/>
    <w:rsid w:val="51A177A0"/>
    <w:rsid w:val="538708F0"/>
    <w:rsid w:val="53BC2A6A"/>
    <w:rsid w:val="53FB308C"/>
    <w:rsid w:val="54D10433"/>
    <w:rsid w:val="560A08BB"/>
    <w:rsid w:val="572172AD"/>
    <w:rsid w:val="583A4827"/>
    <w:rsid w:val="590E560F"/>
    <w:rsid w:val="5E050C8B"/>
    <w:rsid w:val="61812E22"/>
    <w:rsid w:val="73F83136"/>
    <w:rsid w:val="768A4C9E"/>
    <w:rsid w:val="77E15098"/>
    <w:rsid w:val="78766D50"/>
    <w:rsid w:val="79023F31"/>
    <w:rsid w:val="7B865AB3"/>
    <w:rsid w:val="7BFD13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Lines="0" w:beforeAutospacing="0" w:afterLines="0" w:afterAutospacing="0" w:line="580" w:lineRule="exact"/>
      <w:ind w:firstLine="880" w:firstLineChars="200"/>
      <w:outlineLvl w:val="0"/>
    </w:pPr>
    <w:rPr>
      <w:rFonts w:eastAsia="黑体" w:asciiTheme="minorAscii" w:hAnsiTheme="minorAscii"/>
      <w:kern w:val="44"/>
      <w:sz w:val="32"/>
    </w:rPr>
  </w:style>
  <w:style w:type="paragraph" w:styleId="4">
    <w:name w:val="heading 2"/>
    <w:basedOn w:val="1"/>
    <w:next w:val="1"/>
    <w:link w:val="16"/>
    <w:unhideWhenUsed/>
    <w:qFormat/>
    <w:uiPriority w:val="0"/>
    <w:pPr>
      <w:keepNext/>
      <w:keepLines/>
      <w:spacing w:beforeLines="0" w:beforeAutospacing="0" w:afterLines="0" w:afterAutospacing="0" w:line="580" w:lineRule="exact"/>
      <w:ind w:firstLine="880" w:firstLineChars="200"/>
      <w:outlineLvl w:val="1"/>
    </w:pPr>
    <w:rPr>
      <w:rFonts w:ascii="Arial" w:hAnsi="Arial" w:eastAsia="楷体"/>
      <w:sz w:val="32"/>
    </w:rPr>
  </w:style>
  <w:style w:type="paragraph" w:styleId="5">
    <w:name w:val="heading 3"/>
    <w:basedOn w:val="1"/>
    <w:next w:val="1"/>
    <w:link w:val="17"/>
    <w:semiHidden/>
    <w:unhideWhenUsed/>
    <w:qFormat/>
    <w:uiPriority w:val="0"/>
    <w:pPr>
      <w:keepNext/>
      <w:keepLines/>
      <w:spacing w:beforeLines="0" w:beforeAutospacing="0" w:afterLines="0" w:afterAutospacing="0" w:line="580" w:lineRule="exact"/>
      <w:ind w:firstLine="880" w:firstLineChars="200"/>
      <w:outlineLvl w:val="2"/>
    </w:pPr>
    <w:rPr>
      <w:rFonts w:eastAsia="仿宋_GB2312" w:asciiTheme="minorAscii" w:hAnsiTheme="minorAscii"/>
      <w:b/>
      <w:sz w:val="32"/>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customStyle="1" w:styleId="2">
    <w:name w:val="段"/>
    <w:next w:val="1"/>
    <w:qFormat/>
    <w:uiPriority w:val="0"/>
    <w:pPr>
      <w:autoSpaceDE w:val="0"/>
      <w:autoSpaceDN w:val="0"/>
      <w:ind w:firstLine="200"/>
      <w:jc w:val="both"/>
    </w:pPr>
    <w:rPr>
      <w:rFonts w:ascii="宋体" w:hAnsi="Calibri" w:eastAsia="宋体" w:cs="Times New Roman"/>
      <w:sz w:val="21"/>
      <w:szCs w:val="22"/>
      <w:lang w:val="en-US" w:eastAsia="zh-CN" w:bidi="ar-SA"/>
    </w:rPr>
  </w:style>
  <w:style w:type="paragraph" w:styleId="6">
    <w:name w:val="Body Text"/>
    <w:basedOn w:val="1"/>
    <w:next w:val="7"/>
    <w:qFormat/>
    <w:uiPriority w:val="0"/>
    <w:pPr>
      <w:spacing w:after="120" w:afterLines="0" w:afterAutospacing="0"/>
    </w:pPr>
    <w:rPr>
      <w:rFonts w:ascii="Calibri" w:hAnsi="Calibri"/>
    </w:rPr>
  </w:style>
  <w:style w:type="paragraph" w:styleId="7">
    <w:name w:val="Body Text First Indent"/>
    <w:basedOn w:val="6"/>
    <w:next w:val="1"/>
    <w:qFormat/>
    <w:uiPriority w:val="0"/>
    <w:pPr>
      <w:spacing w:after="0" w:line="500" w:lineRule="exact"/>
      <w:ind w:firstLine="420"/>
      <w:jc w:val="center"/>
    </w:pPr>
    <w:rPr>
      <w:sz w:val="28"/>
      <w:szCs w:val="28"/>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 w:type="character" w:styleId="15">
    <w:name w:val="Hyperlink"/>
    <w:basedOn w:val="13"/>
    <w:qFormat/>
    <w:uiPriority w:val="0"/>
    <w:rPr>
      <w:color w:val="0000FF"/>
      <w:u w:val="single"/>
    </w:rPr>
  </w:style>
  <w:style w:type="character" w:customStyle="1" w:styleId="16">
    <w:name w:val="标题 2 Char"/>
    <w:link w:val="4"/>
    <w:qFormat/>
    <w:uiPriority w:val="0"/>
    <w:rPr>
      <w:rFonts w:ascii="Arial" w:hAnsi="Arial" w:eastAsia="楷体"/>
      <w:sz w:val="32"/>
    </w:rPr>
  </w:style>
  <w:style w:type="character" w:customStyle="1" w:styleId="17">
    <w:name w:val="标题 3 Char"/>
    <w:link w:val="5"/>
    <w:qFormat/>
    <w:uiPriority w:val="0"/>
    <w:rPr>
      <w:rFonts w:eastAsia="仿宋_GB2312" w:asciiTheme="minorAscii" w:hAnsiTheme="minorAscii"/>
      <w:b/>
      <w:sz w:val="32"/>
    </w:rPr>
  </w:style>
  <w:style w:type="paragraph" w:customStyle="1" w:styleId="18">
    <w:name w:val="Default"/>
    <w:next w:val="1"/>
    <w:qFormat/>
    <w:uiPriority w:val="0"/>
    <w:pPr>
      <w:widowControl w:val="0"/>
      <w:autoSpaceDE w:val="0"/>
      <w:autoSpaceDN w:val="0"/>
      <w:adjustRightInd w:val="0"/>
    </w:pPr>
    <w:rPr>
      <w:rFonts w:hint="eastAsia" w:ascii="方正小标宋_GBK" w:hAnsi="方正小标宋_GBK" w:eastAsia="方正小标宋_GBK" w:cs="Times New Roman"/>
      <w:color w:val="000000"/>
      <w:sz w:val="24"/>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12513</Words>
  <Characters>12782</Characters>
  <Lines>0</Lines>
  <Paragraphs>0</Paragraphs>
  <TotalTime>19</TotalTime>
  <ScaleCrop>false</ScaleCrop>
  <LinksUpToDate>false</LinksUpToDate>
  <CharactersWithSpaces>12784</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2024-03-22T01:16:00Z</dcterms:created>
  <dc:creator>孙英胜</dc:creator>
  <cp:lastModifiedBy>晓荷</cp:lastModifiedBy>
  <cp:lastPrinted>2024-03-29T02:52:00Z</cp:lastPrinted>
  <dcterms:modified xsi:type="dcterms:W3CDTF">2024-06-05T02:49:02Z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8E2AA18345474A1FB5ADEDB3A170B69B_13</vt:lpwstr>
  </property>
</Properties>
</file>