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454EE5">
      <w:pPr>
        <w:widowControl/>
        <w:shd w:val="clear" w:color="auto" w:fill="FFFFFF"/>
        <w:spacing w:line="560" w:lineRule="exact"/>
        <w:jc w:val="center"/>
        <w:rPr>
          <w:rFonts w:ascii="方正小标宋简体" w:hAnsi="方正小标宋简体" w:eastAsia="方正小标宋简体" w:cs="方正小标宋简体"/>
          <w:b/>
          <w:bCs/>
          <w:color w:val="333333"/>
          <w:kern w:val="0"/>
          <w:sz w:val="44"/>
          <w:szCs w:val="44"/>
          <w:shd w:val="clear" w:color="auto" w:fill="FFFFFF"/>
          <w:lang w:bidi="ar"/>
        </w:rPr>
      </w:pPr>
    </w:p>
    <w:p w14:paraId="37AFE21E">
      <w:pPr>
        <w:widowControl/>
        <w:shd w:val="clear" w:color="auto" w:fill="FFFFFF"/>
        <w:spacing w:line="560" w:lineRule="exact"/>
        <w:jc w:val="center"/>
        <w:rPr>
          <w:rFonts w:ascii="方正小标宋简体" w:hAnsi="方正小标宋简体" w:eastAsia="方正小标宋简体" w:cs="方正小标宋简体"/>
          <w:b/>
          <w:bCs/>
          <w:color w:val="333333"/>
          <w:kern w:val="0"/>
          <w:sz w:val="44"/>
          <w:szCs w:val="44"/>
          <w:shd w:val="clear" w:color="auto" w:fill="FFFFFF"/>
          <w:lang w:bidi="ar"/>
        </w:rPr>
      </w:pPr>
      <w:r>
        <w:rPr>
          <w:rFonts w:hint="eastAsia" w:ascii="方正小标宋简体" w:hAnsi="方正小标宋简体" w:eastAsia="方正小标宋简体" w:cs="方正小标宋简体"/>
          <w:b/>
          <w:bCs/>
          <w:color w:val="333333"/>
          <w:kern w:val="0"/>
          <w:sz w:val="44"/>
          <w:szCs w:val="44"/>
          <w:shd w:val="clear" w:color="auto" w:fill="FFFFFF"/>
          <w:lang w:bidi="ar"/>
        </w:rPr>
        <w:t>太仓市应急管理局安全生产行政执法</w:t>
      </w:r>
    </w:p>
    <w:p w14:paraId="1089B27B">
      <w:pPr>
        <w:widowControl/>
        <w:shd w:val="clear" w:color="auto" w:fill="FFFFFF"/>
        <w:spacing w:line="560" w:lineRule="exact"/>
        <w:jc w:val="center"/>
        <w:rPr>
          <w:rFonts w:ascii="方正小标宋简体" w:hAnsi="方正小标宋简体" w:eastAsia="方正小标宋简体" w:cs="方正小标宋简体"/>
          <w:color w:val="333333"/>
          <w:sz w:val="44"/>
          <w:szCs w:val="44"/>
        </w:rPr>
      </w:pPr>
      <w:r>
        <w:rPr>
          <w:rFonts w:hint="eastAsia" w:ascii="方正小标宋简体" w:hAnsi="方正小标宋简体" w:eastAsia="方正小标宋简体" w:cs="方正小标宋简体"/>
          <w:b/>
          <w:bCs/>
          <w:color w:val="333333"/>
          <w:kern w:val="0"/>
          <w:sz w:val="44"/>
          <w:szCs w:val="44"/>
          <w:shd w:val="clear" w:color="auto" w:fill="FFFFFF"/>
          <w:lang w:bidi="ar"/>
        </w:rPr>
        <w:t>事前公示信息清单</w:t>
      </w:r>
    </w:p>
    <w:p w14:paraId="76A07871">
      <w:pPr>
        <w:widowControl/>
        <w:shd w:val="clear" w:color="auto" w:fill="FFFFFF"/>
        <w:spacing w:line="560" w:lineRule="exact"/>
        <w:ind w:firstLine="640"/>
        <w:jc w:val="center"/>
        <w:rPr>
          <w:rFonts w:ascii="方正小标宋简体" w:hAnsi="方正小标宋简体" w:eastAsia="方正小标宋简体" w:cs="方正小标宋简体"/>
          <w:color w:val="333333"/>
          <w:sz w:val="44"/>
          <w:szCs w:val="44"/>
        </w:rPr>
      </w:pPr>
      <w:r>
        <w:rPr>
          <w:rFonts w:hint="eastAsia" w:ascii="方正小标宋简体" w:hAnsi="方正小标宋简体" w:eastAsia="方正小标宋简体" w:cs="方正小标宋简体"/>
          <w:color w:val="333333"/>
          <w:kern w:val="0"/>
          <w:sz w:val="44"/>
          <w:szCs w:val="44"/>
          <w:shd w:val="clear" w:color="auto" w:fill="FFFFFF"/>
          <w:lang w:bidi="ar"/>
        </w:rPr>
        <w:t> </w:t>
      </w:r>
    </w:p>
    <w:p w14:paraId="1EB43374">
      <w:pPr>
        <w:widowControl/>
        <w:shd w:val="clear" w:color="auto" w:fill="FFFFFF"/>
        <w:spacing w:line="560" w:lineRule="exact"/>
        <w:ind w:firstLine="643"/>
        <w:rPr>
          <w:rFonts w:ascii="黑体" w:hAnsi="黑体" w:eastAsia="黑体" w:cs="黑体"/>
          <w:color w:val="333333"/>
          <w:sz w:val="32"/>
          <w:szCs w:val="32"/>
        </w:rPr>
      </w:pPr>
      <w:r>
        <w:rPr>
          <w:rFonts w:hint="eastAsia" w:ascii="黑体" w:hAnsi="黑体" w:eastAsia="黑体" w:cs="黑体"/>
          <w:color w:val="333333"/>
          <w:kern w:val="0"/>
          <w:sz w:val="32"/>
          <w:szCs w:val="32"/>
          <w:shd w:val="clear" w:color="auto" w:fill="FFFFFF"/>
          <w:lang w:bidi="ar"/>
        </w:rPr>
        <w:t>一、行政执法主体</w:t>
      </w:r>
    </w:p>
    <w:p w14:paraId="03C7AAAD">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太仓市应急管理局</w:t>
      </w:r>
    </w:p>
    <w:p w14:paraId="1AAB511D">
      <w:pPr>
        <w:widowControl/>
        <w:shd w:val="clear" w:color="auto" w:fill="FFFFFF"/>
        <w:spacing w:line="560" w:lineRule="exact"/>
        <w:ind w:firstLine="643"/>
        <w:rPr>
          <w:rFonts w:ascii="黑体" w:hAnsi="黑体" w:eastAsia="黑体" w:cs="黑体"/>
          <w:color w:val="333333"/>
          <w:kern w:val="0"/>
          <w:sz w:val="32"/>
          <w:szCs w:val="32"/>
          <w:shd w:val="clear" w:color="auto" w:fill="FFFFFF"/>
          <w:lang w:bidi="ar"/>
        </w:rPr>
      </w:pPr>
      <w:r>
        <w:rPr>
          <w:rFonts w:hint="eastAsia" w:ascii="黑体" w:hAnsi="黑体" w:eastAsia="黑体" w:cs="黑体"/>
          <w:color w:val="333333"/>
          <w:kern w:val="0"/>
          <w:sz w:val="32"/>
          <w:szCs w:val="32"/>
          <w:shd w:val="clear" w:color="auto" w:fill="FFFFFF"/>
          <w:lang w:bidi="ar"/>
        </w:rPr>
        <w:t>二、主要从事行政执法工作的人员</w:t>
      </w:r>
    </w:p>
    <w:p w14:paraId="7F92C70D">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田普仁、黄懿铭、徐敏、韩佩舟、钟亚华、褚珺豪、姜天阳、姜允峰、吴国辉、纵帅、魏超然、许高峰、邱志刚、高顺、李金明、李志平、朱伟杰、戚晓兵</w:t>
      </w:r>
      <w:r>
        <w:rPr>
          <w:rFonts w:ascii="仿宋_GB2312" w:hAnsi="仿宋_GB2312" w:eastAsia="仿宋_GB2312" w:cs="仿宋_GB2312"/>
          <w:color w:val="333333"/>
          <w:sz w:val="32"/>
          <w:szCs w:val="32"/>
        </w:rPr>
        <w:t>、</w:t>
      </w:r>
      <w:r>
        <w:rPr>
          <w:rFonts w:hint="eastAsia" w:ascii="仿宋_GB2312" w:hAnsi="仿宋_GB2312" w:eastAsia="仿宋_GB2312" w:cs="仿宋_GB2312"/>
          <w:color w:val="333333"/>
          <w:sz w:val="32"/>
          <w:szCs w:val="32"/>
        </w:rPr>
        <w:t>王少峰</w:t>
      </w:r>
      <w:r>
        <w:rPr>
          <w:rFonts w:ascii="仿宋_GB2312" w:hAnsi="仿宋_GB2312" w:eastAsia="仿宋_GB2312" w:cs="仿宋_GB2312"/>
          <w:color w:val="333333"/>
          <w:sz w:val="32"/>
          <w:szCs w:val="32"/>
        </w:rPr>
        <w:t>、</w:t>
      </w:r>
      <w:r>
        <w:rPr>
          <w:rFonts w:hint="eastAsia" w:ascii="仿宋_GB2312" w:hAnsi="仿宋_GB2312" w:eastAsia="仿宋_GB2312" w:cs="仿宋_GB2312"/>
          <w:color w:val="333333"/>
          <w:sz w:val="32"/>
          <w:szCs w:val="32"/>
        </w:rPr>
        <w:t>夏岩</w:t>
      </w:r>
      <w:r>
        <w:rPr>
          <w:rFonts w:ascii="仿宋_GB2312" w:hAnsi="仿宋_GB2312" w:eastAsia="仿宋_GB2312" w:cs="仿宋_GB2312"/>
          <w:color w:val="333333"/>
          <w:sz w:val="32"/>
          <w:szCs w:val="32"/>
        </w:rPr>
        <w:t>、</w:t>
      </w:r>
      <w:r>
        <w:rPr>
          <w:rFonts w:hint="eastAsia" w:ascii="仿宋_GB2312" w:hAnsi="仿宋_GB2312" w:eastAsia="仿宋_GB2312" w:cs="仿宋_GB2312"/>
          <w:color w:val="333333"/>
          <w:sz w:val="32"/>
          <w:szCs w:val="32"/>
        </w:rPr>
        <w:t>陆颖</w:t>
      </w:r>
      <w:r>
        <w:rPr>
          <w:rFonts w:ascii="仿宋_GB2312" w:hAnsi="仿宋_GB2312" w:eastAsia="仿宋_GB2312" w:cs="仿宋_GB2312"/>
          <w:color w:val="333333"/>
          <w:sz w:val="32"/>
          <w:szCs w:val="32"/>
        </w:rPr>
        <w:t>、</w:t>
      </w:r>
      <w:r>
        <w:rPr>
          <w:rFonts w:hint="eastAsia" w:ascii="仿宋_GB2312" w:hAnsi="仿宋_GB2312" w:eastAsia="仿宋_GB2312" w:cs="仿宋_GB2312"/>
          <w:color w:val="333333"/>
          <w:sz w:val="32"/>
          <w:szCs w:val="32"/>
        </w:rPr>
        <w:t>姬发荣</w:t>
      </w:r>
      <w:r>
        <w:rPr>
          <w:rFonts w:ascii="仿宋_GB2312" w:hAnsi="仿宋_GB2312" w:eastAsia="仿宋_GB2312" w:cs="仿宋_GB2312"/>
          <w:color w:val="333333"/>
          <w:sz w:val="32"/>
          <w:szCs w:val="32"/>
        </w:rPr>
        <w:t>、</w:t>
      </w:r>
      <w:r>
        <w:rPr>
          <w:rFonts w:hint="eastAsia" w:ascii="仿宋_GB2312" w:hAnsi="仿宋_GB2312" w:eastAsia="仿宋_GB2312" w:cs="仿宋_GB2312"/>
          <w:color w:val="333333"/>
          <w:sz w:val="32"/>
          <w:szCs w:val="32"/>
        </w:rPr>
        <w:t>张平辉、王海、郑志忠、于洪顺、马世昌、薛可钦、吴洋洋、厉娟、肖晨、韩炜、张昭永。</w:t>
      </w:r>
    </w:p>
    <w:p w14:paraId="6B9F7E82">
      <w:pPr>
        <w:widowControl/>
        <w:shd w:val="clear" w:color="auto" w:fill="FFFFFF"/>
        <w:spacing w:line="560" w:lineRule="exact"/>
        <w:ind w:firstLine="643"/>
        <w:rPr>
          <w:rFonts w:ascii="黑体" w:hAnsi="黑体" w:eastAsia="黑体" w:cs="黑体"/>
          <w:color w:val="333333"/>
          <w:kern w:val="0"/>
          <w:sz w:val="32"/>
          <w:szCs w:val="32"/>
          <w:shd w:val="clear" w:color="auto" w:fill="FFFFFF"/>
          <w:lang w:bidi="ar"/>
        </w:rPr>
      </w:pPr>
      <w:r>
        <w:rPr>
          <w:rFonts w:hint="eastAsia" w:ascii="黑体" w:hAnsi="黑体" w:eastAsia="黑体" w:cs="黑体"/>
          <w:color w:val="333333"/>
          <w:kern w:val="0"/>
          <w:sz w:val="32"/>
          <w:szCs w:val="32"/>
          <w:shd w:val="clear" w:color="auto" w:fill="FFFFFF"/>
          <w:lang w:bidi="ar"/>
        </w:rPr>
        <w:t>三、行政执法职责权限</w:t>
      </w:r>
    </w:p>
    <w:p w14:paraId="0BD9AC79">
      <w:pPr>
        <w:widowControl/>
        <w:shd w:val="clear" w:color="auto" w:fill="FFFFFF"/>
        <w:spacing w:line="560" w:lineRule="exact"/>
        <w:ind w:firstLine="64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承担冶金、有色、建材、机械、轻工、纺织、烟草、商贸等工矿商贸行业安全生产基础和执法工作；依法监督检查相关行业生产经营单位贯彻落实安全生产法律法规和标准情况，负责安全生产执法综合性工作，指导执法计划编制、执法队伍建设和执法规范化建设工作。承担化工（含石油化工）、医药、危险化学品生产经营、烟花爆竹生产经营安全生产监督管理工作，依法监督检查相关行业生产经营单位贯彻落实安全生产法律法规和标准情况。配合做好安全生产检查以及专项督查、专项整治等工作。依法调查处理生产安全事故，监督事故查处和责任追究情况。指导全市安全评价检测检验机构监督管理工作。</w:t>
      </w:r>
    </w:p>
    <w:p w14:paraId="7F7B55C1">
      <w:pPr>
        <w:widowControl/>
        <w:shd w:val="clear" w:color="auto" w:fill="FFFFFF"/>
        <w:spacing w:line="560" w:lineRule="exact"/>
        <w:ind w:firstLine="643"/>
        <w:rPr>
          <w:rFonts w:ascii="黑体" w:hAnsi="黑体" w:eastAsia="黑体" w:cs="黑体"/>
          <w:color w:val="333333"/>
          <w:kern w:val="0"/>
          <w:sz w:val="32"/>
          <w:szCs w:val="32"/>
          <w:shd w:val="clear" w:color="auto" w:fill="FFFFFF"/>
          <w:lang w:bidi="ar"/>
        </w:rPr>
      </w:pPr>
      <w:r>
        <w:rPr>
          <w:rFonts w:hint="eastAsia" w:ascii="黑体" w:hAnsi="黑体" w:eastAsia="黑体" w:cs="黑体"/>
          <w:color w:val="333333"/>
          <w:kern w:val="0"/>
          <w:sz w:val="32"/>
          <w:szCs w:val="32"/>
          <w:shd w:val="clear" w:color="auto" w:fill="FFFFFF"/>
          <w:lang w:bidi="ar"/>
        </w:rPr>
        <w:t>四、主要行政执法依据</w:t>
      </w:r>
    </w:p>
    <w:p w14:paraId="5614F0AB">
      <w:pPr>
        <w:widowControl/>
        <w:shd w:val="clear" w:color="auto" w:fill="FFFFFF"/>
        <w:spacing w:line="560" w:lineRule="exact"/>
        <w:ind w:firstLine="643"/>
        <w:rPr>
          <w:rFonts w:ascii="楷体_GB2312" w:hAnsi="楷体_GB2312" w:eastAsia="楷体_GB2312" w:cs="楷体_GB2312"/>
          <w:color w:val="333333"/>
          <w:kern w:val="0"/>
          <w:sz w:val="32"/>
          <w:szCs w:val="32"/>
          <w:shd w:val="clear" w:color="auto" w:fill="FFFFFF"/>
          <w:lang w:bidi="ar"/>
        </w:rPr>
      </w:pPr>
      <w:r>
        <w:rPr>
          <w:rFonts w:hint="eastAsia" w:ascii="楷体_GB2312" w:hAnsi="楷体_GB2312" w:eastAsia="楷体_GB2312" w:cs="楷体_GB2312"/>
          <w:color w:val="333333"/>
          <w:kern w:val="0"/>
          <w:sz w:val="32"/>
          <w:szCs w:val="32"/>
          <w:shd w:val="clear" w:color="auto" w:fill="FFFFFF"/>
          <w:lang w:bidi="ar"/>
        </w:rPr>
        <w:t>1.法律：</w:t>
      </w:r>
    </w:p>
    <w:p w14:paraId="5E4D0BB6">
      <w:pPr>
        <w:widowControl/>
        <w:shd w:val="clear" w:color="auto" w:fill="FFFFFF"/>
        <w:spacing w:line="560" w:lineRule="exact"/>
        <w:ind w:firstLine="64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中华人民共和国行政处罚法</w:t>
      </w:r>
    </w:p>
    <w:p w14:paraId="4F963E8A">
      <w:pPr>
        <w:widowControl/>
        <w:shd w:val="clear" w:color="auto" w:fill="FFFFFF"/>
        <w:spacing w:line="560" w:lineRule="exact"/>
        <w:ind w:firstLine="64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中华人民共和国行政许可法</w:t>
      </w:r>
    </w:p>
    <w:p w14:paraId="19A3BE50">
      <w:pPr>
        <w:widowControl/>
        <w:shd w:val="clear" w:color="auto" w:fill="FFFFFF"/>
        <w:spacing w:line="560" w:lineRule="exact"/>
        <w:ind w:firstLine="64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中华人民共和国行政强制法</w:t>
      </w:r>
    </w:p>
    <w:p w14:paraId="6AD01CFC">
      <w:pPr>
        <w:widowControl/>
        <w:shd w:val="clear" w:color="auto" w:fill="FFFFFF"/>
        <w:spacing w:line="560" w:lineRule="exact"/>
        <w:ind w:firstLine="64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中华人民共和国安全生产法</w:t>
      </w:r>
    </w:p>
    <w:p w14:paraId="4F61BAEA">
      <w:pPr>
        <w:widowControl/>
        <w:shd w:val="clear" w:color="auto" w:fill="FFFFFF"/>
        <w:spacing w:line="560" w:lineRule="exact"/>
        <w:ind w:firstLine="64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中华人民共和国危险化学品安全法</w:t>
      </w:r>
    </w:p>
    <w:p w14:paraId="4072F3F1">
      <w:pPr>
        <w:widowControl/>
        <w:shd w:val="clear" w:color="auto" w:fill="FFFFFF"/>
        <w:spacing w:line="560" w:lineRule="exact"/>
        <w:ind w:firstLine="64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中华人民共和国突发事件应对法</w:t>
      </w:r>
    </w:p>
    <w:p w14:paraId="7AD94699">
      <w:pPr>
        <w:widowControl/>
        <w:shd w:val="clear" w:color="auto" w:fill="FFFFFF"/>
        <w:spacing w:line="560" w:lineRule="exact"/>
        <w:ind w:firstLine="643"/>
        <w:rPr>
          <w:rFonts w:ascii="楷体_GB2312" w:hAnsi="楷体_GB2312" w:eastAsia="楷体_GB2312" w:cs="楷体_GB2312"/>
          <w:color w:val="333333"/>
          <w:kern w:val="0"/>
          <w:sz w:val="32"/>
          <w:szCs w:val="32"/>
          <w:shd w:val="clear" w:color="auto" w:fill="FFFFFF"/>
          <w:lang w:bidi="ar"/>
        </w:rPr>
      </w:pPr>
      <w:r>
        <w:rPr>
          <w:rFonts w:ascii="楷体_GB2312" w:hAnsi="楷体_GB2312" w:eastAsia="楷体_GB2312" w:cs="楷体_GB2312"/>
          <w:color w:val="333333"/>
          <w:kern w:val="0"/>
          <w:sz w:val="32"/>
          <w:szCs w:val="32"/>
          <w:shd w:val="clear" w:color="auto" w:fill="FFFFFF"/>
          <w:lang w:bidi="ar"/>
        </w:rPr>
        <w:t>2.</w:t>
      </w:r>
      <w:r>
        <w:rPr>
          <w:rFonts w:hint="eastAsia" w:ascii="楷体_GB2312" w:hAnsi="楷体_GB2312" w:eastAsia="楷体_GB2312" w:cs="楷体_GB2312"/>
          <w:color w:val="333333"/>
          <w:kern w:val="0"/>
          <w:sz w:val="32"/>
          <w:szCs w:val="32"/>
          <w:shd w:val="clear" w:color="auto" w:fill="FFFFFF"/>
          <w:lang w:bidi="ar"/>
        </w:rPr>
        <w:t>行政法规</w:t>
      </w:r>
    </w:p>
    <w:p w14:paraId="572E165C">
      <w:pPr>
        <w:widowControl/>
        <w:shd w:val="clear" w:color="auto" w:fill="FFFFFF"/>
        <w:spacing w:line="560" w:lineRule="exact"/>
        <w:ind w:firstLine="64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国务院关于特大安全事故行政责任追究的规定</w:t>
      </w:r>
    </w:p>
    <w:p w14:paraId="0BCF4101">
      <w:pPr>
        <w:widowControl/>
        <w:shd w:val="clear" w:color="auto" w:fill="FFFFFF"/>
        <w:spacing w:line="560" w:lineRule="exact"/>
        <w:ind w:firstLine="64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安全生产许可证条例</w:t>
      </w:r>
    </w:p>
    <w:p w14:paraId="05A6F4D9">
      <w:pPr>
        <w:widowControl/>
        <w:shd w:val="clear" w:color="auto" w:fill="FFFFFF"/>
        <w:spacing w:line="560" w:lineRule="exact"/>
        <w:ind w:firstLine="64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易制毒化学品管理条例</w:t>
      </w:r>
    </w:p>
    <w:p w14:paraId="7BB0BBAB">
      <w:pPr>
        <w:widowControl/>
        <w:shd w:val="clear" w:color="auto" w:fill="FFFFFF"/>
        <w:spacing w:line="560" w:lineRule="exact"/>
        <w:ind w:firstLine="64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烟花爆竹安全管理条例</w:t>
      </w:r>
    </w:p>
    <w:p w14:paraId="5D661A10">
      <w:pPr>
        <w:widowControl/>
        <w:shd w:val="clear" w:color="auto" w:fill="FFFFFF"/>
        <w:spacing w:line="560" w:lineRule="exact"/>
        <w:ind w:firstLine="64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生产安全事故报告和调查处理条例</w:t>
      </w:r>
    </w:p>
    <w:p w14:paraId="3E9F4012">
      <w:pPr>
        <w:widowControl/>
        <w:shd w:val="clear" w:color="auto" w:fill="FFFFFF"/>
        <w:spacing w:line="560" w:lineRule="exact"/>
        <w:ind w:firstLine="64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生产安全事故应急条例</w:t>
      </w:r>
    </w:p>
    <w:p w14:paraId="7E7C6F60">
      <w:pPr>
        <w:widowControl/>
        <w:shd w:val="clear" w:color="auto" w:fill="FFFFFF"/>
        <w:spacing w:line="560" w:lineRule="exact"/>
        <w:ind w:firstLine="643"/>
        <w:rPr>
          <w:rFonts w:ascii="楷体_GB2312" w:hAnsi="楷体_GB2312" w:eastAsia="楷体_GB2312" w:cs="楷体_GB2312"/>
          <w:color w:val="333333"/>
          <w:sz w:val="27"/>
          <w:szCs w:val="27"/>
        </w:rPr>
      </w:pPr>
      <w:r>
        <w:rPr>
          <w:rFonts w:hint="eastAsia" w:ascii="楷体_GB2312" w:hAnsi="楷体_GB2312" w:eastAsia="楷体_GB2312" w:cs="楷体_GB2312"/>
          <w:color w:val="333333"/>
          <w:kern w:val="0"/>
          <w:sz w:val="32"/>
          <w:szCs w:val="32"/>
          <w:shd w:val="clear" w:color="auto" w:fill="FFFFFF"/>
          <w:lang w:bidi="ar"/>
        </w:rPr>
        <w:t>3.部门规章</w:t>
      </w:r>
    </w:p>
    <w:p w14:paraId="466565D9">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生产经营单位安全培训规定</w:t>
      </w:r>
    </w:p>
    <w:p w14:paraId="68870E0F">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非药品类易制毒化学品生产、经营许可办法</w:t>
      </w:r>
    </w:p>
    <w:p w14:paraId="3B705EBD">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生产安全事故罚款处罚规定</w:t>
      </w:r>
    </w:p>
    <w:p w14:paraId="67C15BDB">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安全生产违法行为行政处罚办法</w:t>
      </w:r>
    </w:p>
    <w:p w14:paraId="7EF73468">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生产安全事故信息报告和处置办法</w:t>
      </w:r>
    </w:p>
    <w:p w14:paraId="35DD6AC6">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应急管理行政执法人员依法履职管理规定</w:t>
      </w:r>
    </w:p>
    <w:p w14:paraId="41E69530">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特种作业人员安全技术培训考核管理规定</w:t>
      </w:r>
    </w:p>
    <w:p w14:paraId="35D027C2">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建设项目安全设施“三同时”监督管理办法</w:t>
      </w:r>
    </w:p>
    <w:p w14:paraId="4EBEC897">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危险化学品生产企业安全生产许可证实施办法</w:t>
      </w:r>
    </w:p>
    <w:p w14:paraId="40B919E2">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危险化学品输送管道安全管理规定</w:t>
      </w:r>
    </w:p>
    <w:p w14:paraId="57B79B33">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安全生产培训管理办法</w:t>
      </w:r>
    </w:p>
    <w:p w14:paraId="71CFB31B">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危险化学品建设项目安全监督管理办法</w:t>
      </w:r>
    </w:p>
    <w:p w14:paraId="14436062">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危险化学品登记管理办法</w:t>
      </w:r>
    </w:p>
    <w:p w14:paraId="1E1B00A1">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烟花爆竹生产企业安全生产许可证实施办法</w:t>
      </w:r>
    </w:p>
    <w:p w14:paraId="2D399499">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危险化学品经营许可证管理办法</w:t>
      </w:r>
    </w:p>
    <w:p w14:paraId="2EE9CFF5">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安全生产监管监察部门信息公开办法</w:t>
      </w:r>
    </w:p>
    <w:p w14:paraId="5C2D91D9">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危险化学品安全使用许可证实施办法</w:t>
      </w:r>
    </w:p>
    <w:p w14:paraId="23A59330">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工贸企业有限空间作业安全规定</w:t>
      </w:r>
    </w:p>
    <w:p w14:paraId="1EA52B32">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工贸企业重大事故隐患判定标准</w:t>
      </w:r>
    </w:p>
    <w:p w14:paraId="66D3E7BB">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化学品物理危险性鉴定与分类管理办法</w:t>
      </w:r>
    </w:p>
    <w:p w14:paraId="45E23E9C">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烟花爆竹经营许可实施办法</w:t>
      </w:r>
    </w:p>
    <w:p w14:paraId="5591D3C8">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生产安全事故应急预案管理办法</w:t>
      </w:r>
    </w:p>
    <w:p w14:paraId="6E1BDC54">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冶金企业和有色金属企业安全生产规定</w:t>
      </w:r>
    </w:p>
    <w:p w14:paraId="7AADC4B0">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烟花爆竹生产经营安全规定</w:t>
      </w:r>
    </w:p>
    <w:p w14:paraId="75AAE7FD">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安全评价检测检验机构管理办法</w:t>
      </w:r>
    </w:p>
    <w:p w14:paraId="50911A6C">
      <w:pPr>
        <w:widowControl/>
        <w:shd w:val="clear" w:color="auto" w:fill="FFFFFF"/>
        <w:spacing w:line="560" w:lineRule="exact"/>
        <w:ind w:firstLine="640"/>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危险货物道路运输安全管理办法</w:t>
      </w:r>
    </w:p>
    <w:p w14:paraId="004584BD">
      <w:pPr>
        <w:widowControl/>
        <w:shd w:val="clear" w:color="auto" w:fill="FFFFFF"/>
        <w:spacing w:line="560" w:lineRule="exact"/>
        <w:ind w:firstLine="64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工贸企业粉尘防爆安全规定</w:t>
      </w:r>
    </w:p>
    <w:p w14:paraId="24A500F5">
      <w:pPr>
        <w:widowControl/>
        <w:shd w:val="clear" w:color="auto" w:fill="FFFFFF"/>
        <w:spacing w:line="560" w:lineRule="exact"/>
        <w:ind w:firstLine="64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4</w:t>
      </w:r>
      <w:r>
        <w:rPr>
          <w:rFonts w:ascii="仿宋_GB2312" w:hAnsi="仿宋_GB2312" w:eastAsia="仿宋_GB2312" w:cs="仿宋_GB2312"/>
          <w:color w:val="333333"/>
          <w:kern w:val="0"/>
          <w:sz w:val="32"/>
          <w:szCs w:val="32"/>
          <w:shd w:val="clear" w:color="auto" w:fill="FFFFFF"/>
          <w:lang w:bidi="ar"/>
        </w:rPr>
        <w:t>.规范性文件</w:t>
      </w:r>
    </w:p>
    <w:p w14:paraId="62B84CFE">
      <w:pPr>
        <w:widowControl/>
        <w:shd w:val="clear" w:color="auto" w:fill="FFFFFF"/>
        <w:spacing w:line="560" w:lineRule="exact"/>
        <w:ind w:firstLine="64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江苏省安全生产行政处罚裁量权基准（</w:t>
      </w:r>
      <w:r>
        <w:rPr>
          <w:rFonts w:ascii="仿宋_GB2312" w:hAnsi="仿宋_GB2312" w:eastAsia="仿宋_GB2312" w:cs="仿宋_GB2312"/>
          <w:color w:val="333333"/>
          <w:kern w:val="0"/>
          <w:sz w:val="32"/>
          <w:szCs w:val="32"/>
          <w:shd w:val="clear" w:color="auto" w:fill="FFFFFF"/>
          <w:lang w:bidi="ar"/>
        </w:rPr>
        <w:t xml:space="preserve">2026 </w:t>
      </w:r>
      <w:r>
        <w:rPr>
          <w:rFonts w:hint="eastAsia" w:ascii="仿宋_GB2312" w:hAnsi="仿宋_GB2312" w:eastAsia="仿宋_GB2312" w:cs="仿宋_GB2312"/>
          <w:color w:val="333333"/>
          <w:kern w:val="0"/>
          <w:sz w:val="32"/>
          <w:szCs w:val="32"/>
          <w:shd w:val="clear" w:color="auto" w:fill="FFFFFF"/>
          <w:lang w:bidi="ar"/>
        </w:rPr>
        <w:t>年第二版）</w:t>
      </w:r>
    </w:p>
    <w:p w14:paraId="5F0EDEC7">
      <w:pPr>
        <w:widowControl/>
        <w:shd w:val="clear" w:color="auto" w:fill="FFFFFF"/>
        <w:spacing w:line="560" w:lineRule="exact"/>
        <w:ind w:firstLine="64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苏州市安全生产领域轻微违法行为不予行政处罚事项清单（2026版）</w:t>
      </w:r>
    </w:p>
    <w:p w14:paraId="64C57605">
      <w:pPr>
        <w:widowControl/>
        <w:shd w:val="clear" w:color="auto" w:fill="FFFFFF"/>
        <w:spacing w:line="560" w:lineRule="exact"/>
        <w:ind w:firstLine="643"/>
        <w:rPr>
          <w:rFonts w:ascii="黑体" w:hAnsi="黑体" w:eastAsia="黑体" w:cs="黑体"/>
          <w:color w:val="333333"/>
          <w:kern w:val="0"/>
          <w:sz w:val="32"/>
          <w:szCs w:val="32"/>
          <w:shd w:val="clear" w:color="auto" w:fill="FFFFFF"/>
          <w:lang w:bidi="ar"/>
        </w:rPr>
      </w:pPr>
      <w:r>
        <w:rPr>
          <w:rFonts w:hint="eastAsia" w:ascii="黑体" w:hAnsi="黑体" w:eastAsia="黑体" w:cs="黑体"/>
          <w:color w:val="333333"/>
          <w:kern w:val="0"/>
          <w:sz w:val="32"/>
          <w:szCs w:val="32"/>
          <w:shd w:val="clear" w:color="auto" w:fill="FFFFFF"/>
          <w:lang w:bidi="ar"/>
        </w:rPr>
        <w:t>五、程序</w:t>
      </w:r>
    </w:p>
    <w:p w14:paraId="4963C9F5">
      <w:pPr>
        <w:widowControl/>
        <w:shd w:val="clear" w:color="auto" w:fill="FFFFFF"/>
        <w:spacing w:line="560" w:lineRule="exact"/>
        <w:ind w:firstLine="640"/>
        <w:rPr>
          <w:rFonts w:ascii="楷体_GB2312" w:hAnsi="楷体_GB2312" w:eastAsia="楷体_GB2312" w:cs="楷体_GB2312"/>
          <w:color w:val="333333"/>
          <w:sz w:val="32"/>
          <w:szCs w:val="32"/>
        </w:rPr>
      </w:pPr>
      <w:r>
        <w:rPr>
          <w:rFonts w:hint="eastAsia" w:ascii="楷体_GB2312" w:hAnsi="楷体_GB2312" w:eastAsia="楷体_GB2312" w:cs="楷体_GB2312"/>
          <w:color w:val="333333"/>
          <w:kern w:val="0"/>
          <w:sz w:val="32"/>
          <w:szCs w:val="32"/>
          <w:shd w:val="clear" w:color="auto" w:fill="FFFFFF"/>
          <w:lang w:bidi="ar"/>
        </w:rPr>
        <w:t>（一）现场检查</w:t>
      </w:r>
    </w:p>
    <w:p w14:paraId="40A14AE3">
      <w:pPr>
        <w:widowControl/>
        <w:shd w:val="clear" w:color="auto" w:fill="FFFFFF"/>
        <w:spacing w:line="560" w:lineRule="exact"/>
        <w:jc w:val="center"/>
        <w:rPr>
          <w:rFonts w:ascii="宋体" w:hAnsi="宋体" w:eastAsia="宋体" w:cs="宋体"/>
          <w:color w:val="333333"/>
          <w:sz w:val="27"/>
          <w:szCs w:val="27"/>
        </w:rPr>
      </w:pPr>
      <w:r>
        <w:rPr>
          <w:rFonts w:ascii="宋体" w:hAnsi="宋体" w:eastAsia="宋体" w:cs="宋体"/>
          <w:color w:val="333333"/>
          <w:kern w:val="0"/>
          <w:sz w:val="32"/>
          <w:szCs w:val="32"/>
          <w:shd w:val="clear" w:color="auto" w:fill="FFFFFF"/>
        </w:rPr>
        <w:drawing>
          <wp:anchor distT="0" distB="0" distL="114300" distR="114300" simplePos="0" relativeHeight="251660288" behindDoc="0" locked="0" layoutInCell="1" allowOverlap="1">
            <wp:simplePos x="0" y="0"/>
            <wp:positionH relativeFrom="column">
              <wp:posOffset>231140</wp:posOffset>
            </wp:positionH>
            <wp:positionV relativeFrom="paragraph">
              <wp:posOffset>99060</wp:posOffset>
            </wp:positionV>
            <wp:extent cx="5274310" cy="5527040"/>
            <wp:effectExtent l="0" t="0" r="2540" b="16510"/>
            <wp:wrapNone/>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74310" cy="5527040"/>
                    </a:xfrm>
                    <a:prstGeom prst="rect">
                      <a:avLst/>
                    </a:prstGeom>
                    <a:noFill/>
                    <a:ln w="9525">
                      <a:noFill/>
                    </a:ln>
                  </pic:spPr>
                </pic:pic>
              </a:graphicData>
            </a:graphic>
          </wp:anchor>
        </w:drawing>
      </w:r>
      <w:r>
        <w:rPr>
          <w:rFonts w:ascii="宋体" w:hAnsi="宋体" w:eastAsia="宋体" w:cs="宋体"/>
          <w:color w:val="333333"/>
          <w:kern w:val="0"/>
          <w:sz w:val="32"/>
          <w:szCs w:val="32"/>
          <w:shd w:val="clear" w:color="auto" w:fill="FFFFFF"/>
          <w:lang w:bidi="ar"/>
        </w:rPr>
        <w:t> </w:t>
      </w:r>
    </w:p>
    <w:p w14:paraId="51491AB1">
      <w:pPr>
        <w:widowControl/>
        <w:shd w:val="clear" w:color="auto" w:fill="FFFFFF"/>
        <w:spacing w:line="560" w:lineRule="exact"/>
        <w:ind w:firstLine="640"/>
        <w:jc w:val="left"/>
        <w:rPr>
          <w:rFonts w:ascii="宋体" w:hAnsi="宋体" w:eastAsia="宋体" w:cs="宋体"/>
          <w:b/>
          <w:bCs/>
          <w:color w:val="333333"/>
          <w:kern w:val="0"/>
          <w:sz w:val="32"/>
          <w:szCs w:val="32"/>
          <w:shd w:val="clear" w:color="auto" w:fill="FFFFFF"/>
          <w:lang w:bidi="ar"/>
        </w:rPr>
      </w:pPr>
    </w:p>
    <w:p w14:paraId="120081B7">
      <w:pPr>
        <w:widowControl/>
        <w:shd w:val="clear" w:color="auto" w:fill="FFFFFF"/>
        <w:spacing w:line="560" w:lineRule="exact"/>
        <w:ind w:firstLine="640"/>
        <w:jc w:val="left"/>
        <w:rPr>
          <w:rFonts w:ascii="宋体" w:hAnsi="宋体" w:eastAsia="宋体" w:cs="宋体"/>
          <w:b/>
          <w:bCs/>
          <w:color w:val="333333"/>
          <w:kern w:val="0"/>
          <w:sz w:val="32"/>
          <w:szCs w:val="32"/>
          <w:shd w:val="clear" w:color="auto" w:fill="FFFFFF"/>
          <w:lang w:bidi="ar"/>
        </w:rPr>
      </w:pPr>
    </w:p>
    <w:p w14:paraId="3A962858">
      <w:pPr>
        <w:widowControl/>
        <w:shd w:val="clear" w:color="auto" w:fill="FFFFFF"/>
        <w:spacing w:line="560" w:lineRule="exact"/>
        <w:ind w:firstLine="640"/>
        <w:jc w:val="left"/>
        <w:rPr>
          <w:rFonts w:ascii="宋体" w:hAnsi="宋体" w:eastAsia="宋体" w:cs="宋体"/>
          <w:b/>
          <w:bCs/>
          <w:color w:val="333333"/>
          <w:kern w:val="0"/>
          <w:sz w:val="32"/>
          <w:szCs w:val="32"/>
          <w:shd w:val="clear" w:color="auto" w:fill="FFFFFF"/>
          <w:lang w:bidi="ar"/>
        </w:rPr>
      </w:pPr>
    </w:p>
    <w:p w14:paraId="7276DB49">
      <w:pPr>
        <w:widowControl/>
        <w:shd w:val="clear" w:color="auto" w:fill="FFFFFF"/>
        <w:spacing w:line="560" w:lineRule="exact"/>
        <w:ind w:firstLine="640"/>
        <w:jc w:val="left"/>
        <w:rPr>
          <w:rFonts w:ascii="宋体" w:hAnsi="宋体" w:eastAsia="宋体" w:cs="宋体"/>
          <w:b/>
          <w:bCs/>
          <w:color w:val="333333"/>
          <w:kern w:val="0"/>
          <w:sz w:val="32"/>
          <w:szCs w:val="32"/>
          <w:shd w:val="clear" w:color="auto" w:fill="FFFFFF"/>
          <w:lang w:bidi="ar"/>
        </w:rPr>
      </w:pPr>
    </w:p>
    <w:p w14:paraId="7D722084">
      <w:pPr>
        <w:widowControl/>
        <w:shd w:val="clear" w:color="auto" w:fill="FFFFFF"/>
        <w:spacing w:line="560" w:lineRule="exact"/>
        <w:ind w:firstLine="640"/>
        <w:jc w:val="left"/>
        <w:rPr>
          <w:rFonts w:ascii="宋体" w:hAnsi="宋体" w:eastAsia="宋体" w:cs="宋体"/>
          <w:b/>
          <w:bCs/>
          <w:color w:val="333333"/>
          <w:kern w:val="0"/>
          <w:sz w:val="32"/>
          <w:szCs w:val="32"/>
          <w:shd w:val="clear" w:color="auto" w:fill="FFFFFF"/>
          <w:lang w:bidi="ar"/>
        </w:rPr>
      </w:pPr>
    </w:p>
    <w:p w14:paraId="64EFD681">
      <w:pPr>
        <w:widowControl/>
        <w:shd w:val="clear" w:color="auto" w:fill="FFFFFF"/>
        <w:spacing w:line="560" w:lineRule="exact"/>
        <w:ind w:firstLine="640"/>
        <w:jc w:val="left"/>
        <w:rPr>
          <w:rFonts w:ascii="宋体" w:hAnsi="宋体" w:eastAsia="宋体" w:cs="宋体"/>
          <w:b/>
          <w:bCs/>
          <w:color w:val="333333"/>
          <w:kern w:val="0"/>
          <w:sz w:val="32"/>
          <w:szCs w:val="32"/>
          <w:shd w:val="clear" w:color="auto" w:fill="FFFFFF"/>
          <w:lang w:bidi="ar"/>
        </w:rPr>
      </w:pPr>
    </w:p>
    <w:p w14:paraId="1DCA6303">
      <w:pPr>
        <w:widowControl/>
        <w:shd w:val="clear" w:color="auto" w:fill="FFFFFF"/>
        <w:spacing w:line="560" w:lineRule="exact"/>
        <w:ind w:firstLine="640"/>
        <w:jc w:val="left"/>
        <w:rPr>
          <w:rFonts w:ascii="宋体" w:hAnsi="宋体" w:eastAsia="宋体" w:cs="宋体"/>
          <w:b/>
          <w:bCs/>
          <w:color w:val="333333"/>
          <w:kern w:val="0"/>
          <w:sz w:val="32"/>
          <w:szCs w:val="32"/>
          <w:shd w:val="clear" w:color="auto" w:fill="FFFFFF"/>
          <w:lang w:bidi="ar"/>
        </w:rPr>
      </w:pPr>
    </w:p>
    <w:p w14:paraId="0A242F44">
      <w:pPr>
        <w:widowControl/>
        <w:shd w:val="clear" w:color="auto" w:fill="FFFFFF"/>
        <w:spacing w:line="560" w:lineRule="exact"/>
        <w:ind w:firstLine="640"/>
        <w:jc w:val="left"/>
        <w:rPr>
          <w:rFonts w:ascii="宋体" w:hAnsi="宋体" w:eastAsia="宋体" w:cs="宋体"/>
          <w:b/>
          <w:bCs/>
          <w:color w:val="333333"/>
          <w:kern w:val="0"/>
          <w:sz w:val="32"/>
          <w:szCs w:val="32"/>
          <w:shd w:val="clear" w:color="auto" w:fill="FFFFFF"/>
          <w:lang w:bidi="ar"/>
        </w:rPr>
      </w:pPr>
    </w:p>
    <w:p w14:paraId="6E0A1050">
      <w:pPr>
        <w:widowControl/>
        <w:shd w:val="clear" w:color="auto" w:fill="FFFFFF"/>
        <w:spacing w:line="560" w:lineRule="exact"/>
        <w:ind w:firstLine="640"/>
        <w:jc w:val="left"/>
        <w:rPr>
          <w:rFonts w:ascii="宋体" w:hAnsi="宋体" w:eastAsia="宋体" w:cs="宋体"/>
          <w:b/>
          <w:bCs/>
          <w:color w:val="333333"/>
          <w:kern w:val="0"/>
          <w:sz w:val="32"/>
          <w:szCs w:val="32"/>
          <w:shd w:val="clear" w:color="auto" w:fill="FFFFFF"/>
          <w:lang w:bidi="ar"/>
        </w:rPr>
      </w:pPr>
    </w:p>
    <w:p w14:paraId="4AFF8BEE">
      <w:pPr>
        <w:widowControl/>
        <w:shd w:val="clear" w:color="auto" w:fill="FFFFFF"/>
        <w:spacing w:line="560" w:lineRule="exact"/>
        <w:ind w:firstLine="640"/>
        <w:jc w:val="left"/>
        <w:rPr>
          <w:rFonts w:ascii="宋体" w:hAnsi="宋体" w:eastAsia="宋体" w:cs="宋体"/>
          <w:b/>
          <w:bCs/>
          <w:color w:val="333333"/>
          <w:kern w:val="0"/>
          <w:sz w:val="32"/>
          <w:szCs w:val="32"/>
          <w:shd w:val="clear" w:color="auto" w:fill="FFFFFF"/>
          <w:lang w:bidi="ar"/>
        </w:rPr>
      </w:pPr>
    </w:p>
    <w:p w14:paraId="34F2C2AE">
      <w:pPr>
        <w:widowControl/>
        <w:shd w:val="clear" w:color="auto" w:fill="FFFFFF"/>
        <w:spacing w:line="560" w:lineRule="exact"/>
        <w:ind w:firstLine="640"/>
        <w:jc w:val="left"/>
        <w:rPr>
          <w:rFonts w:ascii="宋体" w:hAnsi="宋体" w:eastAsia="宋体" w:cs="宋体"/>
          <w:b/>
          <w:bCs/>
          <w:color w:val="333333"/>
          <w:kern w:val="0"/>
          <w:sz w:val="32"/>
          <w:szCs w:val="32"/>
          <w:shd w:val="clear" w:color="auto" w:fill="FFFFFF"/>
          <w:lang w:bidi="ar"/>
        </w:rPr>
      </w:pPr>
    </w:p>
    <w:p w14:paraId="5CA7AA78">
      <w:pPr>
        <w:widowControl/>
        <w:shd w:val="clear" w:color="auto" w:fill="FFFFFF"/>
        <w:spacing w:line="560" w:lineRule="exact"/>
        <w:ind w:firstLine="640"/>
        <w:jc w:val="left"/>
        <w:rPr>
          <w:rFonts w:ascii="宋体" w:hAnsi="宋体" w:eastAsia="宋体" w:cs="宋体"/>
          <w:b/>
          <w:bCs/>
          <w:color w:val="333333"/>
          <w:kern w:val="0"/>
          <w:sz w:val="32"/>
          <w:szCs w:val="32"/>
          <w:shd w:val="clear" w:color="auto" w:fill="FFFFFF"/>
          <w:lang w:bidi="ar"/>
        </w:rPr>
      </w:pPr>
    </w:p>
    <w:p w14:paraId="440DFFB9">
      <w:pPr>
        <w:widowControl/>
        <w:shd w:val="clear" w:color="auto" w:fill="FFFFFF"/>
        <w:spacing w:line="560" w:lineRule="exact"/>
        <w:ind w:firstLine="640"/>
        <w:jc w:val="left"/>
        <w:rPr>
          <w:rFonts w:ascii="宋体" w:hAnsi="宋体" w:eastAsia="宋体" w:cs="宋体"/>
          <w:b/>
          <w:bCs/>
          <w:color w:val="333333"/>
          <w:kern w:val="0"/>
          <w:sz w:val="32"/>
          <w:szCs w:val="32"/>
          <w:shd w:val="clear" w:color="auto" w:fill="FFFFFF"/>
          <w:lang w:bidi="ar"/>
        </w:rPr>
      </w:pPr>
    </w:p>
    <w:p w14:paraId="366F88D4">
      <w:pPr>
        <w:widowControl/>
        <w:shd w:val="clear" w:color="auto" w:fill="FFFFFF"/>
        <w:spacing w:line="560" w:lineRule="exact"/>
        <w:ind w:firstLine="640"/>
        <w:jc w:val="left"/>
        <w:rPr>
          <w:rFonts w:ascii="宋体" w:hAnsi="宋体" w:eastAsia="宋体" w:cs="宋体"/>
          <w:b/>
          <w:bCs/>
          <w:color w:val="333333"/>
          <w:kern w:val="0"/>
          <w:sz w:val="32"/>
          <w:szCs w:val="32"/>
          <w:shd w:val="clear" w:color="auto" w:fill="FFFFFF"/>
          <w:lang w:bidi="ar"/>
        </w:rPr>
      </w:pPr>
    </w:p>
    <w:p w14:paraId="4F186058">
      <w:pPr>
        <w:widowControl/>
        <w:shd w:val="clear" w:color="auto" w:fill="FFFFFF"/>
        <w:spacing w:line="560" w:lineRule="exact"/>
        <w:ind w:firstLine="640"/>
        <w:rPr>
          <w:rFonts w:ascii="楷体_GB2312" w:hAnsi="楷体_GB2312" w:eastAsia="楷体_GB2312" w:cs="楷体_GB2312"/>
          <w:color w:val="333333"/>
          <w:kern w:val="0"/>
          <w:sz w:val="32"/>
          <w:szCs w:val="32"/>
          <w:shd w:val="clear" w:color="auto" w:fill="FFFFFF"/>
          <w:lang w:bidi="ar"/>
        </w:rPr>
      </w:pPr>
      <w:bookmarkStart w:id="0" w:name="_GoBack"/>
      <w:bookmarkEnd w:id="0"/>
      <w:r>
        <w:rPr>
          <w:rFonts w:hint="eastAsia" w:ascii="楷体_GB2312" w:hAnsi="楷体_GB2312" w:eastAsia="楷体_GB2312" w:cs="楷体_GB2312"/>
          <w:color w:val="333333"/>
          <w:kern w:val="0"/>
          <w:sz w:val="32"/>
          <w:szCs w:val="32"/>
          <w:shd w:val="clear" w:color="auto" w:fill="FFFFFF"/>
          <w:lang w:bidi="ar"/>
        </w:rPr>
        <w:t>（二）行政处罚一般程序</w:t>
      </w:r>
    </w:p>
    <w:p w14:paraId="2C4E4F2C">
      <w:pPr>
        <w:widowControl/>
        <w:shd w:val="clear" w:color="auto" w:fill="FFFFFF"/>
        <w:spacing w:line="560" w:lineRule="exact"/>
        <w:jc w:val="center"/>
        <w:rPr>
          <w:rFonts w:ascii="宋体" w:hAnsi="宋体" w:eastAsia="宋体" w:cs="宋体"/>
          <w:color w:val="333333"/>
          <w:sz w:val="27"/>
          <w:szCs w:val="27"/>
        </w:rPr>
      </w:pPr>
      <w:r>
        <w:rPr>
          <w:rFonts w:ascii="宋体" w:hAnsi="宋体" w:eastAsia="宋体" w:cs="宋体"/>
          <w:color w:val="333333"/>
          <w:kern w:val="0"/>
          <w:sz w:val="32"/>
          <w:szCs w:val="32"/>
          <w:shd w:val="clear" w:color="auto" w:fill="FFFFFF"/>
        </w:rPr>
        <w:drawing>
          <wp:anchor distT="0" distB="0" distL="114300" distR="114300" simplePos="0" relativeHeight="251659264" behindDoc="0" locked="0" layoutInCell="1" allowOverlap="1">
            <wp:simplePos x="0" y="0"/>
            <wp:positionH relativeFrom="column">
              <wp:posOffset>283210</wp:posOffset>
            </wp:positionH>
            <wp:positionV relativeFrom="paragraph">
              <wp:posOffset>12065</wp:posOffset>
            </wp:positionV>
            <wp:extent cx="4975225" cy="8424545"/>
            <wp:effectExtent l="0" t="0" r="0" b="0"/>
            <wp:wrapNone/>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4977650" cy="8429151"/>
                    </a:xfrm>
                    <a:prstGeom prst="rect">
                      <a:avLst/>
                    </a:prstGeom>
                    <a:noFill/>
                    <a:ln w="9525">
                      <a:noFill/>
                    </a:ln>
                  </pic:spPr>
                </pic:pic>
              </a:graphicData>
            </a:graphic>
          </wp:anchor>
        </w:drawing>
      </w:r>
      <w:r>
        <w:rPr>
          <w:rFonts w:ascii="宋体" w:hAnsi="宋体" w:eastAsia="宋体" w:cs="宋体"/>
          <w:color w:val="333333"/>
          <w:kern w:val="0"/>
          <w:sz w:val="32"/>
          <w:szCs w:val="32"/>
          <w:shd w:val="clear" w:color="auto" w:fill="FFFFFF"/>
          <w:lang w:bidi="ar"/>
        </w:rPr>
        <w:t> </w:t>
      </w:r>
    </w:p>
    <w:p w14:paraId="4B5608C7">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467B15BE">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5A2B7392">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545DEEBE">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5962ABF2">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6A82BBF3">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19A88567">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339BACC2">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1EF06A5D">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537FC522">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036EC15B">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314A4AF8">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3B870669">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378BFCAA">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513E2DB6">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2EB1996D">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2F7D7AF5">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07244DBF">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296C9B19">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18ED88F7">
      <w:pPr>
        <w:widowControl/>
        <w:shd w:val="clear" w:color="auto" w:fill="FFFFFF"/>
        <w:spacing w:line="560" w:lineRule="exact"/>
        <w:ind w:firstLine="643"/>
        <w:jc w:val="left"/>
        <w:rPr>
          <w:rFonts w:ascii="宋体" w:hAnsi="宋体" w:eastAsia="宋体" w:cs="宋体"/>
          <w:b/>
          <w:bCs/>
          <w:color w:val="333333"/>
          <w:kern w:val="0"/>
          <w:sz w:val="32"/>
          <w:szCs w:val="32"/>
          <w:shd w:val="clear" w:color="auto" w:fill="FFFFFF"/>
          <w:lang w:bidi="ar"/>
        </w:rPr>
      </w:pPr>
    </w:p>
    <w:p w14:paraId="536F156A">
      <w:pPr>
        <w:widowControl/>
        <w:shd w:val="clear" w:color="auto" w:fill="FFFFFF"/>
        <w:spacing w:line="560" w:lineRule="exact"/>
        <w:ind w:firstLine="643"/>
        <w:jc w:val="left"/>
        <w:rPr>
          <w:rFonts w:ascii="黑体" w:hAnsi="黑体" w:eastAsia="黑体" w:cs="黑体"/>
          <w:color w:val="333333"/>
          <w:sz w:val="32"/>
          <w:szCs w:val="32"/>
        </w:rPr>
      </w:pPr>
      <w:r>
        <w:rPr>
          <w:rFonts w:hint="eastAsia" w:ascii="黑体" w:hAnsi="黑体" w:eastAsia="黑体" w:cs="黑体"/>
          <w:color w:val="333333"/>
          <w:kern w:val="0"/>
          <w:sz w:val="32"/>
          <w:szCs w:val="32"/>
          <w:shd w:val="clear" w:color="auto" w:fill="FFFFFF"/>
          <w:lang w:bidi="ar"/>
        </w:rPr>
        <w:t>六、救济方式</w:t>
      </w:r>
    </w:p>
    <w:p w14:paraId="4ADD5AAA">
      <w:pPr>
        <w:widowControl/>
        <w:shd w:val="clear" w:color="auto" w:fill="FFFFFF"/>
        <w:spacing w:line="560" w:lineRule="exact"/>
        <w:ind w:firstLine="640"/>
        <w:jc w:val="left"/>
        <w:rPr>
          <w:rFonts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公民、法人或者其他组织认为有关行政行为侵犯其合法权益的，可以依照《中华人民共和国行政复议法》《中华人民共和国行政诉讼法》的规定，</w:t>
      </w:r>
      <w:r>
        <w:rPr>
          <w:rFonts w:ascii="仿宋_GB2312" w:hAnsi="仿宋_GB2312" w:eastAsia="仿宋_GB2312" w:cs="仿宋_GB2312"/>
          <w:color w:val="333333"/>
          <w:kern w:val="0"/>
          <w:sz w:val="32"/>
          <w:szCs w:val="32"/>
          <w:shd w:val="clear" w:color="auto" w:fill="FFFFFF"/>
          <w:lang w:bidi="ar"/>
        </w:rPr>
        <w:t>依法向太仓市人民政府申请行政复议，或者向常熟市人民法院提起行政诉讼。</w:t>
      </w:r>
    </w:p>
    <w:p w14:paraId="29DD97A4">
      <w:pPr>
        <w:spacing w:line="560" w:lineRule="exact"/>
      </w:pPr>
    </w:p>
    <w:sectPr>
      <w:pgSz w:w="11906" w:h="16838"/>
      <w:pgMar w:top="2041" w:right="1474" w:bottom="192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525"/>
    <w:rsid w:val="00452084"/>
    <w:rsid w:val="004B7C86"/>
    <w:rsid w:val="00790525"/>
    <w:rsid w:val="00901AE3"/>
    <w:rsid w:val="00910BFB"/>
    <w:rsid w:val="00C46233"/>
    <w:rsid w:val="00CE6A41"/>
    <w:rsid w:val="010D26A5"/>
    <w:rsid w:val="0395556B"/>
    <w:rsid w:val="27422277"/>
    <w:rsid w:val="3D7E4D14"/>
    <w:rsid w:val="4BD5180F"/>
    <w:rsid w:val="6D9A3A9F"/>
    <w:rsid w:val="74337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uiPriority w:val="0"/>
    <w:pPr>
      <w:jc w:val="left"/>
    </w:pPr>
  </w:style>
  <w:style w:type="paragraph" w:styleId="3">
    <w:name w:val="Balloon Text"/>
    <w:basedOn w:val="1"/>
    <w:link w:val="10"/>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character" w:styleId="9">
    <w:name w:val="annotation reference"/>
    <w:basedOn w:val="8"/>
    <w:qFormat/>
    <w:uiPriority w:val="0"/>
    <w:rPr>
      <w:sz w:val="21"/>
      <w:szCs w:val="21"/>
    </w:rPr>
  </w:style>
  <w:style w:type="character" w:customStyle="1" w:styleId="10">
    <w:name w:val="批注框文本 Char"/>
    <w:basedOn w:val="8"/>
    <w:link w:val="3"/>
    <w:qFormat/>
    <w:uiPriority w:val="0"/>
    <w:rPr>
      <w:rFonts w:asciiTheme="minorHAnsi" w:hAnsiTheme="minorHAnsi" w:eastAsiaTheme="minorEastAsia" w:cstheme="minorBidi"/>
      <w:kern w:val="2"/>
      <w:sz w:val="18"/>
      <w:szCs w:val="18"/>
    </w:rPr>
  </w:style>
  <w:style w:type="character" w:customStyle="1" w:styleId="11">
    <w:name w:val="页眉 Char"/>
    <w:basedOn w:val="8"/>
    <w:link w:val="5"/>
    <w:uiPriority w:val="0"/>
    <w:rPr>
      <w:rFonts w:asciiTheme="minorHAnsi" w:hAnsiTheme="minorHAnsi" w:eastAsiaTheme="minorEastAsia" w:cstheme="minorBidi"/>
      <w:kern w:val="2"/>
      <w:sz w:val="18"/>
      <w:szCs w:val="18"/>
    </w:rPr>
  </w:style>
  <w:style w:type="character" w:customStyle="1" w:styleId="12">
    <w:name w:val="页脚 Char"/>
    <w:basedOn w:val="8"/>
    <w:link w:val="4"/>
    <w:uiPriority w:val="0"/>
    <w:rPr>
      <w:rFonts w:asciiTheme="minorHAnsi" w:hAnsiTheme="minorHAnsi" w:eastAsiaTheme="minorEastAsia" w:cstheme="minorBidi"/>
      <w:kern w:val="2"/>
      <w:sz w:val="18"/>
      <w:szCs w:val="18"/>
    </w:rPr>
  </w:style>
  <w:style w:type="character" w:customStyle="1" w:styleId="13">
    <w:name w:val="批注文字 Char"/>
    <w:basedOn w:val="8"/>
    <w:link w:val="2"/>
    <w:uiPriority w:val="0"/>
    <w:rPr>
      <w:rFonts w:asciiTheme="minorHAnsi" w:hAnsiTheme="minorHAnsi" w:eastAsiaTheme="minorEastAsia" w:cstheme="minorBidi"/>
      <w:kern w:val="2"/>
      <w:sz w:val="21"/>
      <w:szCs w:val="24"/>
    </w:rPr>
  </w:style>
  <w:style w:type="character" w:customStyle="1" w:styleId="14">
    <w:name w:val="批注主题 Char"/>
    <w:basedOn w:val="13"/>
    <w:link w:val="6"/>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199</Words>
  <Characters>1137</Characters>
  <Lines>9</Lines>
  <Paragraphs>2</Paragraphs>
  <TotalTime>19</TotalTime>
  <ScaleCrop>false</ScaleCrop>
  <LinksUpToDate>false</LinksUpToDate>
  <CharactersWithSpaces>1334</CharactersWithSpaces>
  <Application>WPS Office_12.8.2.20324_F1E327BC-269C-435d-A152-05C5408002CA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2026-08-07T07:40:00Z</dcterms:created>
  <dc:creator>Administrator</dc:creator>
  <cp:lastModifiedBy>江盼慧</cp:lastModifiedBy>
  <dcterms:modified xsi:type="dcterms:W3CDTF">2026-08-13T07:15:44Z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2052-12.8.2.20324</vt:lpwstr>
  </property>
  <property fmtid="{D5CDD505-2E9C-101B-9397-08002B2CF9AE}" pid="3" name="ICV">
    <vt:lpwstr>31773E3E202A4702B9DCBD643DEB9249_13</vt:lpwstr>
  </property>
</Properties>
</file>