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4E5" w:rsidRPr="00BD3E97" w:rsidRDefault="00BD3E97">
      <w:pPr>
        <w:pStyle w:val="af4"/>
        <w:spacing w:before="0" w:line="1600" w:lineRule="exact"/>
        <w:rPr>
          <w:rFonts w:ascii="Times New Roman" w:eastAsiaTheme="minorEastAsia"/>
          <w:b/>
          <w:w w:val="85"/>
          <w:sz w:val="72"/>
          <w:szCs w:val="72"/>
        </w:rPr>
      </w:pPr>
      <w:r w:rsidRPr="00BD3E97">
        <w:rPr>
          <w:rFonts w:ascii="Times New Roman" w:eastAsiaTheme="minorEastAsia"/>
          <w:b/>
          <w:w w:val="85"/>
          <w:sz w:val="72"/>
          <w:szCs w:val="72"/>
        </w:rPr>
        <w:t>太仓市人民政府</w:t>
      </w:r>
    </w:p>
    <w:p w:rsidR="008054E5" w:rsidRPr="00BD3E97" w:rsidRDefault="00BD3E97">
      <w:pPr>
        <w:pStyle w:val="af4"/>
        <w:spacing w:before="0" w:line="1600" w:lineRule="exact"/>
        <w:jc w:val="distribute"/>
        <w:rPr>
          <w:rFonts w:ascii="Times New Roman" w:eastAsia="方正小标宋简体"/>
          <w:w w:val="85"/>
          <w:sz w:val="84"/>
          <w:szCs w:val="84"/>
        </w:rPr>
      </w:pPr>
      <w:r w:rsidRPr="00BD3E97">
        <w:rPr>
          <w:rFonts w:ascii="Times New Roman" w:eastAsia="方正小标宋简体"/>
          <w:w w:val="85"/>
          <w:sz w:val="84"/>
          <w:szCs w:val="84"/>
        </w:rPr>
        <w:t>常务会议纪要</w:t>
      </w:r>
    </w:p>
    <w:p w:rsidR="008054E5" w:rsidRPr="00BD3E97" w:rsidRDefault="008054E5">
      <w:pPr>
        <w:adjustRightInd w:val="0"/>
        <w:spacing w:line="580" w:lineRule="exact"/>
        <w:jc w:val="center"/>
        <w:rPr>
          <w:rFonts w:ascii="Times New Roman" w:eastAsia="黑体" w:hAnsi="Times New Roman"/>
          <w:spacing w:val="60"/>
          <w:sz w:val="32"/>
          <w:szCs w:val="32"/>
        </w:rPr>
      </w:pPr>
    </w:p>
    <w:p w:rsidR="008054E5" w:rsidRPr="00BD3E97" w:rsidRDefault="00BD3E97">
      <w:pPr>
        <w:adjustRightInd w:val="0"/>
        <w:spacing w:line="580" w:lineRule="exact"/>
        <w:jc w:val="center"/>
        <w:rPr>
          <w:rFonts w:ascii="Times New Roman" w:eastAsia="黑体" w:hAnsi="Times New Roman"/>
          <w:spacing w:val="60"/>
          <w:sz w:val="32"/>
          <w:szCs w:val="32"/>
        </w:rPr>
      </w:pPr>
      <w:r w:rsidRPr="00BD3E97">
        <w:rPr>
          <w:rFonts w:ascii="Times New Roman" w:eastAsia="黑体" w:hAnsi="Times New Roman"/>
          <w:spacing w:val="60"/>
          <w:sz w:val="32"/>
          <w:szCs w:val="32"/>
        </w:rPr>
        <w:t>第</w:t>
      </w:r>
      <w:r w:rsidRPr="00BD3E97">
        <w:rPr>
          <w:rFonts w:ascii="Times New Roman" w:eastAsia="黑体" w:hAnsi="Times New Roman"/>
          <w:spacing w:val="60"/>
          <w:sz w:val="32"/>
          <w:szCs w:val="32"/>
        </w:rPr>
        <w:t>10</w:t>
      </w:r>
      <w:r w:rsidRPr="00BD3E97">
        <w:rPr>
          <w:rFonts w:ascii="Times New Roman" w:eastAsia="黑体" w:hAnsi="Times New Roman"/>
          <w:spacing w:val="60"/>
          <w:sz w:val="32"/>
          <w:szCs w:val="32"/>
        </w:rPr>
        <w:t>号</w:t>
      </w:r>
    </w:p>
    <w:p w:rsidR="008054E5" w:rsidRPr="00BD3E97" w:rsidRDefault="00BD3E97">
      <w:pPr>
        <w:spacing w:line="580" w:lineRule="exact"/>
        <w:rPr>
          <w:rFonts w:ascii="Times New Roman" w:eastAsia="楷体_GB2312" w:hAnsi="Times New Roman"/>
          <w:sz w:val="32"/>
          <w:szCs w:val="32"/>
        </w:rPr>
      </w:pPr>
      <w:r w:rsidRPr="00BD3E97">
        <w:rPr>
          <w:rFonts w:ascii="Times New Roman" w:eastAsia="楷体_GB2312" w:hAnsi="Times New Roman"/>
          <w:sz w:val="32"/>
          <w:szCs w:val="32"/>
        </w:rPr>
        <w:t>太仓市人民政府办公室</w:t>
      </w:r>
      <w:r w:rsidRPr="00BD3E97">
        <w:rPr>
          <w:rFonts w:ascii="Times New Roman" w:eastAsia="楷体_GB2312" w:hAnsi="Times New Roman"/>
          <w:sz w:val="32"/>
          <w:szCs w:val="32"/>
        </w:rPr>
        <w:t xml:space="preserve">                  </w:t>
      </w:r>
      <w:r w:rsidRPr="00BD3E97">
        <w:rPr>
          <w:rFonts w:ascii="Times New Roman" w:eastAsia="汉鼎简楷体" w:hAnsi="Times New Roman"/>
          <w:sz w:val="32"/>
          <w:szCs w:val="32"/>
        </w:rPr>
        <w:tab/>
      </w:r>
      <w:r w:rsidRPr="00BD3E97">
        <w:rPr>
          <w:rFonts w:ascii="Times New Roman" w:eastAsia="楷体_GB2312" w:hAnsi="Times New Roman"/>
          <w:sz w:val="32"/>
          <w:szCs w:val="32"/>
        </w:rPr>
        <w:t>2024</w:t>
      </w:r>
      <w:r w:rsidRPr="00BD3E97">
        <w:rPr>
          <w:rFonts w:ascii="Times New Roman" w:eastAsia="楷体_GB2312" w:hAnsi="Times New Roman"/>
          <w:sz w:val="32"/>
          <w:szCs w:val="32"/>
        </w:rPr>
        <w:t>年</w:t>
      </w:r>
      <w:r w:rsidRPr="00BD3E97">
        <w:rPr>
          <w:rFonts w:ascii="Times New Roman" w:eastAsia="楷体_GB2312" w:hAnsi="Times New Roman"/>
          <w:sz w:val="32"/>
          <w:szCs w:val="32"/>
        </w:rPr>
        <w:t>4</w:t>
      </w:r>
      <w:r w:rsidRPr="00BD3E97">
        <w:rPr>
          <w:rFonts w:ascii="Times New Roman" w:eastAsia="楷体_GB2312" w:hAnsi="Times New Roman"/>
          <w:sz w:val="32"/>
          <w:szCs w:val="32"/>
        </w:rPr>
        <w:t>月</w:t>
      </w:r>
      <w:r w:rsidRPr="00BD3E97">
        <w:rPr>
          <w:rFonts w:ascii="Times New Roman" w:eastAsia="楷体_GB2312" w:hAnsi="Times New Roman"/>
          <w:sz w:val="32"/>
          <w:szCs w:val="32"/>
        </w:rPr>
        <w:t>26</w:t>
      </w:r>
      <w:r w:rsidRPr="00BD3E97">
        <w:rPr>
          <w:rFonts w:ascii="Times New Roman" w:eastAsia="楷体_GB2312" w:hAnsi="Times New Roman"/>
          <w:sz w:val="32"/>
          <w:szCs w:val="32"/>
        </w:rPr>
        <w:t>日</w:t>
      </w:r>
    </w:p>
    <w:p w:rsidR="008054E5" w:rsidRPr="00BD3E97" w:rsidRDefault="008054E5">
      <w:pPr>
        <w:pStyle w:val="a4"/>
        <w:spacing w:line="560" w:lineRule="exact"/>
        <w:jc w:val="both"/>
        <w:rPr>
          <w:rFonts w:ascii="Times New Roman" w:hAnsi="Times New Roman"/>
        </w:rPr>
      </w:pPr>
    </w:p>
    <w:p w:rsidR="008054E5" w:rsidRPr="00827B12" w:rsidRDefault="008054E5">
      <w:pPr>
        <w:widowControl/>
        <w:jc w:val="left"/>
        <w:rPr>
          <w:rFonts w:ascii="Times New Roman" w:eastAsia="仿宋_GB2312" w:hAnsi="Times New Roman"/>
          <w:kern w:val="0"/>
          <w:sz w:val="32"/>
          <w:szCs w:val="32"/>
        </w:rPr>
      </w:pPr>
      <w:bookmarkStart w:id="0" w:name="_GoBack"/>
      <w:bookmarkEnd w:id="0"/>
    </w:p>
    <w:p w:rsidR="008054E5" w:rsidRPr="00BD3E97" w:rsidRDefault="00BD3E97" w:rsidP="00BD3E97">
      <w:pPr>
        <w:widowControl/>
        <w:spacing w:line="580" w:lineRule="exact"/>
        <w:ind w:firstLineChars="200" w:firstLine="640"/>
        <w:jc w:val="left"/>
        <w:rPr>
          <w:rFonts w:ascii="Times New Roman" w:eastAsia="仿宋_GB2312" w:hAnsi="Times New Roman"/>
          <w:spacing w:val="-6"/>
          <w:kern w:val="0"/>
          <w:sz w:val="32"/>
          <w:szCs w:val="32"/>
        </w:rPr>
      </w:pPr>
      <w:r w:rsidRPr="00BD3E97">
        <w:rPr>
          <w:rFonts w:ascii="Times New Roman" w:eastAsia="仿宋_GB2312" w:hAnsi="Times New Roman"/>
          <w:noProof/>
          <w:spacing w:val="-6"/>
          <w:kern w:val="0"/>
          <w:sz w:val="32"/>
          <w:szCs w:val="32"/>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margin">
                  <wp:posOffset>3238500</wp:posOffset>
                </wp:positionV>
                <wp:extent cx="5615940" cy="0"/>
                <wp:effectExtent l="0" t="19050" r="3810" b="19050"/>
                <wp:wrapNone/>
                <wp:docPr id="3"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xmlns:wpsCustomData="http://www.wps.cn/officeDocument/2013/wpsCustomData">
            <w:pict>
              <v:line id="直接连接符 1" o:spid="_x0000_s1026" o:spt="20" style="position:absolute;left:0pt;margin-left:-0.1pt;margin-top:255pt;height:0pt;width:442.2pt;mso-position-vertical-relative:margin;z-index:-251657216;mso-width-relative:page;mso-height-relative:page;" filled="f" stroked="t" coordsize="21600,21600" o:gfxdata="UEsDBAoAAAAAAIdO4kAAAAAAAAAAAAAAAAAEAAAAZHJzL1BLAwQUAAAACACHTuJAcKq2pdg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wqral2AAAAAkBAAAPAAAAAAAAAAEAIAAAACIAAABkcnMvZG93bnJldi54bWxQSwEC&#10;FAAUAAAACACHTuJAKi4J2PQBAADnAwAADgAAAAAAAAABACAAAAAnAQAAZHJzL2Uyb0RvYy54bWxQ&#10;SwUGAAAAAAYABgBZAQAAjQUAAAAA&#10;">
                <v:fill on="f" focussize="0,0"/>
                <v:stroke weight="3pt" color="#FF0000" joinstyle="round"/>
                <v:imagedata o:title=""/>
                <o:lock v:ext="edit" aspectratio="f"/>
              </v:line>
            </w:pict>
          </mc:Fallback>
        </mc:AlternateConten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年</w:t>
      </w:r>
      <w:r w:rsidRPr="00BD3E97">
        <w:rPr>
          <w:rFonts w:ascii="Times New Roman" w:eastAsia="仿宋_GB2312" w:hAnsi="Times New Roman"/>
          <w:spacing w:val="-6"/>
          <w:kern w:val="0"/>
          <w:sz w:val="32"/>
          <w:szCs w:val="32"/>
        </w:rPr>
        <w:t>4</w:t>
      </w:r>
      <w:r w:rsidRPr="00BD3E97">
        <w:rPr>
          <w:rFonts w:ascii="Times New Roman" w:eastAsia="仿宋_GB2312" w:hAnsi="Times New Roman"/>
          <w:spacing w:val="-6"/>
          <w:kern w:val="0"/>
          <w:sz w:val="32"/>
          <w:szCs w:val="32"/>
        </w:rPr>
        <w:t>月</w:t>
      </w:r>
      <w:r w:rsidRPr="00BD3E97">
        <w:rPr>
          <w:rFonts w:ascii="Times New Roman" w:eastAsia="仿宋_GB2312" w:hAnsi="Times New Roman"/>
          <w:spacing w:val="-6"/>
          <w:kern w:val="0"/>
          <w:sz w:val="32"/>
          <w:szCs w:val="32"/>
        </w:rPr>
        <w:t>23</w:t>
      </w:r>
      <w:r w:rsidRPr="00BD3E97">
        <w:rPr>
          <w:rFonts w:ascii="Times New Roman" w:eastAsia="仿宋_GB2312" w:hAnsi="Times New Roman"/>
          <w:spacing w:val="-6"/>
          <w:kern w:val="0"/>
          <w:sz w:val="32"/>
          <w:szCs w:val="32"/>
        </w:rPr>
        <w:t>日下午，徐华东市长主持召开市政府第</w:t>
      </w:r>
      <w:r w:rsidRPr="00BD3E97">
        <w:rPr>
          <w:rFonts w:ascii="Times New Roman" w:eastAsia="仿宋_GB2312" w:hAnsi="Times New Roman"/>
          <w:spacing w:val="-6"/>
          <w:kern w:val="0"/>
          <w:sz w:val="32"/>
          <w:szCs w:val="32"/>
        </w:rPr>
        <w:t>43</w:t>
      </w:r>
      <w:r w:rsidRPr="00BD3E97">
        <w:rPr>
          <w:rFonts w:ascii="Times New Roman" w:eastAsia="仿宋_GB2312" w:hAnsi="Times New Roman"/>
          <w:spacing w:val="-6"/>
          <w:kern w:val="0"/>
          <w:sz w:val="32"/>
          <w:szCs w:val="32"/>
        </w:rPr>
        <w:t>次常务会议，审议《太仓市见义勇为称号评定实施办法》《太仓市民卡、三代社保卡在居民服务一卡通领域双卡合并实施方案》、暂缓《关于太仓房屋征收搬迁中推行房票安置的实施办法》重大行政决策项目、《太仓市</w: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年法治政府建设工作要点》《太仓市动迁安置小区环境整治专项提升工作方案》《太仓市建筑垃圾综合治理工作方案》《</w: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年太仓市生活垃圾分类工作行动方案》《太仓市实施市容环卫管理区域范围、主要道路（街道）、重点地区和景观区域》《太仓市长江干流及通江河道水质稳定达标专项行动工作方案》《太仓市防汛抗旱应急预案（</w: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修订版）》《太仓市防御台风应急预案（</w: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修订版）》《太仓市特大暴雨城市防洪避险预案（</w:t>
      </w:r>
      <w:r w:rsidRPr="00BD3E97">
        <w:rPr>
          <w:rFonts w:ascii="Times New Roman" w:eastAsia="仿宋_GB2312" w:hAnsi="Times New Roman"/>
          <w:spacing w:val="-6"/>
          <w:kern w:val="0"/>
          <w:sz w:val="32"/>
          <w:szCs w:val="32"/>
        </w:rPr>
        <w:t>2024</w:t>
      </w:r>
      <w:r w:rsidRPr="00BD3E97">
        <w:rPr>
          <w:rFonts w:ascii="Times New Roman" w:eastAsia="仿宋_GB2312" w:hAnsi="Times New Roman"/>
          <w:spacing w:val="-6"/>
          <w:kern w:val="0"/>
          <w:sz w:val="32"/>
          <w:szCs w:val="32"/>
        </w:rPr>
        <w:t>修订版）》《关于深化产教融合推进</w:t>
      </w:r>
      <w:r w:rsidRPr="00BD3E97">
        <w:rPr>
          <w:rFonts w:ascii="Times New Roman" w:eastAsia="仿宋_GB2312" w:hAnsi="Times New Roman"/>
          <w:spacing w:val="-6"/>
          <w:kern w:val="0"/>
          <w:sz w:val="32"/>
          <w:szCs w:val="32"/>
        </w:rPr>
        <w:t>“</w:t>
      </w:r>
      <w:r w:rsidRPr="00BD3E97">
        <w:rPr>
          <w:rFonts w:ascii="Times New Roman" w:eastAsia="仿宋_GB2312" w:hAnsi="Times New Roman"/>
          <w:spacing w:val="-6"/>
          <w:kern w:val="0"/>
          <w:sz w:val="32"/>
          <w:szCs w:val="32"/>
        </w:rPr>
        <w:t>双元制</w:t>
      </w:r>
      <w:r w:rsidRPr="00BD3E97">
        <w:rPr>
          <w:rFonts w:ascii="Times New Roman" w:eastAsia="仿宋_GB2312" w:hAnsi="Times New Roman"/>
          <w:spacing w:val="-6"/>
          <w:kern w:val="0"/>
          <w:sz w:val="32"/>
          <w:szCs w:val="32"/>
        </w:rPr>
        <w:t>”</w:t>
      </w:r>
      <w:r w:rsidRPr="00BD3E97">
        <w:rPr>
          <w:rFonts w:ascii="Times New Roman" w:eastAsia="仿宋_GB2312" w:hAnsi="Times New Roman"/>
          <w:spacing w:val="-6"/>
          <w:kern w:val="0"/>
          <w:sz w:val="32"/>
          <w:szCs w:val="32"/>
        </w:rPr>
        <w:t>教育高质量发展的若干政策》，听取特种设备安全生产专业委员会、高新区管委会关于安全生产工作情况的汇报。</w:t>
      </w:r>
    </w:p>
    <w:p w:rsidR="008054E5" w:rsidRPr="00BD3E97" w:rsidRDefault="00BD3E97" w:rsidP="00BD3E97">
      <w:pPr>
        <w:widowControl/>
        <w:spacing w:line="580" w:lineRule="exact"/>
        <w:ind w:firstLineChars="200" w:firstLine="640"/>
        <w:jc w:val="left"/>
        <w:rPr>
          <w:rFonts w:ascii="Times New Roman" w:eastAsia="仿宋_GB2312" w:hAnsi="Times New Roman"/>
          <w:kern w:val="0"/>
          <w:sz w:val="32"/>
          <w:szCs w:val="32"/>
        </w:rPr>
      </w:pPr>
      <w:r w:rsidRPr="00BD3E97">
        <w:rPr>
          <w:rFonts w:ascii="Times New Roman" w:eastAsia="仿宋_GB2312" w:hAnsi="Times New Roman"/>
          <w:kern w:val="0"/>
          <w:sz w:val="32"/>
          <w:szCs w:val="32"/>
        </w:rPr>
        <w:t>会议议定以下意见：</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一、审议《太仓市见义勇为称号评定实施办法》</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sz w:val="32"/>
          <w:szCs w:val="32"/>
        </w:rPr>
        <w:t>（一）会议原则同意《太仓市见义勇为称号评定实施办法》。会后市公安局根据会议讨论意见作进一步修改完善后，按程序以市政府名义印发实施。</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实施办法》出台后，要以此为抓手，结合我市实际开展好见义勇为先进事迹表彰活动，注意宣传的及时有效性，坚持即时表彰与集中表彰相结合，评选出一批事迹感人、表现突出、社会影响力好、具有示范典型作用的见义勇为先进个人、群体，感召更多市民参与到平安太仓的建设中，进一步弘扬见义勇为精神，传递社会正能量。</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三）要加强组织领导，精简评定机构，由市见义勇为人员奖励和保护工作委员会承担见义勇为称号评定的推荐、评审等工作。各成员单位要坚持实事求是、公平公正，对照职责任务，共同研究落实好推荐、评审工作，确保我市见义勇为称号评选表彰工作规范有序、取得实效。</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二、审议《太仓市民卡、三代社保卡在居民服务一卡通领域双卡合并实施方案》</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（一）会议原则同意《太仓市民卡、三代社保卡在居民服务一卡通领域双卡合并实施方案》。会后市综合指挥中心根据会议讨论意见作进一步修改完善后，按程序以市政府办公室名义印发实施。</w:t>
      </w:r>
    </w:p>
    <w:p w:rsidR="008054E5" w:rsidRPr="00BD3E97" w:rsidRDefault="00BD3E97" w:rsidP="00BD3E97">
      <w:pPr>
        <w:tabs>
          <w:tab w:val="left" w:pos="30"/>
        </w:tabs>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推动市民卡、三代社保卡双卡合并，建立一卡通服务体系，是加快城市数字转型的基础性和先导性工作，对于我市深度融入长三角一体化，串联线上线下服务流程，实现交通出行、医疗卫生、旅游观光等方面</w:t>
      </w:r>
      <w:r w:rsidRPr="00BD3E97">
        <w:rPr>
          <w:rFonts w:ascii="Times New Roman" w:eastAsia="仿宋_GB2312" w:hAnsi="Times New Roman"/>
          <w:sz w:val="32"/>
          <w:szCs w:val="32"/>
        </w:rPr>
        <w:t>“</w:t>
      </w:r>
      <w:r w:rsidRPr="00BD3E97">
        <w:rPr>
          <w:rFonts w:ascii="Times New Roman" w:eastAsia="仿宋_GB2312" w:hAnsi="Times New Roman"/>
          <w:sz w:val="32"/>
          <w:szCs w:val="32"/>
        </w:rPr>
        <w:t>同城待遇</w:t>
      </w:r>
      <w:r w:rsidRPr="00BD3E97">
        <w:rPr>
          <w:rFonts w:ascii="Times New Roman" w:eastAsia="仿宋_GB2312" w:hAnsi="Times New Roman"/>
          <w:sz w:val="32"/>
          <w:szCs w:val="32"/>
        </w:rPr>
        <w:t>”</w:t>
      </w:r>
      <w:r w:rsidRPr="00BD3E97">
        <w:rPr>
          <w:rFonts w:ascii="Times New Roman" w:eastAsia="仿宋_GB2312" w:hAnsi="Times New Roman"/>
          <w:sz w:val="32"/>
          <w:szCs w:val="32"/>
        </w:rPr>
        <w:t>意义重大。要统筹推进实施，双卡合并工作涉及部门多、影响面大，市综指中心要会人社局、国资集团等，科学谋划、分步骤推进，加强日常调度和部门协同，定期召开工作例会，确保推进过程平稳有序。</w:t>
      </w:r>
    </w:p>
    <w:p w:rsidR="008054E5" w:rsidRPr="00BD3E97" w:rsidRDefault="00BD3E97" w:rsidP="00BD3E97">
      <w:pPr>
        <w:tabs>
          <w:tab w:val="left" w:pos="30"/>
        </w:tabs>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（三）要做好居民宣传引导，双卡合并工作关键要突出</w:t>
      </w:r>
      <w:r w:rsidRPr="00BD3E97">
        <w:rPr>
          <w:rFonts w:ascii="Times New Roman" w:eastAsia="仿宋_GB2312" w:hAnsi="Times New Roman"/>
          <w:sz w:val="32"/>
          <w:szCs w:val="32"/>
        </w:rPr>
        <w:t>“</w:t>
      </w:r>
      <w:r w:rsidRPr="00BD3E97">
        <w:rPr>
          <w:rFonts w:ascii="Times New Roman" w:eastAsia="仿宋_GB2312" w:hAnsi="Times New Roman"/>
          <w:sz w:val="32"/>
          <w:szCs w:val="32"/>
        </w:rPr>
        <w:t>人</w:t>
      </w:r>
      <w:r w:rsidRPr="00BD3E97">
        <w:rPr>
          <w:rFonts w:ascii="Times New Roman" w:eastAsia="仿宋_GB2312" w:hAnsi="Times New Roman"/>
          <w:sz w:val="32"/>
          <w:szCs w:val="32"/>
        </w:rPr>
        <w:t>”</w:t>
      </w:r>
      <w:r w:rsidRPr="00BD3E97">
        <w:rPr>
          <w:rFonts w:ascii="Times New Roman" w:eastAsia="仿宋_GB2312" w:hAnsi="Times New Roman"/>
          <w:sz w:val="32"/>
          <w:szCs w:val="32"/>
        </w:rPr>
        <w:t>这个核心，充分考虑人的体验，满足市民多样化需求。各部门要坚持应用为先，以</w:t>
      </w:r>
      <w:r w:rsidRPr="00BD3E97">
        <w:rPr>
          <w:rFonts w:ascii="Times New Roman" w:eastAsia="仿宋_GB2312" w:hAnsi="Times New Roman"/>
          <w:sz w:val="32"/>
          <w:szCs w:val="32"/>
        </w:rPr>
        <w:t>“</w:t>
      </w:r>
      <w:r w:rsidRPr="00BD3E97">
        <w:rPr>
          <w:rFonts w:ascii="Times New Roman" w:eastAsia="仿宋_GB2312" w:hAnsi="Times New Roman"/>
          <w:sz w:val="32"/>
          <w:szCs w:val="32"/>
        </w:rPr>
        <w:t>一卡一码一库一平台一体系</w:t>
      </w:r>
      <w:r w:rsidRPr="00BD3E97">
        <w:rPr>
          <w:rFonts w:ascii="Times New Roman" w:eastAsia="仿宋_GB2312" w:hAnsi="Times New Roman"/>
          <w:sz w:val="32"/>
          <w:szCs w:val="32"/>
        </w:rPr>
        <w:t>N</w:t>
      </w:r>
      <w:r w:rsidRPr="00BD3E97">
        <w:rPr>
          <w:rFonts w:ascii="Times New Roman" w:eastAsia="仿宋_GB2312" w:hAnsi="Times New Roman"/>
          <w:sz w:val="32"/>
          <w:szCs w:val="32"/>
        </w:rPr>
        <w:t>领域</w:t>
      </w:r>
      <w:r w:rsidRPr="00BD3E97">
        <w:rPr>
          <w:rFonts w:ascii="Times New Roman" w:eastAsia="仿宋_GB2312" w:hAnsi="Times New Roman"/>
          <w:sz w:val="32"/>
          <w:szCs w:val="32"/>
        </w:rPr>
        <w:t>”</w:t>
      </w:r>
      <w:r w:rsidRPr="00BD3E97">
        <w:rPr>
          <w:rFonts w:ascii="Times New Roman" w:eastAsia="仿宋_GB2312" w:hAnsi="Times New Roman"/>
          <w:sz w:val="32"/>
          <w:szCs w:val="32"/>
        </w:rPr>
        <w:t>为工作主线，以</w:t>
      </w:r>
      <w:r w:rsidRPr="00BD3E97">
        <w:rPr>
          <w:rFonts w:ascii="Times New Roman" w:eastAsia="仿宋_GB2312" w:hAnsi="Times New Roman"/>
          <w:sz w:val="32"/>
          <w:szCs w:val="32"/>
        </w:rPr>
        <w:t>“</w:t>
      </w:r>
      <w:r w:rsidRPr="00BD3E97">
        <w:rPr>
          <w:rFonts w:ascii="Times New Roman" w:eastAsia="仿宋_GB2312" w:hAnsi="Times New Roman"/>
          <w:sz w:val="32"/>
          <w:szCs w:val="32"/>
        </w:rPr>
        <w:t>卡、码</w:t>
      </w:r>
      <w:r w:rsidRPr="00BD3E97">
        <w:rPr>
          <w:rFonts w:ascii="Times New Roman" w:eastAsia="仿宋_GB2312" w:hAnsi="Times New Roman"/>
          <w:sz w:val="32"/>
          <w:szCs w:val="32"/>
        </w:rPr>
        <w:t>”</w:t>
      </w:r>
      <w:r w:rsidRPr="00BD3E97">
        <w:rPr>
          <w:rFonts w:ascii="Times New Roman" w:eastAsia="仿宋_GB2312" w:hAnsi="Times New Roman"/>
          <w:sz w:val="32"/>
          <w:szCs w:val="32"/>
        </w:rPr>
        <w:t>的创新应用为突破口，着力破解城市服务和生活中的痛点、难点问题，不断拓展应用范围，提升服务功能。</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三、审议暂缓《关于太仓房屋征收搬迁中推行房票安置的实施办法》重大行政决策项目</w:t>
      </w:r>
    </w:p>
    <w:p w:rsidR="008054E5" w:rsidRPr="00BD3E97" w:rsidRDefault="00BD3E97" w:rsidP="00BD3E97">
      <w:pPr>
        <w:widowControl/>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kern w:val="0"/>
          <w:sz w:val="32"/>
          <w:szCs w:val="32"/>
        </w:rPr>
        <w:t>（</w:t>
      </w:r>
      <w:r w:rsidRPr="00BD3E97">
        <w:rPr>
          <w:rFonts w:ascii="Times New Roman" w:eastAsia="仿宋_GB2312" w:hAnsi="Times New Roman"/>
          <w:sz w:val="32"/>
          <w:szCs w:val="32"/>
        </w:rPr>
        <w:t>一）会议原则同意暂缓《关于太仓房屋征收搬迁中推行房票安置的实施办法》重大行政决策项目，会后市司法局根据会议讨论意见，按程序以市政府办公室名义发文明确暂缓实施该项目。</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政府部门在确定重大行政决策事项时应当更加慎重周全，更多考虑一类事而非一件事。重大行政决策事项的暂缓执行或作出重大调整，也须经过原决策机构的审议。各部门在行政工作中要增强依法行政、依法决策意识，按照法定程序，准确把握重大行政决策事项范围，主动运用法治思维和法治方式，规范重大行政决策程序，确保重大行政决策符合法定要求。</w:t>
      </w:r>
    </w:p>
    <w:p w:rsidR="008054E5" w:rsidRPr="00BD3E97" w:rsidRDefault="00BD3E97" w:rsidP="00BD3E97">
      <w:pPr>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kern w:val="0"/>
          <w:sz w:val="32"/>
          <w:szCs w:val="32"/>
        </w:rPr>
        <w:t>（三）</w:t>
      </w:r>
      <w:r w:rsidRPr="00BD3E97">
        <w:rPr>
          <w:rFonts w:ascii="Times New Roman" w:eastAsia="仿宋_GB2312" w:hAnsi="Times New Roman"/>
          <w:sz w:val="32"/>
          <w:szCs w:val="32"/>
        </w:rPr>
        <w:t>决策承办单位要采取有效措施，避免或减少可能产生的不利影响。市政府办、司法局要加强对重大行政决策的统筹协调和监督指导，将重大行政决策规范落实情况作为法治政府建设督查的重要内容，促进行政决策更加科学规范。</w:t>
      </w:r>
    </w:p>
    <w:p w:rsidR="008054E5" w:rsidRPr="00BD3E97" w:rsidRDefault="00BD3E97" w:rsidP="00BD3E97">
      <w:pPr>
        <w:widowControl/>
        <w:spacing w:line="580" w:lineRule="exact"/>
        <w:ind w:firstLineChars="200" w:firstLine="620"/>
        <w:jc w:val="left"/>
        <w:rPr>
          <w:rFonts w:ascii="Times New Roman" w:eastAsia="黑体" w:hAnsi="Times New Roman"/>
          <w:kern w:val="0"/>
          <w:sz w:val="31"/>
          <w:szCs w:val="31"/>
          <w:lang w:bidi="ar"/>
        </w:rPr>
      </w:pPr>
      <w:r w:rsidRPr="00BD3E97">
        <w:rPr>
          <w:rFonts w:ascii="Times New Roman" w:eastAsia="黑体" w:hAnsi="Times New Roman"/>
          <w:kern w:val="0"/>
          <w:sz w:val="31"/>
          <w:szCs w:val="31"/>
          <w:lang w:bidi="ar"/>
        </w:rPr>
        <w:t>四、审议《太仓市</w:t>
      </w:r>
      <w:r w:rsidRPr="00BD3E97">
        <w:rPr>
          <w:rFonts w:ascii="Times New Roman" w:hAnsi="Times New Roman"/>
          <w:kern w:val="0"/>
          <w:sz w:val="31"/>
          <w:szCs w:val="31"/>
          <w:lang w:bidi="ar"/>
        </w:rPr>
        <w:t>2024</w:t>
      </w:r>
      <w:r w:rsidRPr="00BD3E97">
        <w:rPr>
          <w:rFonts w:ascii="Times New Roman" w:eastAsia="黑体" w:hAnsi="Times New Roman"/>
          <w:kern w:val="0"/>
          <w:sz w:val="31"/>
          <w:szCs w:val="31"/>
          <w:lang w:bidi="ar"/>
        </w:rPr>
        <w:t>年法治政府建设工作要点》</w:t>
      </w:r>
    </w:p>
    <w:p w:rsidR="008054E5" w:rsidRPr="00BD3E97" w:rsidRDefault="00BD3E97" w:rsidP="00BD3E97">
      <w:pPr>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sz w:val="32"/>
          <w:szCs w:val="32"/>
        </w:rPr>
        <w:t>（一）会议原则同意《太仓市</w:t>
      </w:r>
      <w:r w:rsidRPr="00BD3E97">
        <w:rPr>
          <w:rFonts w:ascii="Times New Roman" w:eastAsia="仿宋_GB2312" w:hAnsi="Times New Roman"/>
          <w:sz w:val="32"/>
          <w:szCs w:val="32"/>
        </w:rPr>
        <w:t>2024</w:t>
      </w:r>
      <w:r w:rsidRPr="00BD3E97">
        <w:rPr>
          <w:rFonts w:ascii="Times New Roman" w:eastAsia="仿宋_GB2312" w:hAnsi="Times New Roman"/>
          <w:sz w:val="32"/>
          <w:szCs w:val="32"/>
        </w:rPr>
        <w:t>年法治政府建设工作要点》，会后市司法局根据会议讨论意见作进一步修改完善后，按程序</w:t>
      </w:r>
      <w:r w:rsidRPr="00BD3E97">
        <w:rPr>
          <w:rFonts w:ascii="Times New Roman" w:eastAsia="仿宋_GB2312" w:hAnsi="Times New Roman"/>
          <w:spacing w:val="-6"/>
          <w:kern w:val="0"/>
          <w:sz w:val="32"/>
          <w:szCs w:val="32"/>
        </w:rPr>
        <w:t>以市政府办公室名义印发。</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深化依法行政实践，是优化营商环境的根本保障，是提升政府治理效能的关键所在，更是保障人民权益的坚实屏障。全市上下要坚定扛起法治政府建设责任，以更大力度、更高质量、更严标准推动我市法治政府建设实现新突破。要精准施策，聚焦优化法治化营商环境、提升行政执法质效、压降行政诉讼败诉率、推进行政争议实质性化解、提高人民群众满意度等关键环节，精准发力，补齐短板，全力争创第三批全省法治政府建设示范地区。</w:t>
      </w:r>
    </w:p>
    <w:p w:rsidR="008054E5" w:rsidRPr="00BD3E97" w:rsidRDefault="00BD3E97" w:rsidP="00BD3E97">
      <w:pPr>
        <w:spacing w:line="580" w:lineRule="exact"/>
        <w:ind w:firstLineChars="200" w:firstLine="640"/>
        <w:rPr>
          <w:rFonts w:ascii="Times New Roman" w:eastAsia="黑体" w:hAnsi="Times New Roman"/>
          <w:kern w:val="0"/>
          <w:sz w:val="31"/>
          <w:szCs w:val="31"/>
          <w:lang w:bidi="ar"/>
        </w:rPr>
      </w:pPr>
      <w:r w:rsidRPr="00BD3E97">
        <w:rPr>
          <w:rFonts w:ascii="Times New Roman" w:eastAsia="仿宋_GB2312" w:hAnsi="Times New Roman"/>
          <w:sz w:val="32"/>
          <w:szCs w:val="32"/>
        </w:rPr>
        <w:t>（三）各责任部门要认真研究工作要点和分工，市司法局要牵头抓总，与相关部门做好对接，进一步细化分解工作任务清单。对于涉及多部门的任务，要主动加强沟通协作，打破壁垒，确保法治政府建设上下联动、整体推进。同时，要注重发挥创新精神，积极探索法治政府建设新模式、新路径，深入挖掘、总结提炼好的经验做法，全力打造特色亮点。</w:t>
      </w:r>
    </w:p>
    <w:p w:rsidR="008054E5" w:rsidRPr="00BD3E97" w:rsidRDefault="00BD3E97" w:rsidP="00BD3E97">
      <w:pPr>
        <w:widowControl/>
        <w:spacing w:line="580" w:lineRule="exact"/>
        <w:ind w:firstLineChars="200" w:firstLine="620"/>
        <w:jc w:val="left"/>
        <w:rPr>
          <w:rFonts w:ascii="Times New Roman" w:eastAsia="黑体" w:hAnsi="Times New Roman"/>
          <w:kern w:val="0"/>
          <w:sz w:val="31"/>
          <w:szCs w:val="31"/>
          <w:lang w:bidi="ar"/>
        </w:rPr>
      </w:pPr>
      <w:r w:rsidRPr="00BD3E97">
        <w:rPr>
          <w:rFonts w:ascii="Times New Roman" w:eastAsia="黑体" w:hAnsi="Times New Roman"/>
          <w:kern w:val="0"/>
          <w:sz w:val="31"/>
          <w:szCs w:val="31"/>
          <w:lang w:bidi="ar"/>
        </w:rPr>
        <w:t>五、审议《太仓市动迁安置小区环境整治专项提升工作方案》</w:t>
      </w:r>
    </w:p>
    <w:p w:rsidR="008054E5" w:rsidRPr="00BD3E97" w:rsidRDefault="00BD3E97" w:rsidP="00BD3E97">
      <w:pPr>
        <w:spacing w:line="580" w:lineRule="exact"/>
        <w:ind w:firstLineChars="200" w:firstLine="640"/>
        <w:rPr>
          <w:rFonts w:ascii="Times New Roman" w:eastAsia="仿宋_GB2312" w:hAnsi="Times New Roman"/>
          <w:kern w:val="0"/>
          <w:sz w:val="32"/>
          <w:szCs w:val="32"/>
          <w:lang w:bidi="ar"/>
        </w:rPr>
      </w:pPr>
      <w:r w:rsidRPr="00BD3E97">
        <w:rPr>
          <w:rFonts w:ascii="Times New Roman" w:eastAsia="仿宋_GB2312" w:hAnsi="Times New Roman"/>
          <w:kern w:val="0"/>
          <w:sz w:val="32"/>
          <w:szCs w:val="32"/>
          <w:lang w:bidi="ar"/>
        </w:rPr>
        <w:t>（一）会议原则同意《太仓市动迁安置小区环境整治专项提升工作方案》。会后由</w:t>
      </w:r>
      <w:r w:rsidRPr="00BD3E97">
        <w:rPr>
          <w:rFonts w:ascii="Times New Roman" w:eastAsia="仿宋_GB2312" w:hAnsi="Times New Roman"/>
          <w:sz w:val="32"/>
          <w:szCs w:val="32"/>
        </w:rPr>
        <w:t>市住建局根据会议讨论意见作进一步修改完善后，按程序</w:t>
      </w:r>
      <w:r w:rsidRPr="00BD3E97">
        <w:rPr>
          <w:rFonts w:ascii="Times New Roman" w:eastAsia="仿宋_GB2312" w:hAnsi="Times New Roman"/>
          <w:spacing w:val="-6"/>
          <w:kern w:val="0"/>
          <w:sz w:val="32"/>
          <w:szCs w:val="32"/>
        </w:rPr>
        <w:t>以市政府办公室名义印发实施。</w:t>
      </w:r>
    </w:p>
    <w:p w:rsidR="008054E5" w:rsidRPr="00BD3E97" w:rsidRDefault="00BD3E97" w:rsidP="00BD3E97">
      <w:pPr>
        <w:pStyle w:val="ac"/>
        <w:spacing w:before="0" w:beforeAutospacing="0" w:after="0" w:afterAutospacing="0" w:line="580" w:lineRule="exact"/>
        <w:ind w:firstLineChars="200" w:firstLine="640"/>
        <w:rPr>
          <w:rFonts w:ascii="Times New Roman" w:eastAsia="仿宋_GB2312" w:hAnsi="Times New Roman" w:cs="Times New Roman"/>
          <w:kern w:val="2"/>
          <w:sz w:val="32"/>
          <w:szCs w:val="32"/>
        </w:rPr>
      </w:pPr>
      <w:r w:rsidRPr="00BD3E97">
        <w:rPr>
          <w:rFonts w:ascii="Times New Roman" w:eastAsia="仿宋_GB2312" w:hAnsi="Times New Roman" w:cs="Times New Roman"/>
          <w:kern w:val="2"/>
          <w:sz w:val="32"/>
          <w:szCs w:val="32"/>
        </w:rPr>
        <w:t>（二）要提高站位，正确认识动迁安置小区环境整治提升工作的重要性和紧迫性，充分认识到这是关乎民众生活幸福指数、城市形象、社会和谐的重大任务，不容丝毫懈怠。要创新工作思路，突出重点，注重综合效果。共性问题由市住建局牵头，做好对上对接联系，加强与区镇沟通协调，形成基本一致的标准；个性问题由各区镇梳理制定个性方案一案一策，解决好具体问题，确保整治工作靶向精准、成果显著。</w:t>
      </w:r>
    </w:p>
    <w:p w:rsidR="008054E5" w:rsidRPr="00BD3E97" w:rsidRDefault="00BD3E97" w:rsidP="00BD3E97">
      <w:pPr>
        <w:pStyle w:val="ac"/>
        <w:spacing w:before="0" w:beforeAutospacing="0" w:after="0" w:afterAutospacing="0" w:line="580" w:lineRule="exact"/>
        <w:ind w:firstLineChars="200" w:firstLine="640"/>
        <w:rPr>
          <w:rFonts w:ascii="Times New Roman" w:eastAsia="仿宋_GB2312" w:hAnsi="Times New Roman" w:cs="Times New Roman"/>
          <w:kern w:val="2"/>
          <w:sz w:val="32"/>
          <w:szCs w:val="32"/>
        </w:rPr>
      </w:pPr>
      <w:r w:rsidRPr="00BD3E97">
        <w:rPr>
          <w:rFonts w:ascii="Times New Roman" w:eastAsia="仿宋_GB2312" w:hAnsi="Times New Roman" w:cs="Times New Roman"/>
          <w:kern w:val="2"/>
          <w:sz w:val="32"/>
          <w:szCs w:val="32"/>
        </w:rPr>
        <w:t>（三）要形成长效管理机制，在集中专项整治的基础上，务求常态长效。各部门之间要强化协调配合、政策资源集成，市政府办要对该项工作定期开展督查，确保各项部署要求落到实处，完善基础设施，提升便民服务与物业管理，着力解决安全、环境问题，共同推动动迁安置小区环境面貌实现根本性改善。</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六、听取特种设备安全生产专业委员会、高新区管委会关于安全生产工作情况的汇报</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（一）会议分别听取了市特种设备安全生产专业委员会、高新区管委会关于安全生产工作情况的汇报，原则同意两家单位下</w:t>
      </w:r>
      <w:r w:rsidRPr="00BD3E97">
        <w:rPr>
          <w:rFonts w:ascii="Times New Roman" w:eastAsia="仿宋_GB2312" w:hAnsi="Times New Roman"/>
          <w:spacing w:val="-6"/>
          <w:sz w:val="32"/>
          <w:szCs w:val="32"/>
        </w:rPr>
        <w:t>一步工作计划，会后市市场监管局、高新区牵头抓好落实相关工作。</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（二）安全生产大于天，要以</w:t>
      </w:r>
      <w:r w:rsidRPr="00BD3E97">
        <w:rPr>
          <w:rFonts w:ascii="Times New Roman" w:eastAsia="仿宋_GB2312" w:hAnsi="Times New Roman"/>
          <w:sz w:val="32"/>
          <w:szCs w:val="32"/>
        </w:rPr>
        <w:t>“</w:t>
      </w:r>
      <w:r w:rsidRPr="00BD3E97">
        <w:rPr>
          <w:rFonts w:ascii="Times New Roman" w:eastAsia="仿宋_GB2312" w:hAnsi="Times New Roman"/>
          <w:sz w:val="32"/>
          <w:szCs w:val="32"/>
        </w:rPr>
        <w:t>时时放心不下</w:t>
      </w:r>
      <w:r w:rsidRPr="00BD3E97">
        <w:rPr>
          <w:rFonts w:ascii="Times New Roman" w:eastAsia="仿宋_GB2312" w:hAnsi="Times New Roman"/>
          <w:sz w:val="32"/>
          <w:szCs w:val="32"/>
        </w:rPr>
        <w:t>”</w:t>
      </w:r>
      <w:r w:rsidRPr="00BD3E97">
        <w:rPr>
          <w:rFonts w:ascii="Times New Roman" w:eastAsia="仿宋_GB2312" w:hAnsi="Times New Roman"/>
          <w:sz w:val="32"/>
          <w:szCs w:val="32"/>
        </w:rPr>
        <w:t>的责任感和</w:t>
      </w:r>
      <w:r w:rsidRPr="00BD3E97">
        <w:rPr>
          <w:rFonts w:ascii="Times New Roman" w:eastAsia="仿宋_GB2312" w:hAnsi="Times New Roman"/>
          <w:sz w:val="32"/>
          <w:szCs w:val="32"/>
        </w:rPr>
        <w:t>“</w:t>
      </w:r>
      <w:r w:rsidRPr="00BD3E97">
        <w:rPr>
          <w:rFonts w:ascii="Times New Roman" w:eastAsia="仿宋_GB2312" w:hAnsi="Times New Roman"/>
          <w:sz w:val="32"/>
          <w:szCs w:val="32"/>
        </w:rPr>
        <w:t>须臾不可放松</w:t>
      </w:r>
      <w:r w:rsidRPr="00BD3E97">
        <w:rPr>
          <w:rFonts w:ascii="Times New Roman" w:eastAsia="仿宋_GB2312" w:hAnsi="Times New Roman"/>
          <w:sz w:val="32"/>
          <w:szCs w:val="32"/>
        </w:rPr>
        <w:t>”</w:t>
      </w:r>
      <w:r w:rsidRPr="00BD3E97">
        <w:rPr>
          <w:rFonts w:ascii="Times New Roman" w:eastAsia="仿宋_GB2312" w:hAnsi="Times New Roman"/>
          <w:sz w:val="32"/>
          <w:szCs w:val="32"/>
        </w:rPr>
        <w:t>的敏感性，慎终如始抓好各项安全防范措施落实，坚决守住安全发展底线。要强化责任意识，围绕</w:t>
      </w:r>
      <w:r w:rsidRPr="00BD3E97">
        <w:rPr>
          <w:rFonts w:ascii="Times New Roman" w:eastAsia="仿宋_GB2312" w:hAnsi="Times New Roman"/>
          <w:sz w:val="32"/>
          <w:szCs w:val="32"/>
        </w:rPr>
        <w:t>“</w:t>
      </w:r>
      <w:r w:rsidRPr="00BD3E97">
        <w:rPr>
          <w:rFonts w:ascii="Times New Roman" w:eastAsia="仿宋_GB2312" w:hAnsi="Times New Roman"/>
          <w:sz w:val="32"/>
          <w:szCs w:val="32"/>
        </w:rPr>
        <w:t>网格化</w:t>
      </w:r>
      <w:r w:rsidRPr="00BD3E97">
        <w:rPr>
          <w:rFonts w:ascii="Times New Roman" w:eastAsia="仿宋_GB2312" w:hAnsi="Times New Roman"/>
          <w:sz w:val="32"/>
          <w:szCs w:val="32"/>
        </w:rPr>
        <w:t>”“</w:t>
      </w:r>
      <w:r w:rsidRPr="00BD3E97">
        <w:rPr>
          <w:rFonts w:ascii="Times New Roman" w:eastAsia="仿宋_GB2312" w:hAnsi="Times New Roman"/>
          <w:sz w:val="32"/>
          <w:szCs w:val="32"/>
        </w:rPr>
        <w:t>专业化</w:t>
      </w:r>
      <w:r w:rsidRPr="00BD3E97">
        <w:rPr>
          <w:rFonts w:ascii="Times New Roman" w:eastAsia="仿宋_GB2312" w:hAnsi="Times New Roman"/>
          <w:sz w:val="32"/>
          <w:szCs w:val="32"/>
        </w:rPr>
        <w:t>”“</w:t>
      </w:r>
      <w:r w:rsidRPr="00BD3E97">
        <w:rPr>
          <w:rFonts w:ascii="Times New Roman" w:eastAsia="仿宋_GB2312" w:hAnsi="Times New Roman"/>
          <w:sz w:val="32"/>
          <w:szCs w:val="32"/>
        </w:rPr>
        <w:t>数字化</w:t>
      </w:r>
      <w:r w:rsidRPr="00BD3E97">
        <w:rPr>
          <w:rFonts w:ascii="Times New Roman" w:eastAsia="仿宋_GB2312" w:hAnsi="Times New Roman"/>
          <w:sz w:val="32"/>
          <w:szCs w:val="32"/>
        </w:rPr>
        <w:t>”</w:t>
      </w:r>
      <w:r w:rsidRPr="00BD3E97">
        <w:rPr>
          <w:rFonts w:ascii="Times New Roman" w:eastAsia="仿宋_GB2312" w:hAnsi="Times New Roman"/>
          <w:sz w:val="32"/>
          <w:szCs w:val="32"/>
        </w:rPr>
        <w:t>，落实部门监管责任，明确新兴业态安全监管，进一步消除监管盲区和死角，围绕</w:t>
      </w:r>
      <w:r w:rsidRPr="00BD3E97">
        <w:rPr>
          <w:rFonts w:ascii="Times New Roman" w:eastAsia="仿宋_GB2312" w:hAnsi="Times New Roman"/>
          <w:sz w:val="32"/>
          <w:szCs w:val="32"/>
        </w:rPr>
        <w:t>“</w:t>
      </w:r>
      <w:r w:rsidRPr="00BD3E97">
        <w:rPr>
          <w:rFonts w:ascii="Times New Roman" w:eastAsia="仿宋_GB2312" w:hAnsi="Times New Roman"/>
          <w:sz w:val="32"/>
          <w:szCs w:val="32"/>
        </w:rPr>
        <w:t>全员化</w:t>
      </w:r>
      <w:r w:rsidRPr="00BD3E97">
        <w:rPr>
          <w:rFonts w:ascii="Times New Roman" w:eastAsia="仿宋_GB2312" w:hAnsi="Times New Roman"/>
          <w:sz w:val="32"/>
          <w:szCs w:val="32"/>
        </w:rPr>
        <w:t>”“</w:t>
      </w:r>
      <w:r w:rsidRPr="00BD3E97">
        <w:rPr>
          <w:rFonts w:ascii="Times New Roman" w:eastAsia="仿宋_GB2312" w:hAnsi="Times New Roman"/>
          <w:sz w:val="32"/>
          <w:szCs w:val="32"/>
        </w:rPr>
        <w:t>实体化</w:t>
      </w:r>
      <w:r w:rsidRPr="00BD3E97">
        <w:rPr>
          <w:rFonts w:ascii="Times New Roman" w:eastAsia="仿宋_GB2312" w:hAnsi="Times New Roman"/>
          <w:sz w:val="32"/>
          <w:szCs w:val="32"/>
        </w:rPr>
        <w:t>”“</w:t>
      </w:r>
      <w:r w:rsidRPr="00BD3E97">
        <w:rPr>
          <w:rFonts w:ascii="Times New Roman" w:eastAsia="仿宋_GB2312" w:hAnsi="Times New Roman"/>
          <w:sz w:val="32"/>
          <w:szCs w:val="32"/>
        </w:rPr>
        <w:t>手册化</w:t>
      </w:r>
      <w:r w:rsidRPr="00BD3E97">
        <w:rPr>
          <w:rFonts w:ascii="Times New Roman" w:eastAsia="仿宋_GB2312" w:hAnsi="Times New Roman"/>
          <w:sz w:val="32"/>
          <w:szCs w:val="32"/>
        </w:rPr>
        <w:t>”</w:t>
      </w:r>
      <w:r w:rsidRPr="00BD3E97">
        <w:rPr>
          <w:rFonts w:ascii="Times New Roman" w:eastAsia="仿宋_GB2312" w:hAnsi="Times New Roman"/>
          <w:sz w:val="32"/>
          <w:szCs w:val="32"/>
        </w:rPr>
        <w:t>，压实特种设备等企业单位主体责任。</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三）要动态排查风险隐患，动态进行治理。各地各部门要定期分析研判形势，全面推进安全生产治本攻坚三年行动及各类专项整治行动，聚焦重点场所环节，深入排查风险隐患，解决矛盾突出问题。要强化协同共治，各专委会要发挥统筹牵头作用，联合成员单位全力推进联管联处，形成多元共治格局；也要注重广泛宣传，宽领域、多层面开展各类安全生产警示教育，营造</w:t>
      </w:r>
      <w:r w:rsidRPr="00BD3E97">
        <w:rPr>
          <w:rFonts w:ascii="Times New Roman" w:eastAsia="仿宋_GB2312" w:hAnsi="Times New Roman"/>
          <w:sz w:val="32"/>
          <w:szCs w:val="32"/>
        </w:rPr>
        <w:t>“</w:t>
      </w:r>
      <w:r w:rsidRPr="00BD3E97">
        <w:rPr>
          <w:rFonts w:ascii="Times New Roman" w:eastAsia="仿宋_GB2312" w:hAnsi="Times New Roman"/>
          <w:sz w:val="32"/>
          <w:szCs w:val="32"/>
        </w:rPr>
        <w:t>安全没有旁观者</w:t>
      </w:r>
      <w:r w:rsidRPr="00BD3E97">
        <w:rPr>
          <w:rFonts w:ascii="Times New Roman" w:eastAsia="仿宋_GB2312" w:hAnsi="Times New Roman"/>
          <w:sz w:val="32"/>
          <w:szCs w:val="32"/>
        </w:rPr>
        <w:t>”</w:t>
      </w:r>
      <w:r w:rsidRPr="00BD3E97">
        <w:rPr>
          <w:rFonts w:ascii="Times New Roman" w:eastAsia="仿宋_GB2312" w:hAnsi="Times New Roman"/>
          <w:sz w:val="32"/>
          <w:szCs w:val="32"/>
        </w:rPr>
        <w:t>的浓厚社会氛围，全面提升城市本质安全水平。</w:t>
      </w:r>
    </w:p>
    <w:p w:rsidR="008054E5" w:rsidRPr="00BD3E97" w:rsidRDefault="00BD3E97" w:rsidP="00BD3E97">
      <w:pPr>
        <w:widowControl/>
        <w:spacing w:line="580" w:lineRule="exact"/>
        <w:ind w:firstLineChars="200" w:firstLine="620"/>
        <w:jc w:val="left"/>
        <w:rPr>
          <w:rFonts w:ascii="Times New Roman" w:eastAsia="仿宋_GB2312" w:hAnsi="Times New Roman"/>
          <w:sz w:val="32"/>
          <w:szCs w:val="32"/>
        </w:rPr>
      </w:pPr>
      <w:r w:rsidRPr="00BD3E97">
        <w:rPr>
          <w:rFonts w:ascii="Times New Roman" w:eastAsia="黑体" w:hAnsi="Times New Roman"/>
          <w:kern w:val="0"/>
          <w:sz w:val="31"/>
          <w:szCs w:val="31"/>
          <w:lang w:bidi="ar"/>
        </w:rPr>
        <w:t>七、审议《太仓市建筑垃圾综合治理工作方案》</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kern w:val="0"/>
          <w:sz w:val="32"/>
          <w:szCs w:val="32"/>
        </w:rPr>
        <w:t>（</w:t>
      </w:r>
      <w:r w:rsidRPr="00BD3E97">
        <w:rPr>
          <w:rFonts w:ascii="Times New Roman" w:eastAsia="仿宋_GB2312" w:hAnsi="Times New Roman"/>
          <w:sz w:val="32"/>
          <w:szCs w:val="32"/>
        </w:rPr>
        <w:t>一）会议原则同意《太仓市建筑垃圾综合治理工作方案》，</w:t>
      </w:r>
      <w:r w:rsidRPr="00BD3E97">
        <w:rPr>
          <w:rFonts w:ascii="Times New Roman" w:eastAsia="仿宋_GB2312" w:hAnsi="Times New Roman"/>
          <w:kern w:val="0"/>
          <w:sz w:val="32"/>
          <w:szCs w:val="32"/>
          <w:lang w:bidi="ar"/>
        </w:rPr>
        <w:t>会后由</w:t>
      </w:r>
      <w:r w:rsidRPr="00BD3E97">
        <w:rPr>
          <w:rFonts w:ascii="Times New Roman" w:eastAsia="仿宋_GB2312" w:hAnsi="Times New Roman"/>
          <w:sz w:val="32"/>
          <w:szCs w:val="32"/>
        </w:rPr>
        <w:t>市城管局根据会议讨论意见作进一步修改完善后，按程序</w:t>
      </w:r>
      <w:r w:rsidRPr="00BD3E97">
        <w:rPr>
          <w:rFonts w:ascii="Times New Roman" w:eastAsia="仿宋_GB2312" w:hAnsi="Times New Roman"/>
          <w:spacing w:val="-6"/>
          <w:kern w:val="0"/>
          <w:sz w:val="32"/>
          <w:szCs w:val="32"/>
        </w:rPr>
        <w:t>以市政府办公室名义印发实施。</w:t>
      </w:r>
    </w:p>
    <w:p w:rsidR="008054E5" w:rsidRPr="00BD3E97" w:rsidRDefault="00BD3E97" w:rsidP="00BD3E97">
      <w:pPr>
        <w:spacing w:line="580" w:lineRule="exact"/>
        <w:ind w:firstLine="640"/>
        <w:rPr>
          <w:rFonts w:ascii="Times New Roman" w:eastAsia="仿宋_GB2312" w:hAnsi="Times New Roman"/>
          <w:sz w:val="32"/>
          <w:szCs w:val="32"/>
        </w:rPr>
      </w:pPr>
      <w:r w:rsidRPr="00BD3E97">
        <w:rPr>
          <w:rFonts w:ascii="Times New Roman" w:eastAsia="仿宋_GB2312" w:hAnsi="Times New Roman"/>
          <w:sz w:val="32"/>
          <w:szCs w:val="32"/>
        </w:rPr>
        <w:t>（二）《工作方案》出台后，关键是抓落实。要按照方案要求认真贯彻落实，各责任部门对照职责清单牵头抓好落实。要坚持依法治理、生态优先，实现建筑垃圾全生命周期的减量化、资源化、无害化，从源头上实现资源再利用，不断提升城乡人居环境，持续推进绿色低碳发展。</w:t>
      </w:r>
    </w:p>
    <w:p w:rsidR="008054E5" w:rsidRPr="00BD3E97" w:rsidRDefault="00BD3E97" w:rsidP="00BD3E97">
      <w:pPr>
        <w:spacing w:line="580" w:lineRule="exact"/>
        <w:ind w:firstLine="640"/>
        <w:rPr>
          <w:rFonts w:ascii="Times New Roman" w:eastAsia="仿宋_GB2312" w:hAnsi="Times New Roman"/>
          <w:sz w:val="32"/>
          <w:szCs w:val="32"/>
        </w:rPr>
      </w:pPr>
      <w:r w:rsidRPr="00BD3E97">
        <w:rPr>
          <w:rFonts w:ascii="Times New Roman" w:eastAsia="仿宋_GB2312" w:hAnsi="Times New Roman"/>
          <w:sz w:val="32"/>
          <w:szCs w:val="32"/>
        </w:rPr>
        <w:t>（三）要坚持问题导向、标本兼治，既聚焦解决当前最紧迫问题，又着眼于健全长效机制，提高治理措施的科学性和实用性。坚持全程管控、闭环管理，注重源头管控，加强中端监管，提升末端处置消纳能力，形成全链条闭环管理。坚持高效协同、多方参与，健全条块结合、多级联合、部门配合的工作机制，强化资源共享、信息互通、区域协同、全域联动。</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八、审议《</w:t>
      </w:r>
      <w:r w:rsidRPr="00BD3E97">
        <w:rPr>
          <w:rFonts w:ascii="Times New Roman" w:hAnsi="Times New Roman"/>
          <w:kern w:val="0"/>
          <w:sz w:val="31"/>
          <w:szCs w:val="31"/>
          <w:lang w:bidi="ar"/>
        </w:rPr>
        <w:t>2024</w:t>
      </w:r>
      <w:r w:rsidRPr="00BD3E97">
        <w:rPr>
          <w:rFonts w:ascii="Times New Roman" w:eastAsia="黑体" w:hAnsi="Times New Roman"/>
          <w:kern w:val="0"/>
          <w:sz w:val="31"/>
          <w:szCs w:val="31"/>
          <w:lang w:bidi="ar"/>
        </w:rPr>
        <w:t>年太仓市生活垃圾分类工作行动方案》</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sz w:val="32"/>
          <w:szCs w:val="32"/>
        </w:rPr>
        <w:t>（一）会议原则同意《</w:t>
      </w:r>
      <w:r w:rsidRPr="00BD3E97">
        <w:rPr>
          <w:rFonts w:ascii="Times New Roman" w:eastAsia="仿宋_GB2312" w:hAnsi="Times New Roman"/>
          <w:sz w:val="32"/>
          <w:szCs w:val="32"/>
        </w:rPr>
        <w:t>2024</w:t>
      </w:r>
      <w:r w:rsidRPr="00BD3E97">
        <w:rPr>
          <w:rFonts w:ascii="Times New Roman" w:eastAsia="仿宋_GB2312" w:hAnsi="Times New Roman"/>
          <w:sz w:val="32"/>
          <w:szCs w:val="32"/>
        </w:rPr>
        <w:t>年太仓市生活垃圾分类工作行动方案》。会后市城管局根据会议讨论意见作进一步修改完善后，按程序以市委办公室、市政府办公室名义印发实施。</w:t>
      </w:r>
    </w:p>
    <w:p w:rsidR="008054E5" w:rsidRPr="00BD3E97" w:rsidRDefault="00BD3E97" w:rsidP="00BD3E97">
      <w:pPr>
        <w:spacing w:line="580" w:lineRule="exact"/>
        <w:ind w:firstLine="640"/>
        <w:rPr>
          <w:rFonts w:ascii="Times New Roman" w:eastAsia="仿宋_GB2312" w:hAnsi="Times New Roman"/>
          <w:sz w:val="32"/>
          <w:szCs w:val="32"/>
        </w:rPr>
      </w:pPr>
      <w:r w:rsidRPr="00BD3E97">
        <w:rPr>
          <w:rFonts w:ascii="Times New Roman" w:eastAsia="仿宋_GB2312" w:hAnsi="Times New Roman"/>
          <w:kern w:val="0"/>
          <w:sz w:val="32"/>
          <w:szCs w:val="32"/>
        </w:rPr>
        <w:t>（二）</w:t>
      </w:r>
      <w:r w:rsidRPr="00BD3E97">
        <w:rPr>
          <w:rFonts w:ascii="Times New Roman" w:eastAsia="仿宋_GB2312" w:hAnsi="Times New Roman"/>
          <w:sz w:val="32"/>
          <w:szCs w:val="32"/>
        </w:rPr>
        <w:t>各地各部门要根据职责分工，以块为主、条块联动，狠抓贯彻落实，争取在苏州市级专项考核中争先进位。党政机关、公共部门要带头做好示范，成为垃圾分类工作中的</w:t>
      </w:r>
      <w:r w:rsidRPr="00BD3E97">
        <w:rPr>
          <w:rFonts w:ascii="Times New Roman" w:eastAsia="仿宋_GB2312" w:hAnsi="Times New Roman"/>
          <w:sz w:val="32"/>
          <w:szCs w:val="32"/>
        </w:rPr>
        <w:t>“</w:t>
      </w:r>
      <w:r w:rsidRPr="00BD3E97">
        <w:rPr>
          <w:rFonts w:ascii="Times New Roman" w:eastAsia="仿宋_GB2312" w:hAnsi="Times New Roman"/>
          <w:sz w:val="32"/>
          <w:szCs w:val="32"/>
        </w:rPr>
        <w:t>优等生</w:t>
      </w:r>
      <w:r w:rsidRPr="00BD3E97">
        <w:rPr>
          <w:rFonts w:ascii="Times New Roman" w:eastAsia="仿宋_GB2312" w:hAnsi="Times New Roman"/>
          <w:sz w:val="32"/>
          <w:szCs w:val="32"/>
        </w:rPr>
        <w:t>”“</w:t>
      </w:r>
      <w:r w:rsidRPr="00BD3E97">
        <w:rPr>
          <w:rFonts w:ascii="Times New Roman" w:eastAsia="仿宋_GB2312" w:hAnsi="Times New Roman"/>
          <w:sz w:val="32"/>
          <w:szCs w:val="32"/>
        </w:rPr>
        <w:t>尖子生</w:t>
      </w:r>
      <w:r w:rsidRPr="00BD3E97">
        <w:rPr>
          <w:rFonts w:ascii="Times New Roman" w:eastAsia="仿宋_GB2312" w:hAnsi="Times New Roman"/>
          <w:sz w:val="32"/>
          <w:szCs w:val="32"/>
        </w:rPr>
        <w:t>”</w:t>
      </w:r>
      <w:r w:rsidRPr="00BD3E97">
        <w:rPr>
          <w:rFonts w:ascii="Times New Roman" w:eastAsia="仿宋_GB2312" w:hAnsi="Times New Roman"/>
          <w:sz w:val="32"/>
          <w:szCs w:val="32"/>
        </w:rPr>
        <w:t>。要继续加大宣传引导，各部门要落实</w:t>
      </w:r>
      <w:r w:rsidRPr="00BD3E97">
        <w:rPr>
          <w:rFonts w:ascii="Times New Roman" w:eastAsia="仿宋_GB2312" w:hAnsi="Times New Roman"/>
          <w:sz w:val="32"/>
          <w:szCs w:val="32"/>
        </w:rPr>
        <w:t>“</w:t>
      </w:r>
      <w:r w:rsidRPr="00BD3E97">
        <w:rPr>
          <w:rFonts w:ascii="Times New Roman" w:eastAsia="仿宋_GB2312" w:hAnsi="Times New Roman"/>
          <w:sz w:val="32"/>
          <w:szCs w:val="32"/>
        </w:rPr>
        <w:t>管行业就要管垃圾分类</w:t>
      </w:r>
      <w:r w:rsidRPr="00BD3E97">
        <w:rPr>
          <w:rFonts w:ascii="Times New Roman" w:eastAsia="仿宋_GB2312" w:hAnsi="Times New Roman"/>
          <w:sz w:val="32"/>
          <w:szCs w:val="32"/>
        </w:rPr>
        <w:t>”</w:t>
      </w:r>
      <w:r w:rsidRPr="00BD3E97">
        <w:rPr>
          <w:rFonts w:ascii="Times New Roman" w:eastAsia="仿宋_GB2312" w:hAnsi="Times New Roman"/>
          <w:sz w:val="32"/>
          <w:szCs w:val="32"/>
        </w:rPr>
        <w:t>的责任要求，高标准、高质量开展好生活垃圾分类工作，确保全市一盘棋。各板块要继续做好居民小区垃圾分类工作，提高各类垃圾的分出率，同时加强政企合作、政社合作，营造良好宣传氛围。</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九、审议《太仓市实施市容环卫管理区域范围、主要道路（街道）、重点地区和景观区域》</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kern w:val="0"/>
          <w:sz w:val="32"/>
          <w:szCs w:val="32"/>
        </w:rPr>
        <w:t>（一）会议原则同意《太仓市实施市容环卫管理区域范围、主要道路（街道）、重点地区和景观区域》，会后市城管局根据会议讨论意见作进一步修改完善后，按程序</w:t>
      </w:r>
      <w:r w:rsidRPr="00BD3E97">
        <w:rPr>
          <w:rFonts w:ascii="Times New Roman" w:eastAsia="仿宋_GB2312" w:hAnsi="Times New Roman"/>
          <w:sz w:val="32"/>
          <w:szCs w:val="32"/>
        </w:rPr>
        <w:t>以市政府名义印发实施并公布。</w:t>
      </w:r>
    </w:p>
    <w:p w:rsidR="008054E5" w:rsidRPr="00BD3E97" w:rsidRDefault="00BD3E97" w:rsidP="00BD3E97">
      <w:pPr>
        <w:widowControl/>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sz w:val="32"/>
          <w:szCs w:val="32"/>
        </w:rPr>
        <w:t>（二）</w:t>
      </w:r>
      <w:r w:rsidRPr="00BD3E97">
        <w:rPr>
          <w:rFonts w:ascii="Times New Roman" w:eastAsia="仿宋_GB2312" w:hAnsi="Times New Roman"/>
          <w:kern w:val="0"/>
          <w:sz w:val="32"/>
          <w:szCs w:val="32"/>
        </w:rPr>
        <w:t>市城管局及各板块要以此次明确的管理区域为抓手，聚焦主要道路（街道）、重点地区、景观区域等</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重点</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，盯牢市政设施、市容秩序、环境卫生等</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难点</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，打通部门协调、条块结合的</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堵点</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压实管理责任，优化管理措施。重点区域要按照更加严格的标准执行，其他区域同样也要密切关注好，要持续营造良好的市容环境，用绣花精神狠抓城市管理各项工作，持续推动城市管理手段、模式、理念创新，不断提升</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幸福金太仓</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环境品质。</w:t>
      </w:r>
    </w:p>
    <w:p w:rsidR="008054E5" w:rsidRPr="00BD3E97" w:rsidRDefault="00BD3E97" w:rsidP="00BD3E97">
      <w:pPr>
        <w:widowControl/>
        <w:spacing w:line="580" w:lineRule="exact"/>
        <w:ind w:firstLineChars="200" w:firstLine="620"/>
        <w:jc w:val="left"/>
        <w:rPr>
          <w:rFonts w:ascii="Times New Roman" w:hAnsi="Times New Roman"/>
        </w:rPr>
      </w:pPr>
      <w:r w:rsidRPr="00BD3E97">
        <w:rPr>
          <w:rFonts w:ascii="Times New Roman" w:eastAsia="黑体" w:hAnsi="Times New Roman"/>
          <w:kern w:val="0"/>
          <w:sz w:val="31"/>
          <w:szCs w:val="31"/>
          <w:lang w:bidi="ar"/>
        </w:rPr>
        <w:t>十、审议《太仓市长江干流及通江河道水质稳定达标专项行动</w:t>
      </w:r>
    </w:p>
    <w:p w:rsidR="008054E5" w:rsidRPr="00BD3E97" w:rsidRDefault="00BD3E97" w:rsidP="00BD3E97">
      <w:pPr>
        <w:widowControl/>
        <w:spacing w:line="580" w:lineRule="exact"/>
        <w:jc w:val="left"/>
        <w:rPr>
          <w:rFonts w:ascii="Times New Roman" w:hAnsi="Times New Roman"/>
        </w:rPr>
      </w:pPr>
      <w:r w:rsidRPr="00BD3E97">
        <w:rPr>
          <w:rFonts w:ascii="Times New Roman" w:eastAsia="黑体" w:hAnsi="Times New Roman"/>
          <w:kern w:val="0"/>
          <w:sz w:val="31"/>
          <w:szCs w:val="31"/>
          <w:lang w:bidi="ar"/>
        </w:rPr>
        <w:t>工作方案》</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sz w:val="32"/>
          <w:szCs w:val="32"/>
        </w:rPr>
        <w:t>（一）会议原则同意</w:t>
      </w:r>
      <w:r w:rsidRPr="00BD3E97">
        <w:rPr>
          <w:rFonts w:ascii="Times New Roman" w:eastAsia="黑体" w:hAnsi="Times New Roman"/>
          <w:kern w:val="0"/>
          <w:sz w:val="31"/>
          <w:szCs w:val="31"/>
          <w:lang w:bidi="ar"/>
        </w:rPr>
        <w:t>《</w:t>
      </w:r>
      <w:r w:rsidRPr="00BD3E97">
        <w:rPr>
          <w:rFonts w:ascii="Times New Roman" w:eastAsia="仿宋_GB2312" w:hAnsi="Times New Roman"/>
          <w:sz w:val="32"/>
          <w:szCs w:val="32"/>
        </w:rPr>
        <w:t>太仓市长江干流及通江河道水质稳定达标专项行动工作方案》，会后市生态环境局</w:t>
      </w:r>
      <w:r w:rsidRPr="00BD3E97">
        <w:rPr>
          <w:rFonts w:ascii="Times New Roman" w:eastAsia="仿宋_GB2312" w:hAnsi="Times New Roman"/>
          <w:kern w:val="0"/>
          <w:sz w:val="32"/>
          <w:szCs w:val="32"/>
        </w:rPr>
        <w:t>根据会议讨论意见作进一步修改完善后，按程序以市污防攻坚办名义印发实施。</w:t>
      </w:r>
    </w:p>
    <w:p w:rsidR="008054E5" w:rsidRPr="00BD3E97" w:rsidRDefault="00BD3E97" w:rsidP="00BD3E97">
      <w:pPr>
        <w:widowControl/>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kern w:val="0"/>
          <w:sz w:val="32"/>
          <w:szCs w:val="32"/>
        </w:rPr>
        <w:t>（二）提升水质、保护环境，不仅关系民生福祉，还跟高质量发展密切相关，要深刻认识提升通江河道水质的必要性和紧迫性。各地各部门要认真对照《方案》明确的各项目标任务，统筹抓好工业源、生活源、农业面源、水上运输等方面污染治理，以通江河道水质提升为目标，坚持科学治理、源头治理、系统治理，确保我市长江干流及通江河道水质稳定达标。</w:t>
      </w:r>
    </w:p>
    <w:p w:rsidR="008054E5" w:rsidRPr="00BD3E97" w:rsidRDefault="00BD3E97" w:rsidP="00BD3E97">
      <w:pPr>
        <w:widowControl/>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kern w:val="0"/>
          <w:sz w:val="32"/>
          <w:szCs w:val="32"/>
        </w:rPr>
        <w:t>（三）长江干流及通江河道水质稳定达标专项行动是一项系统工程，必须齐抓共管、协同推进。各区镇要严格落实党政同责，切实压紧压实各方责任。主要负责同志既要</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挂帅</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也要</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出征</w:t>
      </w:r>
      <w:r w:rsidRPr="00BD3E97">
        <w:rPr>
          <w:rFonts w:ascii="Times New Roman" w:eastAsia="仿宋_GB2312" w:hAnsi="Times New Roman"/>
          <w:kern w:val="0"/>
          <w:sz w:val="32"/>
          <w:szCs w:val="32"/>
        </w:rPr>
        <w:t>”</w:t>
      </w:r>
      <w:r w:rsidRPr="00BD3E97">
        <w:rPr>
          <w:rFonts w:ascii="Times New Roman" w:eastAsia="仿宋_GB2312" w:hAnsi="Times New Roman"/>
          <w:kern w:val="0"/>
          <w:sz w:val="32"/>
          <w:szCs w:val="32"/>
        </w:rPr>
        <w:t>，亲自抓部署、抓推进、抓督办；分管负责同志要具体抓、抓落实，多到一线、多摸实情；各级河长、断面负责人要认真履职尽责，确保负责的河道、断面水质持续改善。立足长远发展考虑，环保部门要积极对上争取产业配套支撑项目落地。</w:t>
      </w:r>
    </w:p>
    <w:p w:rsidR="008054E5" w:rsidRPr="00BD3E97" w:rsidRDefault="00BD3E97" w:rsidP="00BD3E97">
      <w:pPr>
        <w:widowControl/>
        <w:spacing w:line="580" w:lineRule="exact"/>
        <w:ind w:firstLineChars="200" w:firstLine="640"/>
        <w:jc w:val="left"/>
        <w:rPr>
          <w:rFonts w:ascii="Times New Roman" w:eastAsia="黑体" w:hAnsi="Times New Roman"/>
          <w:sz w:val="32"/>
          <w:szCs w:val="32"/>
        </w:rPr>
      </w:pPr>
      <w:r w:rsidRPr="00BD3E97">
        <w:rPr>
          <w:rFonts w:ascii="Times New Roman" w:eastAsia="黑体" w:hAnsi="Times New Roman"/>
          <w:sz w:val="32"/>
          <w:szCs w:val="32"/>
        </w:rPr>
        <w:t>十一、</w:t>
      </w:r>
      <w:r w:rsidRPr="00BD3E97">
        <w:rPr>
          <w:rFonts w:ascii="Times New Roman" w:eastAsia="黑体" w:hAnsi="Times New Roman"/>
          <w:kern w:val="0"/>
          <w:sz w:val="31"/>
          <w:szCs w:val="31"/>
          <w:lang w:bidi="ar"/>
        </w:rPr>
        <w:t>审议《太仓市防汛抗旱应急预案（</w:t>
      </w:r>
      <w:r w:rsidRPr="00BD3E97">
        <w:rPr>
          <w:rFonts w:ascii="Times New Roman" w:hAnsi="Times New Roman"/>
          <w:kern w:val="0"/>
          <w:sz w:val="31"/>
          <w:szCs w:val="31"/>
          <w:lang w:bidi="ar"/>
        </w:rPr>
        <w:t>2024</w:t>
      </w:r>
      <w:r w:rsidRPr="00BD3E97">
        <w:rPr>
          <w:rFonts w:ascii="Times New Roman" w:eastAsia="黑体" w:hAnsi="Times New Roman"/>
          <w:kern w:val="0"/>
          <w:sz w:val="31"/>
          <w:szCs w:val="31"/>
          <w:lang w:bidi="ar"/>
        </w:rPr>
        <w:t>修订版）》《太仓市防御台风应急预案（</w:t>
      </w:r>
      <w:r w:rsidRPr="00BD3E97">
        <w:rPr>
          <w:rFonts w:ascii="Times New Roman" w:hAnsi="Times New Roman"/>
          <w:kern w:val="0"/>
          <w:sz w:val="31"/>
          <w:szCs w:val="31"/>
          <w:lang w:bidi="ar"/>
        </w:rPr>
        <w:t>2024</w:t>
      </w:r>
      <w:r w:rsidRPr="00BD3E97">
        <w:rPr>
          <w:rFonts w:ascii="Times New Roman" w:eastAsia="黑体" w:hAnsi="Times New Roman"/>
          <w:kern w:val="0"/>
          <w:sz w:val="31"/>
          <w:szCs w:val="31"/>
          <w:lang w:bidi="ar"/>
        </w:rPr>
        <w:t>修订版）》《太仓市特大暴雨城市防洪避险预案（</w:t>
      </w:r>
      <w:r w:rsidRPr="00BD3E97">
        <w:rPr>
          <w:rFonts w:ascii="Times New Roman" w:hAnsi="Times New Roman"/>
          <w:kern w:val="0"/>
          <w:sz w:val="31"/>
          <w:szCs w:val="31"/>
          <w:lang w:bidi="ar"/>
        </w:rPr>
        <w:t>2024</w:t>
      </w:r>
      <w:r w:rsidRPr="00BD3E97">
        <w:rPr>
          <w:rFonts w:ascii="Times New Roman" w:eastAsia="黑体" w:hAnsi="Times New Roman"/>
          <w:kern w:val="0"/>
          <w:sz w:val="31"/>
          <w:szCs w:val="31"/>
          <w:lang w:bidi="ar"/>
        </w:rPr>
        <w:t>修订版）》</w:t>
      </w:r>
    </w:p>
    <w:p w:rsidR="008054E5" w:rsidRPr="00BD3E97" w:rsidRDefault="00BD3E97" w:rsidP="00BD3E97">
      <w:pPr>
        <w:widowControl/>
        <w:spacing w:line="580" w:lineRule="exact"/>
        <w:ind w:firstLineChars="200" w:firstLine="640"/>
        <w:jc w:val="left"/>
        <w:rPr>
          <w:rFonts w:ascii="Times New Roman" w:eastAsia="仿宋_GB2312" w:hAnsi="Times New Roman"/>
          <w:sz w:val="32"/>
          <w:szCs w:val="32"/>
        </w:rPr>
      </w:pPr>
      <w:r w:rsidRPr="00BD3E97">
        <w:rPr>
          <w:rFonts w:ascii="Times New Roman" w:eastAsia="仿宋_GB2312" w:hAnsi="Times New Roman"/>
          <w:kern w:val="0"/>
          <w:sz w:val="32"/>
          <w:szCs w:val="32"/>
        </w:rPr>
        <w:t>（一）会议原则同意《太仓市防汛抗旱应急预案（</w:t>
      </w:r>
      <w:r w:rsidRPr="00BD3E97">
        <w:rPr>
          <w:rFonts w:ascii="Times New Roman" w:eastAsia="仿宋_GB2312" w:hAnsi="Times New Roman"/>
          <w:kern w:val="0"/>
          <w:sz w:val="32"/>
          <w:szCs w:val="32"/>
        </w:rPr>
        <w:t>2024</w:t>
      </w:r>
      <w:r w:rsidRPr="00BD3E97">
        <w:rPr>
          <w:rFonts w:ascii="Times New Roman" w:eastAsia="仿宋_GB2312" w:hAnsi="Times New Roman"/>
          <w:kern w:val="0"/>
          <w:sz w:val="32"/>
          <w:szCs w:val="32"/>
        </w:rPr>
        <w:t>修订版）》《太仓市防御台风应急预案（</w:t>
      </w:r>
      <w:r w:rsidRPr="00BD3E97">
        <w:rPr>
          <w:rFonts w:ascii="Times New Roman" w:eastAsia="仿宋_GB2312" w:hAnsi="Times New Roman"/>
          <w:kern w:val="0"/>
          <w:sz w:val="32"/>
          <w:szCs w:val="32"/>
        </w:rPr>
        <w:t>2024</w:t>
      </w:r>
      <w:r w:rsidRPr="00BD3E97">
        <w:rPr>
          <w:rFonts w:ascii="Times New Roman" w:eastAsia="仿宋_GB2312" w:hAnsi="Times New Roman"/>
          <w:kern w:val="0"/>
          <w:sz w:val="32"/>
          <w:szCs w:val="32"/>
        </w:rPr>
        <w:t>修订版）》《太仓市特大暴雨城市防洪避险预案（</w:t>
      </w:r>
      <w:r w:rsidRPr="00BD3E97">
        <w:rPr>
          <w:rFonts w:ascii="Times New Roman" w:eastAsia="仿宋_GB2312" w:hAnsi="Times New Roman"/>
          <w:kern w:val="0"/>
          <w:sz w:val="32"/>
          <w:szCs w:val="32"/>
        </w:rPr>
        <w:t>2024</w:t>
      </w:r>
      <w:r w:rsidRPr="00BD3E97">
        <w:rPr>
          <w:rFonts w:ascii="Times New Roman" w:eastAsia="仿宋_GB2312" w:hAnsi="Times New Roman"/>
          <w:kern w:val="0"/>
          <w:sz w:val="32"/>
          <w:szCs w:val="32"/>
        </w:rPr>
        <w:t>修订版）》，会后</w:t>
      </w:r>
      <w:r w:rsidRPr="00BD3E97">
        <w:rPr>
          <w:rFonts w:ascii="Times New Roman" w:eastAsia="仿宋_GB2312" w:hAnsi="Times New Roman"/>
          <w:sz w:val="32"/>
          <w:szCs w:val="32"/>
        </w:rPr>
        <w:t>市水务局根据会议讨论意见作进一步修改完善后，按程序以市政府办公室名义印发实施。</w:t>
      </w:r>
    </w:p>
    <w:p w:rsidR="008054E5" w:rsidRPr="00BD3E97" w:rsidRDefault="00BD3E97" w:rsidP="00BD3E97">
      <w:pPr>
        <w:widowControl/>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（二）</w:t>
      </w:r>
      <w:r w:rsidRPr="00BD3E97">
        <w:rPr>
          <w:rFonts w:ascii="Times New Roman" w:eastAsia="仿宋_GB2312" w:hAnsi="Times New Roman"/>
          <w:kern w:val="0"/>
          <w:sz w:val="32"/>
          <w:szCs w:val="32"/>
        </w:rPr>
        <w:t>进入主汛期前，及时研究修订《预案》是非常有必要的，各地各部门要深刻吸取河南郑州</w:t>
      </w:r>
      <w:r w:rsidRPr="00BD3E97">
        <w:rPr>
          <w:rFonts w:ascii="Times New Roman" w:eastAsia="仿宋_GB2312" w:hAnsi="Times New Roman"/>
          <w:kern w:val="0"/>
          <w:sz w:val="32"/>
          <w:szCs w:val="32"/>
        </w:rPr>
        <w:t>“7.20”</w:t>
      </w:r>
      <w:r w:rsidRPr="00BD3E97">
        <w:rPr>
          <w:rFonts w:ascii="Times New Roman" w:eastAsia="仿宋_GB2312" w:hAnsi="Times New Roman"/>
          <w:kern w:val="0"/>
          <w:sz w:val="32"/>
          <w:szCs w:val="32"/>
        </w:rPr>
        <w:t>特大暴雨灾害教训，提高重视程度。各部门要及时主动对接市防汛抗旱指挥部，各板块要因地制宜尽早开展准备工作，对低洼易涝、多发多涝的重点区域、主要风险点，提前做好风险隐患排查整改，守住安全底线。此外，市级《预案》进行了修订，各地各部门也要按照职责，修订本部门的相关预案，特别是针对地下空间、人员转移、供水供气供电等城市生命线工程应急抢险救灾编制专项预案，确保应对及时、有据可依。</w:t>
      </w:r>
    </w:p>
    <w:p w:rsidR="008054E5" w:rsidRPr="00BD3E97" w:rsidRDefault="00BD3E97" w:rsidP="00BD3E97">
      <w:pPr>
        <w:widowControl/>
        <w:spacing w:line="580" w:lineRule="exact"/>
        <w:ind w:firstLineChars="200" w:firstLine="640"/>
        <w:jc w:val="left"/>
        <w:rPr>
          <w:rFonts w:ascii="Times New Roman" w:hAnsi="Times New Roman"/>
          <w:sz w:val="28"/>
          <w:szCs w:val="21"/>
        </w:rPr>
      </w:pPr>
      <w:r w:rsidRPr="00BD3E97">
        <w:rPr>
          <w:rFonts w:ascii="Times New Roman" w:eastAsia="黑体" w:hAnsi="Times New Roman"/>
          <w:sz w:val="32"/>
          <w:szCs w:val="32"/>
        </w:rPr>
        <w:t>十二、</w:t>
      </w:r>
      <w:r w:rsidRPr="00BD3E97">
        <w:rPr>
          <w:rFonts w:ascii="Times New Roman" w:eastAsia="黑体" w:hAnsi="Times New Roman"/>
          <w:kern w:val="0"/>
          <w:sz w:val="31"/>
          <w:szCs w:val="31"/>
          <w:lang w:bidi="ar"/>
        </w:rPr>
        <w:t>审议《关于深化产教融合推进</w:t>
      </w:r>
      <w:r w:rsidRPr="00BD3E97">
        <w:rPr>
          <w:rFonts w:ascii="Times New Roman" w:eastAsia="黑体" w:hAnsi="Times New Roman"/>
          <w:kern w:val="0"/>
          <w:sz w:val="31"/>
          <w:szCs w:val="31"/>
          <w:lang w:bidi="ar"/>
        </w:rPr>
        <w:t>“</w:t>
      </w:r>
      <w:r w:rsidRPr="00BD3E97">
        <w:rPr>
          <w:rFonts w:ascii="Times New Roman" w:eastAsia="黑体" w:hAnsi="Times New Roman"/>
          <w:kern w:val="0"/>
          <w:sz w:val="31"/>
          <w:szCs w:val="31"/>
          <w:lang w:bidi="ar"/>
        </w:rPr>
        <w:t>双元制</w:t>
      </w:r>
      <w:r w:rsidRPr="00BD3E97">
        <w:rPr>
          <w:rFonts w:ascii="Times New Roman" w:eastAsia="黑体" w:hAnsi="Times New Roman"/>
          <w:kern w:val="0"/>
          <w:sz w:val="31"/>
          <w:szCs w:val="31"/>
          <w:lang w:bidi="ar"/>
        </w:rPr>
        <w:t>”</w:t>
      </w:r>
      <w:r w:rsidRPr="00BD3E97">
        <w:rPr>
          <w:rFonts w:ascii="Times New Roman" w:eastAsia="黑体" w:hAnsi="Times New Roman"/>
          <w:kern w:val="0"/>
          <w:sz w:val="31"/>
          <w:szCs w:val="31"/>
          <w:lang w:bidi="ar"/>
        </w:rPr>
        <w:t>教育高质量发展的若干政策》</w:t>
      </w:r>
    </w:p>
    <w:p w:rsidR="008054E5" w:rsidRPr="00BD3E97" w:rsidRDefault="00BD3E97" w:rsidP="00BD3E97">
      <w:pPr>
        <w:spacing w:line="580" w:lineRule="exact"/>
        <w:ind w:firstLineChars="200" w:firstLine="640"/>
        <w:rPr>
          <w:rFonts w:ascii="Times New Roman" w:eastAsia="仿宋_GB2312" w:hAnsi="Times New Roman"/>
          <w:sz w:val="32"/>
          <w:szCs w:val="32"/>
        </w:rPr>
      </w:pPr>
      <w:r w:rsidRPr="00BD3E97">
        <w:rPr>
          <w:rFonts w:ascii="Times New Roman" w:eastAsia="仿宋_GB2312" w:hAnsi="Times New Roman"/>
          <w:sz w:val="32"/>
          <w:szCs w:val="32"/>
        </w:rPr>
        <w:t>（一）会议原则同意《关于深化产教融合推进</w:t>
      </w:r>
      <w:r w:rsidRPr="00BD3E97">
        <w:rPr>
          <w:rFonts w:ascii="Times New Roman" w:eastAsia="仿宋_GB2312" w:hAnsi="Times New Roman"/>
          <w:sz w:val="32"/>
          <w:szCs w:val="32"/>
        </w:rPr>
        <w:t>“</w:t>
      </w:r>
      <w:r w:rsidRPr="00BD3E97">
        <w:rPr>
          <w:rFonts w:ascii="Times New Roman" w:eastAsia="仿宋_GB2312" w:hAnsi="Times New Roman"/>
          <w:sz w:val="32"/>
          <w:szCs w:val="32"/>
        </w:rPr>
        <w:t>双元制</w:t>
      </w:r>
      <w:r w:rsidRPr="00BD3E97">
        <w:rPr>
          <w:rFonts w:ascii="Times New Roman" w:eastAsia="仿宋_GB2312" w:hAnsi="Times New Roman"/>
          <w:sz w:val="32"/>
          <w:szCs w:val="32"/>
        </w:rPr>
        <w:t>”</w:t>
      </w:r>
      <w:r w:rsidRPr="00BD3E97">
        <w:rPr>
          <w:rFonts w:ascii="Times New Roman" w:eastAsia="仿宋_GB2312" w:hAnsi="Times New Roman"/>
          <w:sz w:val="32"/>
          <w:szCs w:val="32"/>
        </w:rPr>
        <w:t>教育高质量发展的若干政策》，会后市教育局根据会议讨论意见作进一步修改完善后，按程序以市政府办公室名义印发实施。</w:t>
      </w:r>
    </w:p>
    <w:p w:rsidR="008054E5" w:rsidRPr="00BD3E97" w:rsidRDefault="00BD3E97" w:rsidP="00BD3E97">
      <w:pPr>
        <w:pStyle w:val="2"/>
        <w:spacing w:line="580" w:lineRule="exact"/>
        <w:ind w:firstLine="640"/>
        <w:rPr>
          <w:rFonts w:ascii="Times New Roman" w:hAnsi="Times New Roman"/>
          <w:kern w:val="0"/>
          <w:szCs w:val="32"/>
        </w:rPr>
      </w:pPr>
      <w:r w:rsidRPr="00BD3E97">
        <w:rPr>
          <w:rFonts w:ascii="Times New Roman" w:hAnsi="Times New Roman"/>
          <w:kern w:val="0"/>
          <w:szCs w:val="32"/>
        </w:rPr>
        <w:t>（二）构建供需充分衔接、产教有效融合的新时代</w:t>
      </w:r>
      <w:r w:rsidRPr="00BD3E97">
        <w:rPr>
          <w:rFonts w:ascii="Times New Roman" w:hAnsi="Times New Roman"/>
          <w:kern w:val="0"/>
          <w:szCs w:val="32"/>
        </w:rPr>
        <w:t>“</w:t>
      </w:r>
      <w:r w:rsidRPr="00BD3E97">
        <w:rPr>
          <w:rFonts w:ascii="Times New Roman" w:hAnsi="Times New Roman"/>
          <w:kern w:val="0"/>
          <w:szCs w:val="32"/>
        </w:rPr>
        <w:t>双元制</w:t>
      </w:r>
      <w:r w:rsidRPr="00BD3E97">
        <w:rPr>
          <w:rFonts w:ascii="Times New Roman" w:hAnsi="Times New Roman"/>
          <w:kern w:val="0"/>
          <w:szCs w:val="32"/>
        </w:rPr>
        <w:t>”</w:t>
      </w:r>
      <w:r w:rsidRPr="00BD3E97">
        <w:rPr>
          <w:rFonts w:ascii="Times New Roman" w:hAnsi="Times New Roman"/>
          <w:kern w:val="0"/>
          <w:szCs w:val="32"/>
        </w:rPr>
        <w:t>教育生态，对巩固我市对德合作成果、切实增强职业教育服务本土产业发展具有重大意义。市教育局要牵头对到期的政策实施绩效评</w:t>
      </w:r>
      <w:r w:rsidRPr="00BD3E97">
        <w:rPr>
          <w:rFonts w:ascii="Times New Roman" w:hAnsi="Times New Roman"/>
          <w:spacing w:val="-6"/>
          <w:kern w:val="0"/>
          <w:szCs w:val="32"/>
        </w:rPr>
        <w:t>估，同时听取各利益相关方意见，如培训机构、参与</w:t>
      </w:r>
      <w:r w:rsidRPr="00BD3E97">
        <w:rPr>
          <w:rFonts w:ascii="Times New Roman" w:hAnsi="Times New Roman"/>
          <w:spacing w:val="-6"/>
          <w:kern w:val="0"/>
          <w:szCs w:val="32"/>
        </w:rPr>
        <w:t>“</w:t>
      </w:r>
      <w:r w:rsidRPr="00BD3E97">
        <w:rPr>
          <w:rFonts w:ascii="Times New Roman" w:hAnsi="Times New Roman"/>
          <w:spacing w:val="-6"/>
          <w:kern w:val="0"/>
          <w:szCs w:val="32"/>
        </w:rPr>
        <w:t>双元制</w:t>
      </w:r>
      <w:r w:rsidRPr="00BD3E97">
        <w:rPr>
          <w:rFonts w:ascii="Times New Roman" w:hAnsi="Times New Roman"/>
          <w:spacing w:val="-6"/>
          <w:kern w:val="0"/>
          <w:szCs w:val="32"/>
        </w:rPr>
        <w:t>”</w:t>
      </w:r>
      <w:r w:rsidRPr="00BD3E97">
        <w:rPr>
          <w:rFonts w:ascii="Times New Roman" w:hAnsi="Times New Roman"/>
          <w:kern w:val="0"/>
          <w:szCs w:val="32"/>
        </w:rPr>
        <w:t>教育的企业和职工，根据评估效果和各方意见再作梳理完善，确保政策在实施过程中契合各方利益，发挥最大效益。</w:t>
      </w:r>
    </w:p>
    <w:p w:rsidR="008054E5" w:rsidRPr="00BD3E97" w:rsidRDefault="00BD3E97" w:rsidP="00BD3E97">
      <w:pPr>
        <w:pStyle w:val="2"/>
        <w:spacing w:line="580" w:lineRule="exact"/>
        <w:ind w:firstLine="640"/>
        <w:rPr>
          <w:rFonts w:ascii="Times New Roman" w:hAnsi="Times New Roman"/>
          <w:kern w:val="0"/>
          <w:szCs w:val="32"/>
        </w:rPr>
      </w:pPr>
      <w:r w:rsidRPr="00BD3E97">
        <w:rPr>
          <w:rFonts w:ascii="Times New Roman" w:hAnsi="Times New Roman"/>
          <w:kern w:val="0"/>
          <w:szCs w:val="32"/>
        </w:rPr>
        <w:t>（三）要认真落实工作职责，释放政策创新、体制创新和机制创新效应，依托市</w:t>
      </w:r>
      <w:r w:rsidRPr="00BD3E97">
        <w:rPr>
          <w:rFonts w:ascii="Times New Roman" w:hAnsi="Times New Roman"/>
          <w:kern w:val="0"/>
          <w:szCs w:val="32"/>
        </w:rPr>
        <w:t>“</w:t>
      </w:r>
      <w:r w:rsidRPr="00BD3E97">
        <w:rPr>
          <w:rFonts w:ascii="Times New Roman" w:hAnsi="Times New Roman"/>
          <w:kern w:val="0"/>
          <w:szCs w:val="32"/>
        </w:rPr>
        <w:t>双元制</w:t>
      </w:r>
      <w:r w:rsidRPr="00BD3E97">
        <w:rPr>
          <w:rFonts w:ascii="Times New Roman" w:hAnsi="Times New Roman"/>
          <w:kern w:val="0"/>
          <w:szCs w:val="32"/>
        </w:rPr>
        <w:t>”</w:t>
      </w:r>
      <w:r w:rsidRPr="00BD3E97">
        <w:rPr>
          <w:rFonts w:ascii="Times New Roman" w:hAnsi="Times New Roman"/>
          <w:kern w:val="0"/>
          <w:szCs w:val="32"/>
        </w:rPr>
        <w:t>教育发展领导小组，各职能部门要加强对院校、行业、企业的指导引导，落实落细激励扶持组合举措。要持续深化产教融合，深化职业教育体系与产业体系的互融互通，紧盯产业链条、市场信号、技术前沿和民生需求，夯实院校发展基础，催生行业企业内生动力，接续推进</w:t>
      </w:r>
      <w:r w:rsidRPr="00BD3E97">
        <w:rPr>
          <w:rFonts w:ascii="Times New Roman" w:hAnsi="Times New Roman"/>
          <w:kern w:val="0"/>
          <w:szCs w:val="32"/>
        </w:rPr>
        <w:t>“</w:t>
      </w:r>
      <w:r w:rsidRPr="00BD3E97">
        <w:rPr>
          <w:rFonts w:ascii="Times New Roman" w:hAnsi="Times New Roman"/>
          <w:kern w:val="0"/>
          <w:szCs w:val="32"/>
        </w:rPr>
        <w:t>双元制</w:t>
      </w:r>
      <w:r w:rsidRPr="00BD3E97">
        <w:rPr>
          <w:rFonts w:ascii="Times New Roman" w:hAnsi="Times New Roman"/>
          <w:kern w:val="0"/>
          <w:szCs w:val="32"/>
        </w:rPr>
        <w:t>”</w:t>
      </w:r>
      <w:r w:rsidRPr="00BD3E97">
        <w:rPr>
          <w:rFonts w:ascii="Times New Roman" w:hAnsi="Times New Roman"/>
          <w:kern w:val="0"/>
          <w:szCs w:val="32"/>
        </w:rPr>
        <w:t>载体建设，进一步做优做强</w:t>
      </w:r>
      <w:r w:rsidRPr="00BD3E97">
        <w:rPr>
          <w:rFonts w:ascii="Times New Roman" w:hAnsi="Times New Roman"/>
          <w:kern w:val="0"/>
          <w:szCs w:val="32"/>
        </w:rPr>
        <w:t>“</w:t>
      </w:r>
      <w:r w:rsidRPr="00BD3E97">
        <w:rPr>
          <w:rFonts w:ascii="Times New Roman" w:hAnsi="Times New Roman"/>
          <w:kern w:val="0"/>
          <w:szCs w:val="32"/>
        </w:rPr>
        <w:t>双元制</w:t>
      </w:r>
      <w:r w:rsidRPr="00BD3E97">
        <w:rPr>
          <w:rFonts w:ascii="Times New Roman" w:hAnsi="Times New Roman"/>
          <w:kern w:val="0"/>
          <w:szCs w:val="32"/>
        </w:rPr>
        <w:t>”</w:t>
      </w:r>
      <w:r w:rsidRPr="00BD3E97">
        <w:rPr>
          <w:rFonts w:ascii="Times New Roman" w:hAnsi="Times New Roman"/>
          <w:kern w:val="0"/>
          <w:szCs w:val="32"/>
        </w:rPr>
        <w:t>本土化品牌。</w:t>
      </w:r>
    </w:p>
    <w:p w:rsidR="008054E5" w:rsidRPr="00BD3E97" w:rsidRDefault="00BD3E97" w:rsidP="00BD3E97">
      <w:pPr>
        <w:spacing w:line="580" w:lineRule="exact"/>
        <w:ind w:leftChars="304" w:left="1598" w:hangingChars="300" w:hanging="960"/>
        <w:rPr>
          <w:rFonts w:ascii="Times New Roman" w:eastAsia="仿宋_GB2312" w:hAnsi="Times New Roman"/>
          <w:sz w:val="32"/>
          <w:szCs w:val="32"/>
        </w:rPr>
      </w:pPr>
      <w:r w:rsidRPr="00BD3E97">
        <w:rPr>
          <w:rFonts w:ascii="Times New Roman" w:eastAsia="黑体" w:hAnsi="Times New Roman"/>
          <w:sz w:val="32"/>
          <w:szCs w:val="32"/>
        </w:rPr>
        <w:t>出席：</w:t>
      </w:r>
      <w:r w:rsidRPr="00BD3E97">
        <w:rPr>
          <w:rFonts w:ascii="Times New Roman" w:eastAsia="仿宋_GB2312" w:hAnsi="Times New Roman"/>
          <w:sz w:val="32"/>
          <w:szCs w:val="32"/>
        </w:rPr>
        <w:t>吴敬宇、王莉萍、倪嘉臻、陈磊、傅玖、盛海峰、童刚、郭培荣。</w:t>
      </w:r>
    </w:p>
    <w:p w:rsidR="008054E5" w:rsidRPr="00BD3E97" w:rsidRDefault="00BD3E97" w:rsidP="00BD3E97">
      <w:pPr>
        <w:spacing w:line="580" w:lineRule="exact"/>
        <w:ind w:leftChars="300" w:left="1590" w:hangingChars="300" w:hanging="960"/>
        <w:rPr>
          <w:rFonts w:ascii="Times New Roman" w:eastAsia="仿宋_GB2312" w:hAnsi="Times New Roman"/>
          <w:sz w:val="32"/>
          <w:szCs w:val="32"/>
        </w:rPr>
      </w:pPr>
      <w:r w:rsidRPr="00BD3E97">
        <w:rPr>
          <w:rFonts w:ascii="Times New Roman" w:eastAsia="黑体" w:hAnsi="Times New Roman"/>
          <w:sz w:val="32"/>
          <w:szCs w:val="32"/>
        </w:rPr>
        <w:t>列席：</w:t>
      </w:r>
      <w:r w:rsidRPr="00BD3E97">
        <w:rPr>
          <w:rFonts w:ascii="Times New Roman" w:eastAsia="仿宋_GB2312" w:hAnsi="Times New Roman"/>
          <w:sz w:val="32"/>
          <w:szCs w:val="32"/>
        </w:rPr>
        <w:t>市人大邹家宏，市政协汤文英，市政府办王晨清、赵隽春、施英杰、孙方金、华浩春、王益锋，市纪委监委郑洁，市检察院张新亚，市委组织部何晓玲，市委宣传部沈晖，市委政法委张沉成，市委编办</w:t>
      </w:r>
      <w:r w:rsidRPr="00BD3E97">
        <w:rPr>
          <w:rFonts w:ascii="Times New Roman" w:eastAsia="仿宋_GB2312" w:hAnsi="Times New Roman"/>
          <w:color w:val="000000"/>
          <w:kern w:val="0"/>
          <w:sz w:val="32"/>
          <w:szCs w:val="32"/>
          <w:lang w:bidi="ar"/>
        </w:rPr>
        <w:t>缪斌</w:t>
      </w:r>
      <w:r w:rsidRPr="00BD3E97">
        <w:rPr>
          <w:rFonts w:ascii="Times New Roman" w:eastAsia="仿宋_GB2312" w:hAnsi="Times New Roman"/>
          <w:sz w:val="32"/>
          <w:szCs w:val="32"/>
        </w:rPr>
        <w:t>，市融媒体中心山飚，市发改委万芬奇，市教育局李广耀，市科技局郁颖珠，市工信局方海宁，市公安局郁宏兵，市民政局赵健，市司法局张翼，市财政局周淑亚，市人社局钱琼英，市资源规划局缪永华，市住建局陆江，市城管局徐彬，市交运局徐勤，市水务局毛华乾，市农业农村局朱红华，市商务局金丽萍，市文体广旅局严浩，市卫健委周纯，太仓生态环境局包小亮，市退役军人局</w:t>
      </w:r>
      <w:r w:rsidRPr="00BD3E97">
        <w:rPr>
          <w:rFonts w:ascii="Times New Roman" w:eastAsia="仿宋_GB2312" w:hAnsi="Times New Roman"/>
          <w:color w:val="000000"/>
          <w:kern w:val="0"/>
          <w:sz w:val="32"/>
          <w:szCs w:val="32"/>
          <w:lang w:bidi="ar"/>
        </w:rPr>
        <w:t>卢阳松，</w:t>
      </w:r>
      <w:r w:rsidRPr="00BD3E97">
        <w:rPr>
          <w:rFonts w:ascii="Times New Roman" w:eastAsia="仿宋_GB2312" w:hAnsi="Times New Roman"/>
          <w:sz w:val="32"/>
          <w:szCs w:val="32"/>
        </w:rPr>
        <w:t>市应急局徐向明，市审计局陈伟峰，市行政审批局蔡健，市市场监管局杨伟东，市统计局周静，市医保局杨琴洁，市信访局毛晓波，市金融监管局胡雪峰，市综合指挥中心朱</w:t>
      </w:r>
      <w:r w:rsidRPr="00BD3E97">
        <w:rPr>
          <w:rFonts w:ascii="Times New Roman" w:hAnsi="Times New Roman"/>
          <w:sz w:val="32"/>
          <w:szCs w:val="32"/>
        </w:rPr>
        <w:t>弇</w:t>
      </w:r>
      <w:r w:rsidRPr="00BD3E97">
        <w:rPr>
          <w:rFonts w:ascii="Times New Roman" w:eastAsia="仿宋_GB2312" w:hAnsi="Times New Roman"/>
          <w:sz w:val="32"/>
          <w:szCs w:val="32"/>
        </w:rPr>
        <w:t>菁，市招商局郁颖珠，市检验检测中心顾晓峰，市国资运服中心陈雁江，市供销总社张健，市机关事务中心丁曜，市总工会</w:t>
      </w:r>
      <w:r w:rsidRPr="00BD3E97">
        <w:rPr>
          <w:rFonts w:ascii="Times New Roman" w:eastAsia="仿宋_GB2312" w:hAnsi="Times New Roman"/>
          <w:color w:val="000000"/>
          <w:kern w:val="0"/>
          <w:sz w:val="32"/>
          <w:szCs w:val="32"/>
          <w:lang w:bidi="ar"/>
        </w:rPr>
        <w:t>王宏宾</w:t>
      </w:r>
      <w:r w:rsidRPr="00BD3E97">
        <w:rPr>
          <w:rFonts w:ascii="Times New Roman" w:eastAsia="仿宋_GB2312" w:hAnsi="Times New Roman"/>
          <w:sz w:val="32"/>
          <w:szCs w:val="32"/>
        </w:rPr>
        <w:t>，团市委汪倩倩，市妇联胡敏，市资产集团俞叶丹，市太</w:t>
      </w:r>
      <w:r w:rsidRPr="00BD3E97">
        <w:rPr>
          <w:rFonts w:ascii="Times New Roman" w:eastAsiaTheme="minorEastAsia" w:hAnsi="Times New Roman"/>
          <w:sz w:val="32"/>
          <w:szCs w:val="32"/>
        </w:rPr>
        <w:t>訸</w:t>
      </w:r>
      <w:r w:rsidRPr="00BD3E97">
        <w:rPr>
          <w:rFonts w:ascii="Times New Roman" w:eastAsia="仿宋_GB2312" w:hAnsi="Times New Roman"/>
          <w:sz w:val="32"/>
          <w:szCs w:val="32"/>
        </w:rPr>
        <w:t>集团李强，市水务集团黄卫东，市城发集团刘晓军，市文教投集团庄晓，市文旅集团钱敏芳，海关</w:t>
      </w:r>
      <w:r w:rsidRPr="00BD3E97">
        <w:rPr>
          <w:rFonts w:ascii="Times New Roman" w:eastAsia="仿宋_GB2312" w:hAnsi="Times New Roman"/>
          <w:color w:val="000000"/>
          <w:kern w:val="0"/>
          <w:sz w:val="32"/>
          <w:szCs w:val="32"/>
          <w:lang w:bidi="ar"/>
        </w:rPr>
        <w:t>袁亚明，海事局张小东，</w:t>
      </w:r>
      <w:r w:rsidRPr="00BD3E97">
        <w:rPr>
          <w:rFonts w:ascii="Times New Roman" w:eastAsia="仿宋_GB2312" w:hAnsi="Times New Roman"/>
          <w:sz w:val="32"/>
          <w:szCs w:val="32"/>
        </w:rPr>
        <w:t>税务局蒋志达，电信公司王志勇，移动公司郭磊，联通公司李志刚，公积金中心龚志浩，气象局周卫兵，国家金融监管总局太仓支局</w:t>
      </w:r>
      <w:hyperlink r:id="rId8" w:history="1">
        <w:r w:rsidRPr="00BD3E97">
          <w:rPr>
            <w:rFonts w:ascii="Times New Roman" w:eastAsia="仿宋_GB2312" w:hAnsi="Times New Roman"/>
            <w:sz w:val="32"/>
            <w:szCs w:val="32"/>
          </w:rPr>
          <w:t>陈平频</w:t>
        </w:r>
      </w:hyperlink>
      <w:r w:rsidRPr="00BD3E97">
        <w:rPr>
          <w:rFonts w:ascii="Times New Roman" w:eastAsia="仿宋_GB2312" w:hAnsi="Times New Roman"/>
          <w:sz w:val="32"/>
          <w:szCs w:val="32"/>
        </w:rPr>
        <w:t>，健雄学院苏霄飞，消防救援大队王国祥，港口管委会徐卫强，港区陆征，高新区李刚，科教新城朱琼，城厢镇王益，沙溪镇王永伟，浏河</w:t>
      </w:r>
      <w:r w:rsidRPr="00BD3E97">
        <w:rPr>
          <w:rFonts w:ascii="Times New Roman" w:eastAsia="仿宋_GB2312" w:hAnsi="Times New Roman"/>
          <w:spacing w:val="-6"/>
          <w:sz w:val="32"/>
          <w:szCs w:val="32"/>
        </w:rPr>
        <w:t>镇宋蔚，浮桥镇陈颖，璜泾镇张杰，双凤镇陈凯，</w:t>
      </w:r>
      <w:r w:rsidRPr="00BD3E97">
        <w:rPr>
          <w:rFonts w:ascii="Times New Roman" w:eastAsia="仿宋_GB2312" w:hAnsi="Times New Roman"/>
          <w:sz w:val="32"/>
          <w:szCs w:val="32"/>
        </w:rPr>
        <w:t>娄东街</w:t>
      </w:r>
      <w:r w:rsidRPr="00BD3E97">
        <w:rPr>
          <w:rFonts w:ascii="Times New Roman" w:eastAsia="仿宋_GB2312" w:hAnsi="Times New Roman"/>
          <w:spacing w:val="-6"/>
          <w:sz w:val="32"/>
          <w:szCs w:val="32"/>
        </w:rPr>
        <w:t>道邵</w:t>
      </w:r>
      <w:r w:rsidRPr="00BD3E97">
        <w:rPr>
          <w:rFonts w:ascii="Times New Roman" w:hAnsi="Times New Roman"/>
          <w:spacing w:val="-6"/>
          <w:sz w:val="32"/>
          <w:szCs w:val="32"/>
        </w:rPr>
        <w:t>旻</w:t>
      </w:r>
      <w:r w:rsidRPr="00BD3E97">
        <w:rPr>
          <w:rFonts w:ascii="Times New Roman" w:eastAsia="仿宋_GB2312" w:hAnsi="Times New Roman"/>
          <w:spacing w:val="-6"/>
          <w:sz w:val="32"/>
          <w:szCs w:val="32"/>
        </w:rPr>
        <w:t>，</w:t>
      </w:r>
      <w:r w:rsidRPr="00BD3E97">
        <w:rPr>
          <w:rFonts w:ascii="Times New Roman" w:eastAsia="仿宋_GB2312" w:hAnsi="Times New Roman"/>
          <w:sz w:val="32"/>
          <w:szCs w:val="32"/>
        </w:rPr>
        <w:t>陆渡街道龚迪。</w:t>
      </w:r>
    </w:p>
    <w:p w:rsidR="008054E5" w:rsidRPr="00BD3E97" w:rsidRDefault="008054E5" w:rsidP="00BD3E97">
      <w:pPr>
        <w:pStyle w:val="2"/>
        <w:spacing w:line="580" w:lineRule="exact"/>
        <w:ind w:firstLine="640"/>
        <w:rPr>
          <w:rFonts w:ascii="Times New Roman" w:hAnsi="Times New Roman"/>
        </w:rPr>
      </w:pPr>
    </w:p>
    <w:p w:rsidR="008054E5" w:rsidRPr="00BD3E97" w:rsidRDefault="00BD3E97" w:rsidP="00BD3E97">
      <w:pPr>
        <w:adjustRightInd w:val="0"/>
        <w:snapToGrid w:val="0"/>
        <w:spacing w:line="580" w:lineRule="exact"/>
        <w:ind w:firstLine="200"/>
        <w:rPr>
          <w:rFonts w:ascii="Times New Roman" w:eastAsia="仿宋_GB2312" w:hAnsi="Times New Roman"/>
          <w:kern w:val="0"/>
          <w:sz w:val="32"/>
          <w:szCs w:val="32"/>
        </w:rPr>
      </w:pPr>
      <w:r w:rsidRPr="00BD3E97">
        <w:rPr>
          <w:rFonts w:ascii="Times New Roman" w:eastAsia="仿宋_GB2312" w:hAnsi="Times New Roman"/>
          <w:kern w:val="0"/>
          <w:sz w:val="32"/>
          <w:szCs w:val="32"/>
        </w:rPr>
        <w:t xml:space="preserve">                         </w:t>
      </w:r>
      <w:r w:rsidRPr="00BD3E97">
        <w:rPr>
          <w:rFonts w:ascii="Times New Roman" w:eastAsia="仿宋_GB2312" w:hAnsi="Times New Roman"/>
          <w:kern w:val="0"/>
          <w:sz w:val="32"/>
          <w:szCs w:val="32"/>
        </w:rPr>
        <w:t>太仓市人民政府办公室</w:t>
      </w:r>
      <w:r w:rsidRPr="00BD3E97">
        <w:rPr>
          <w:rFonts w:ascii="Times New Roman" w:eastAsia="仿宋_GB2312" w:hAnsi="Times New Roman"/>
          <w:kern w:val="0"/>
          <w:sz w:val="32"/>
          <w:szCs w:val="32"/>
        </w:rPr>
        <w:t xml:space="preserve"> </w:t>
      </w:r>
      <w:r w:rsidRPr="00BD3E97">
        <w:rPr>
          <w:rFonts w:ascii="Times New Roman" w:eastAsia="仿宋_GB2312" w:hAnsi="Times New Roman"/>
          <w:kern w:val="0"/>
          <w:sz w:val="32"/>
          <w:szCs w:val="32"/>
        </w:rPr>
        <w:t>整理</w:t>
      </w:r>
    </w:p>
    <w:p w:rsidR="008054E5" w:rsidRPr="00BD3E97" w:rsidRDefault="00BD3E97" w:rsidP="00BD3E97">
      <w:pPr>
        <w:adjustRightInd w:val="0"/>
        <w:snapToGrid w:val="0"/>
        <w:spacing w:line="580" w:lineRule="exact"/>
        <w:ind w:firstLineChars="200" w:firstLine="640"/>
        <w:rPr>
          <w:rFonts w:ascii="Times New Roman" w:eastAsia="仿宋_GB2312" w:hAnsi="Times New Roman"/>
          <w:kern w:val="0"/>
          <w:sz w:val="32"/>
          <w:szCs w:val="32"/>
        </w:rPr>
      </w:pPr>
      <w:r w:rsidRPr="00BD3E97">
        <w:rPr>
          <w:rFonts w:ascii="Times New Roman" w:eastAsia="仿宋_GB2312" w:hAnsi="Times New Roman"/>
          <w:kern w:val="0"/>
          <w:sz w:val="32"/>
          <w:szCs w:val="32"/>
        </w:rPr>
        <w:t xml:space="preserve">                            2024</w:t>
      </w:r>
      <w:r w:rsidRPr="00BD3E97">
        <w:rPr>
          <w:rFonts w:ascii="Times New Roman" w:eastAsia="仿宋_GB2312" w:hAnsi="Times New Roman"/>
          <w:kern w:val="0"/>
          <w:sz w:val="32"/>
          <w:szCs w:val="32"/>
        </w:rPr>
        <w:t>年</w:t>
      </w:r>
      <w:r w:rsidRPr="00BD3E97">
        <w:rPr>
          <w:rFonts w:ascii="Times New Roman" w:eastAsia="仿宋_GB2312" w:hAnsi="Times New Roman"/>
          <w:kern w:val="0"/>
          <w:sz w:val="32"/>
          <w:szCs w:val="32"/>
        </w:rPr>
        <w:t>4</w:t>
      </w:r>
      <w:r w:rsidRPr="00BD3E97">
        <w:rPr>
          <w:rFonts w:ascii="Times New Roman" w:eastAsia="仿宋_GB2312" w:hAnsi="Times New Roman"/>
          <w:kern w:val="0"/>
          <w:sz w:val="32"/>
          <w:szCs w:val="32"/>
        </w:rPr>
        <w:t>月</w:t>
      </w:r>
      <w:r w:rsidRPr="00BD3E97">
        <w:rPr>
          <w:rFonts w:ascii="Times New Roman" w:eastAsia="仿宋_GB2312" w:hAnsi="Times New Roman"/>
          <w:kern w:val="0"/>
          <w:sz w:val="32"/>
          <w:szCs w:val="32"/>
        </w:rPr>
        <w:t>26</w:t>
      </w:r>
      <w:r w:rsidRPr="00BD3E97">
        <w:rPr>
          <w:rFonts w:ascii="Times New Roman" w:eastAsia="仿宋_GB2312" w:hAnsi="Times New Roman"/>
          <w:kern w:val="0"/>
          <w:sz w:val="32"/>
          <w:szCs w:val="32"/>
        </w:rPr>
        <w:t>日</w:t>
      </w:r>
    </w:p>
    <w:p w:rsidR="008054E5" w:rsidRPr="00BD3E97" w:rsidRDefault="00BD3E97" w:rsidP="00BD3E97">
      <w:pPr>
        <w:pStyle w:val="af3"/>
        <w:spacing w:line="580" w:lineRule="exact"/>
        <w:ind w:firstLineChars="200" w:firstLine="640"/>
        <w:rPr>
          <w:rFonts w:ascii="Times New Roman" w:eastAsia="仿宋_GB2312"/>
          <w:spacing w:val="-6"/>
          <w:sz w:val="32"/>
          <w:szCs w:val="32"/>
        </w:rPr>
      </w:pPr>
      <w:r w:rsidRPr="00BD3E97">
        <w:rPr>
          <w:rFonts w:ascii="Times New Roman" w:eastAsia="仿宋_GB2312"/>
          <w:sz w:val="32"/>
          <w:szCs w:val="32"/>
        </w:rPr>
        <w:t>（此件公开发布）</w:t>
      </w: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8054E5" w:rsidRPr="00BD3E97">
        <w:trPr>
          <w:trHeight w:val="20"/>
        </w:trPr>
        <w:tc>
          <w:tcPr>
            <w:tcW w:w="851" w:type="dxa"/>
          </w:tcPr>
          <w:p w:rsidR="008054E5" w:rsidRPr="00BD3E97" w:rsidRDefault="00BD3E97" w:rsidP="00BD3E97">
            <w:pPr>
              <w:tabs>
                <w:tab w:val="left" w:pos="5040"/>
                <w:tab w:val="left" w:pos="9193"/>
                <w:tab w:val="left" w:pos="9827"/>
              </w:tabs>
              <w:autoSpaceDE w:val="0"/>
              <w:autoSpaceDN w:val="0"/>
              <w:snapToGrid w:val="0"/>
              <w:spacing w:line="580" w:lineRule="exact"/>
              <w:rPr>
                <w:rFonts w:ascii="Times New Roman" w:eastAsia="仿宋_GB2312" w:hAnsi="Times New Roman"/>
                <w:snapToGrid w:val="0"/>
                <w:kern w:val="0"/>
                <w:sz w:val="28"/>
                <w:szCs w:val="20"/>
              </w:rPr>
            </w:pPr>
            <w:r w:rsidRPr="00BD3E97">
              <w:rPr>
                <w:rFonts w:ascii="Times New Roman" w:eastAsia="仿宋_GB2312" w:hAnsi="Times New Roman"/>
                <w:snapToGrid w:val="0"/>
                <w:kern w:val="0"/>
                <w:sz w:val="28"/>
                <w:szCs w:val="20"/>
              </w:rPr>
              <w:t>主送：</w:t>
            </w:r>
          </w:p>
        </w:tc>
        <w:tc>
          <w:tcPr>
            <w:tcW w:w="7999" w:type="dxa"/>
            <w:vAlign w:val="center"/>
          </w:tcPr>
          <w:p w:rsidR="008054E5" w:rsidRPr="00BD3E97" w:rsidRDefault="00BD3E97" w:rsidP="00BD3E97">
            <w:pPr>
              <w:tabs>
                <w:tab w:val="left" w:pos="5040"/>
                <w:tab w:val="left" w:pos="9193"/>
                <w:tab w:val="left" w:pos="9827"/>
              </w:tabs>
              <w:autoSpaceDE w:val="0"/>
              <w:autoSpaceDN w:val="0"/>
              <w:snapToGrid w:val="0"/>
              <w:spacing w:line="580" w:lineRule="exact"/>
              <w:jc w:val="left"/>
              <w:rPr>
                <w:rFonts w:ascii="Times New Roman" w:eastAsia="仿宋_GB2312" w:hAnsi="Times New Roman"/>
                <w:snapToGrid w:val="0"/>
                <w:kern w:val="0"/>
                <w:sz w:val="28"/>
                <w:szCs w:val="20"/>
              </w:rPr>
            </w:pPr>
            <w:r w:rsidRPr="00BD3E97">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8054E5" w:rsidRPr="00BD3E97">
        <w:trPr>
          <w:trHeight w:val="674"/>
        </w:trPr>
        <w:tc>
          <w:tcPr>
            <w:tcW w:w="851" w:type="dxa"/>
          </w:tcPr>
          <w:p w:rsidR="008054E5" w:rsidRPr="00BD3E97" w:rsidRDefault="00BD3E97" w:rsidP="00BD3E97">
            <w:pPr>
              <w:tabs>
                <w:tab w:val="left" w:pos="5040"/>
                <w:tab w:val="left" w:pos="9193"/>
                <w:tab w:val="left" w:pos="9827"/>
              </w:tabs>
              <w:autoSpaceDE w:val="0"/>
              <w:autoSpaceDN w:val="0"/>
              <w:snapToGrid w:val="0"/>
              <w:spacing w:line="580" w:lineRule="exact"/>
              <w:rPr>
                <w:rFonts w:ascii="Times New Roman" w:eastAsia="仿宋_GB2312" w:hAnsi="Times New Roman"/>
                <w:snapToGrid w:val="0"/>
                <w:kern w:val="0"/>
                <w:sz w:val="28"/>
                <w:szCs w:val="20"/>
              </w:rPr>
            </w:pPr>
            <w:r w:rsidRPr="00BD3E97">
              <w:rPr>
                <w:rFonts w:ascii="Times New Roman" w:eastAsia="仿宋_GB2312" w:hAnsi="Times New Roman"/>
                <w:snapToGrid w:val="0"/>
                <w:kern w:val="0"/>
                <w:sz w:val="28"/>
                <w:szCs w:val="20"/>
              </w:rPr>
              <w:t>抄送：</w:t>
            </w:r>
          </w:p>
        </w:tc>
        <w:tc>
          <w:tcPr>
            <w:tcW w:w="7999" w:type="dxa"/>
            <w:vAlign w:val="center"/>
          </w:tcPr>
          <w:p w:rsidR="008054E5" w:rsidRPr="00BD3E97" w:rsidRDefault="00BD3E97" w:rsidP="00BD3E97">
            <w:pPr>
              <w:tabs>
                <w:tab w:val="left" w:pos="5040"/>
                <w:tab w:val="left" w:pos="9193"/>
                <w:tab w:val="left" w:pos="9827"/>
              </w:tabs>
              <w:autoSpaceDE w:val="0"/>
              <w:autoSpaceDN w:val="0"/>
              <w:snapToGrid w:val="0"/>
              <w:spacing w:line="580" w:lineRule="exact"/>
              <w:jc w:val="left"/>
              <w:rPr>
                <w:rFonts w:ascii="Times New Roman" w:eastAsia="仿宋_GB2312" w:hAnsi="Times New Roman"/>
                <w:sz w:val="28"/>
                <w:szCs w:val="28"/>
              </w:rPr>
            </w:pPr>
            <w:r w:rsidRPr="00BD3E97">
              <w:rPr>
                <w:rFonts w:ascii="Times New Roman" w:eastAsia="仿宋_GB2312" w:hAnsi="Times New Roman"/>
                <w:sz w:val="28"/>
                <w:szCs w:val="28"/>
              </w:rPr>
              <w:t>市委各部委办局，市人大常委会办公室，市政协办公室，市监委、市法院、检察院，市人武部，市各人民团体。</w:t>
            </w:r>
          </w:p>
        </w:tc>
      </w:tr>
    </w:tbl>
    <w:p w:rsidR="008054E5" w:rsidRPr="00BD3E97" w:rsidRDefault="008054E5">
      <w:pPr>
        <w:pStyle w:val="a4"/>
        <w:spacing w:line="560" w:lineRule="exact"/>
        <w:jc w:val="both"/>
        <w:rPr>
          <w:rFonts w:ascii="Times New Roman" w:eastAsia="仿宋_GB2312" w:hAnsi="Times New Roman"/>
        </w:rPr>
      </w:pPr>
    </w:p>
    <w:sectPr w:rsidR="008054E5" w:rsidRPr="00BD3E97">
      <w:footerReference w:type="default" r:id="rId9"/>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C9D" w:rsidRDefault="00BD3E97">
      <w:r>
        <w:separator/>
      </w:r>
    </w:p>
  </w:endnote>
  <w:endnote w:type="continuationSeparator" w:id="0">
    <w:p w:rsidR="00643C9D" w:rsidRDefault="00BD3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8FAC78E2-C36C-4FF3-9577-8CD0821B719A}"/>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83693FE9-9F66-4038-8D30-81F9C96CA039}"/>
  </w:font>
  <w:font w:name="方正小标宋简体">
    <w:panose1 w:val="02010601030101010101"/>
    <w:charset w:val="86"/>
    <w:family w:val="auto"/>
    <w:pitch w:val="variable"/>
    <w:sig w:usb0="00000001" w:usb1="080E0000" w:usb2="00000010" w:usb3="00000000" w:csb0="00040000" w:csb1="00000000"/>
    <w:embedRegular r:id="rId3" w:subsetted="1" w:fontKey="{469EB184-23EA-4E0D-A894-192A3438D794}"/>
  </w:font>
  <w:font w:name="楷体_GB2312">
    <w:panose1 w:val="02010609030101010101"/>
    <w:charset w:val="86"/>
    <w:family w:val="modern"/>
    <w:pitch w:val="fixed"/>
    <w:sig w:usb0="00000001" w:usb1="080E0000" w:usb2="00000010" w:usb3="00000000" w:csb0="00040000" w:csb1="00000000"/>
    <w:embedRegular r:id="rId4" w:subsetted="1" w:fontKey="{3230B2D5-52A3-48CB-9BCE-19C5FA28F092}"/>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4E5" w:rsidRDefault="00BD3E97">
    <w:pPr>
      <w:pStyle w:val="aa"/>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827B12" w:rsidRPr="00827B12">
          <w:rPr>
            <w:rFonts w:ascii="Times New Roman" w:hAnsi="Times New Roman"/>
            <w:noProof/>
            <w:sz w:val="28"/>
            <w:szCs w:val="28"/>
            <w:lang w:val="zh-CN"/>
          </w:rPr>
          <w:t>12</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C9D" w:rsidRDefault="00BD3E97">
      <w:r>
        <w:separator/>
      </w:r>
    </w:p>
  </w:footnote>
  <w:footnote w:type="continuationSeparator" w:id="0">
    <w:p w:rsidR="00643C9D" w:rsidRDefault="00BD3E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TrueTypeFonts/>
  <w:saveSubsetFonts/>
  <w:bordersDoNotSurroundHeader/>
  <w:bordersDoNotSurroundFooter/>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152"/>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3C9D"/>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4E5"/>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B12"/>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3E97"/>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2363F"/>
    <w:rsid w:val="01145BC9"/>
    <w:rsid w:val="012571C3"/>
    <w:rsid w:val="01266759"/>
    <w:rsid w:val="01491EFA"/>
    <w:rsid w:val="01697297"/>
    <w:rsid w:val="018C15E1"/>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06958"/>
    <w:rsid w:val="045A0A61"/>
    <w:rsid w:val="04C32AF0"/>
    <w:rsid w:val="04E7295B"/>
    <w:rsid w:val="05017E13"/>
    <w:rsid w:val="05087159"/>
    <w:rsid w:val="051342F5"/>
    <w:rsid w:val="051439E8"/>
    <w:rsid w:val="05157F51"/>
    <w:rsid w:val="053F4E51"/>
    <w:rsid w:val="056D7096"/>
    <w:rsid w:val="05711262"/>
    <w:rsid w:val="058844A3"/>
    <w:rsid w:val="0588464F"/>
    <w:rsid w:val="059365F2"/>
    <w:rsid w:val="05954DD8"/>
    <w:rsid w:val="05BB24F7"/>
    <w:rsid w:val="06077922"/>
    <w:rsid w:val="060A0521"/>
    <w:rsid w:val="0615503C"/>
    <w:rsid w:val="061A758A"/>
    <w:rsid w:val="0627777C"/>
    <w:rsid w:val="064B36AB"/>
    <w:rsid w:val="065B51F8"/>
    <w:rsid w:val="06BB3E80"/>
    <w:rsid w:val="06DB78B2"/>
    <w:rsid w:val="06EF0B7A"/>
    <w:rsid w:val="0714184D"/>
    <w:rsid w:val="072055F8"/>
    <w:rsid w:val="075229E7"/>
    <w:rsid w:val="07FE2B6F"/>
    <w:rsid w:val="080E2D15"/>
    <w:rsid w:val="082A5712"/>
    <w:rsid w:val="08A059D4"/>
    <w:rsid w:val="08A217E5"/>
    <w:rsid w:val="08A60AC4"/>
    <w:rsid w:val="090412B0"/>
    <w:rsid w:val="09170576"/>
    <w:rsid w:val="09215C5B"/>
    <w:rsid w:val="09357837"/>
    <w:rsid w:val="093919AC"/>
    <w:rsid w:val="093F229E"/>
    <w:rsid w:val="096113E9"/>
    <w:rsid w:val="097A4465"/>
    <w:rsid w:val="098A46BA"/>
    <w:rsid w:val="09936DAC"/>
    <w:rsid w:val="09C75957"/>
    <w:rsid w:val="09FD1F0E"/>
    <w:rsid w:val="0A2D019F"/>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BF422BF"/>
    <w:rsid w:val="0C0D512F"/>
    <w:rsid w:val="0C177D5B"/>
    <w:rsid w:val="0C2002CB"/>
    <w:rsid w:val="0C4C3EA9"/>
    <w:rsid w:val="0C5150D0"/>
    <w:rsid w:val="0C5D0C84"/>
    <w:rsid w:val="0C682747"/>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24C7E"/>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0E1475"/>
    <w:rsid w:val="10316692"/>
    <w:rsid w:val="1032026F"/>
    <w:rsid w:val="106F1A21"/>
    <w:rsid w:val="109E7C05"/>
    <w:rsid w:val="10AB1067"/>
    <w:rsid w:val="10B64376"/>
    <w:rsid w:val="10DB275D"/>
    <w:rsid w:val="10F029C4"/>
    <w:rsid w:val="10F615EB"/>
    <w:rsid w:val="10FE7D9A"/>
    <w:rsid w:val="111C611B"/>
    <w:rsid w:val="1133138A"/>
    <w:rsid w:val="114962B0"/>
    <w:rsid w:val="117C0FCF"/>
    <w:rsid w:val="119F4383"/>
    <w:rsid w:val="11C54C23"/>
    <w:rsid w:val="11CE710E"/>
    <w:rsid w:val="11E41915"/>
    <w:rsid w:val="11F278F9"/>
    <w:rsid w:val="124922C0"/>
    <w:rsid w:val="124F46F3"/>
    <w:rsid w:val="125A11FB"/>
    <w:rsid w:val="126B0E01"/>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AE407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6EA2C3C"/>
    <w:rsid w:val="171B6848"/>
    <w:rsid w:val="172F3C05"/>
    <w:rsid w:val="17E46081"/>
    <w:rsid w:val="180F1AF2"/>
    <w:rsid w:val="18275975"/>
    <w:rsid w:val="183F141E"/>
    <w:rsid w:val="18561D4B"/>
    <w:rsid w:val="18580FE8"/>
    <w:rsid w:val="187F2D6D"/>
    <w:rsid w:val="18950986"/>
    <w:rsid w:val="189E71A2"/>
    <w:rsid w:val="18BA6E6F"/>
    <w:rsid w:val="18CC7437"/>
    <w:rsid w:val="18D237B2"/>
    <w:rsid w:val="19176F70"/>
    <w:rsid w:val="192A5AB9"/>
    <w:rsid w:val="19353F17"/>
    <w:rsid w:val="195C0A96"/>
    <w:rsid w:val="19697B29"/>
    <w:rsid w:val="1985503A"/>
    <w:rsid w:val="198D78AF"/>
    <w:rsid w:val="19B64906"/>
    <w:rsid w:val="19DE7906"/>
    <w:rsid w:val="1A2A537C"/>
    <w:rsid w:val="1A2E2156"/>
    <w:rsid w:val="1A330456"/>
    <w:rsid w:val="1A716D5E"/>
    <w:rsid w:val="1A913524"/>
    <w:rsid w:val="1AB24203"/>
    <w:rsid w:val="1AC0493E"/>
    <w:rsid w:val="1B0773CF"/>
    <w:rsid w:val="1B157ECD"/>
    <w:rsid w:val="1B267FBB"/>
    <w:rsid w:val="1B317532"/>
    <w:rsid w:val="1B3C3FFD"/>
    <w:rsid w:val="1B585FF7"/>
    <w:rsid w:val="1B597943"/>
    <w:rsid w:val="1B6B2852"/>
    <w:rsid w:val="1B8D5C01"/>
    <w:rsid w:val="1B9A76B4"/>
    <w:rsid w:val="1C5F378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032411"/>
    <w:rsid w:val="1F17460A"/>
    <w:rsid w:val="1F303C0D"/>
    <w:rsid w:val="1F6317DE"/>
    <w:rsid w:val="1F7A1454"/>
    <w:rsid w:val="1F813A12"/>
    <w:rsid w:val="1FBB1ABB"/>
    <w:rsid w:val="1FDE0E64"/>
    <w:rsid w:val="1FE51102"/>
    <w:rsid w:val="1FE57F3D"/>
    <w:rsid w:val="1FF273C2"/>
    <w:rsid w:val="20371790"/>
    <w:rsid w:val="209B3718"/>
    <w:rsid w:val="209D52D1"/>
    <w:rsid w:val="20B4506B"/>
    <w:rsid w:val="20B63064"/>
    <w:rsid w:val="20CE20B7"/>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67E76"/>
    <w:rsid w:val="22BD2FB3"/>
    <w:rsid w:val="230118C3"/>
    <w:rsid w:val="23412589"/>
    <w:rsid w:val="237D2742"/>
    <w:rsid w:val="23884B67"/>
    <w:rsid w:val="23F135E2"/>
    <w:rsid w:val="23F904BF"/>
    <w:rsid w:val="23FA1CE6"/>
    <w:rsid w:val="24022913"/>
    <w:rsid w:val="24052870"/>
    <w:rsid w:val="24596D0B"/>
    <w:rsid w:val="247A7107"/>
    <w:rsid w:val="24BC729A"/>
    <w:rsid w:val="24EB34AA"/>
    <w:rsid w:val="24F508B8"/>
    <w:rsid w:val="25047183"/>
    <w:rsid w:val="2546204D"/>
    <w:rsid w:val="256902B2"/>
    <w:rsid w:val="256E55A4"/>
    <w:rsid w:val="25744C91"/>
    <w:rsid w:val="258E0C37"/>
    <w:rsid w:val="25997B2C"/>
    <w:rsid w:val="25A574F2"/>
    <w:rsid w:val="25AF2865"/>
    <w:rsid w:val="25CB1E8B"/>
    <w:rsid w:val="26161C6B"/>
    <w:rsid w:val="261857FB"/>
    <w:rsid w:val="267F7229"/>
    <w:rsid w:val="26833E0E"/>
    <w:rsid w:val="268A3D1F"/>
    <w:rsid w:val="26907715"/>
    <w:rsid w:val="26AF6392"/>
    <w:rsid w:val="27185035"/>
    <w:rsid w:val="273A50B6"/>
    <w:rsid w:val="27857446"/>
    <w:rsid w:val="278D10F9"/>
    <w:rsid w:val="279938C3"/>
    <w:rsid w:val="279C2748"/>
    <w:rsid w:val="27C70E2D"/>
    <w:rsid w:val="27D60E11"/>
    <w:rsid w:val="28393A92"/>
    <w:rsid w:val="28465271"/>
    <w:rsid w:val="2895334A"/>
    <w:rsid w:val="28CE1DEF"/>
    <w:rsid w:val="29026889"/>
    <w:rsid w:val="290864E5"/>
    <w:rsid w:val="292A3FDA"/>
    <w:rsid w:val="294B023F"/>
    <w:rsid w:val="29654F7F"/>
    <w:rsid w:val="297570C8"/>
    <w:rsid w:val="298A4905"/>
    <w:rsid w:val="29A04376"/>
    <w:rsid w:val="29B203ED"/>
    <w:rsid w:val="29CD19CA"/>
    <w:rsid w:val="29F3288B"/>
    <w:rsid w:val="29F97959"/>
    <w:rsid w:val="29FD282F"/>
    <w:rsid w:val="2A06152A"/>
    <w:rsid w:val="2A17569E"/>
    <w:rsid w:val="2A220F3E"/>
    <w:rsid w:val="2A22272E"/>
    <w:rsid w:val="2A291B50"/>
    <w:rsid w:val="2A2A67A2"/>
    <w:rsid w:val="2A4B5CBB"/>
    <w:rsid w:val="2A557854"/>
    <w:rsid w:val="2AA810BB"/>
    <w:rsid w:val="2AA9733D"/>
    <w:rsid w:val="2AC45677"/>
    <w:rsid w:val="2B0100FD"/>
    <w:rsid w:val="2B061AFF"/>
    <w:rsid w:val="2B1C2955"/>
    <w:rsid w:val="2B1F4048"/>
    <w:rsid w:val="2B39007A"/>
    <w:rsid w:val="2B6A5DC5"/>
    <w:rsid w:val="2B7526D2"/>
    <w:rsid w:val="2B964EA7"/>
    <w:rsid w:val="2B97636B"/>
    <w:rsid w:val="2B9C483F"/>
    <w:rsid w:val="2BAE217E"/>
    <w:rsid w:val="2C203011"/>
    <w:rsid w:val="2C4C35F9"/>
    <w:rsid w:val="2C534988"/>
    <w:rsid w:val="2C8D6B1F"/>
    <w:rsid w:val="2C9D3349"/>
    <w:rsid w:val="2C9F3729"/>
    <w:rsid w:val="2CBE63A5"/>
    <w:rsid w:val="2CC571A0"/>
    <w:rsid w:val="2CF77A09"/>
    <w:rsid w:val="2D1A0067"/>
    <w:rsid w:val="2D1B5CD8"/>
    <w:rsid w:val="2D470F99"/>
    <w:rsid w:val="2D7555BC"/>
    <w:rsid w:val="2D9E0F9D"/>
    <w:rsid w:val="2DA62A15"/>
    <w:rsid w:val="2DC84F02"/>
    <w:rsid w:val="2DF20CAF"/>
    <w:rsid w:val="2E5822B8"/>
    <w:rsid w:val="2E5F1A09"/>
    <w:rsid w:val="2E7802F7"/>
    <w:rsid w:val="2E797A17"/>
    <w:rsid w:val="2EB81848"/>
    <w:rsid w:val="2ED512D6"/>
    <w:rsid w:val="2EF41269"/>
    <w:rsid w:val="2F3A416A"/>
    <w:rsid w:val="2F406A4C"/>
    <w:rsid w:val="2F845CAD"/>
    <w:rsid w:val="2F9C6834"/>
    <w:rsid w:val="2FC02123"/>
    <w:rsid w:val="2FC02334"/>
    <w:rsid w:val="2FD1256F"/>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B3253D"/>
    <w:rsid w:val="33E04A7B"/>
    <w:rsid w:val="342B5F10"/>
    <w:rsid w:val="343717A5"/>
    <w:rsid w:val="3450013E"/>
    <w:rsid w:val="34661E2D"/>
    <w:rsid w:val="34DF61B5"/>
    <w:rsid w:val="34F32864"/>
    <w:rsid w:val="35076A60"/>
    <w:rsid w:val="35195D98"/>
    <w:rsid w:val="35374570"/>
    <w:rsid w:val="35505ECB"/>
    <w:rsid w:val="358F7703"/>
    <w:rsid w:val="35E46B20"/>
    <w:rsid w:val="35ED0428"/>
    <w:rsid w:val="360B047D"/>
    <w:rsid w:val="360B69D5"/>
    <w:rsid w:val="360F4D7C"/>
    <w:rsid w:val="36230714"/>
    <w:rsid w:val="362C5B25"/>
    <w:rsid w:val="363816B0"/>
    <w:rsid w:val="363F0D3E"/>
    <w:rsid w:val="36463275"/>
    <w:rsid w:val="36473DCE"/>
    <w:rsid w:val="366B6442"/>
    <w:rsid w:val="3676161A"/>
    <w:rsid w:val="368045CB"/>
    <w:rsid w:val="36867AE6"/>
    <w:rsid w:val="36BD2B54"/>
    <w:rsid w:val="36C0687E"/>
    <w:rsid w:val="36FC27CA"/>
    <w:rsid w:val="372A4468"/>
    <w:rsid w:val="375E5784"/>
    <w:rsid w:val="37721766"/>
    <w:rsid w:val="37A122A9"/>
    <w:rsid w:val="37A34165"/>
    <w:rsid w:val="37A75B88"/>
    <w:rsid w:val="37A8795C"/>
    <w:rsid w:val="37BF6BDF"/>
    <w:rsid w:val="37E959E1"/>
    <w:rsid w:val="38161627"/>
    <w:rsid w:val="385D6582"/>
    <w:rsid w:val="3860714B"/>
    <w:rsid w:val="38637310"/>
    <w:rsid w:val="386F73AF"/>
    <w:rsid w:val="388C36FB"/>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396F6B"/>
    <w:rsid w:val="3A503803"/>
    <w:rsid w:val="3A9903C7"/>
    <w:rsid w:val="3AC52EF5"/>
    <w:rsid w:val="3AF7768C"/>
    <w:rsid w:val="3AFB2914"/>
    <w:rsid w:val="3B082324"/>
    <w:rsid w:val="3B1F3A0E"/>
    <w:rsid w:val="3B252C57"/>
    <w:rsid w:val="3B2F06C8"/>
    <w:rsid w:val="3B6720AD"/>
    <w:rsid w:val="3BA0043C"/>
    <w:rsid w:val="3BDB3FD0"/>
    <w:rsid w:val="3BFB7594"/>
    <w:rsid w:val="3C090BBF"/>
    <w:rsid w:val="3C0D611D"/>
    <w:rsid w:val="3C175FEB"/>
    <w:rsid w:val="3C1B15D9"/>
    <w:rsid w:val="3C281E99"/>
    <w:rsid w:val="3C2F35DD"/>
    <w:rsid w:val="3C4E356E"/>
    <w:rsid w:val="3C713EC2"/>
    <w:rsid w:val="3CAA17B7"/>
    <w:rsid w:val="3CAF0FEE"/>
    <w:rsid w:val="3CC23F32"/>
    <w:rsid w:val="3CFA779B"/>
    <w:rsid w:val="3D485717"/>
    <w:rsid w:val="3D516FF3"/>
    <w:rsid w:val="3D5465B3"/>
    <w:rsid w:val="3DB80F5F"/>
    <w:rsid w:val="3DEB432A"/>
    <w:rsid w:val="3E027940"/>
    <w:rsid w:val="3E681C1F"/>
    <w:rsid w:val="3E69178A"/>
    <w:rsid w:val="3E9D6F97"/>
    <w:rsid w:val="3EAB41B0"/>
    <w:rsid w:val="3ED731F7"/>
    <w:rsid w:val="3EED129A"/>
    <w:rsid w:val="3F275838"/>
    <w:rsid w:val="3F2858D9"/>
    <w:rsid w:val="3F2B583E"/>
    <w:rsid w:val="3F333D89"/>
    <w:rsid w:val="3F463477"/>
    <w:rsid w:val="3F4D1AA0"/>
    <w:rsid w:val="3F577E93"/>
    <w:rsid w:val="3F73411A"/>
    <w:rsid w:val="3F95733A"/>
    <w:rsid w:val="3FC048EC"/>
    <w:rsid w:val="3FD42C7F"/>
    <w:rsid w:val="403F2951"/>
    <w:rsid w:val="404F256F"/>
    <w:rsid w:val="40B00BF0"/>
    <w:rsid w:val="411904C0"/>
    <w:rsid w:val="41263FC1"/>
    <w:rsid w:val="41650F8E"/>
    <w:rsid w:val="41C21F3C"/>
    <w:rsid w:val="41DD57D4"/>
    <w:rsid w:val="41FC3301"/>
    <w:rsid w:val="421870BD"/>
    <w:rsid w:val="4226071D"/>
    <w:rsid w:val="422E4B9B"/>
    <w:rsid w:val="42A11B51"/>
    <w:rsid w:val="42A90490"/>
    <w:rsid w:val="42B644FD"/>
    <w:rsid w:val="42CD0606"/>
    <w:rsid w:val="42CD6F9A"/>
    <w:rsid w:val="42EA1349"/>
    <w:rsid w:val="42EC2727"/>
    <w:rsid w:val="42F6181E"/>
    <w:rsid w:val="42F64CE4"/>
    <w:rsid w:val="43036368"/>
    <w:rsid w:val="43195B8C"/>
    <w:rsid w:val="43914B41"/>
    <w:rsid w:val="43926105"/>
    <w:rsid w:val="43977881"/>
    <w:rsid w:val="439D4CF4"/>
    <w:rsid w:val="43B40A4E"/>
    <w:rsid w:val="43BE4985"/>
    <w:rsid w:val="440920A4"/>
    <w:rsid w:val="441B2768"/>
    <w:rsid w:val="44450C02"/>
    <w:rsid w:val="44557097"/>
    <w:rsid w:val="44564BBE"/>
    <w:rsid w:val="44837BCC"/>
    <w:rsid w:val="448527D1"/>
    <w:rsid w:val="448A0172"/>
    <w:rsid w:val="449440F6"/>
    <w:rsid w:val="449E34F3"/>
    <w:rsid w:val="44A137E1"/>
    <w:rsid w:val="44CB081F"/>
    <w:rsid w:val="44DB7E9F"/>
    <w:rsid w:val="45101210"/>
    <w:rsid w:val="453047FC"/>
    <w:rsid w:val="453C3C81"/>
    <w:rsid w:val="453E3D37"/>
    <w:rsid w:val="45486D4C"/>
    <w:rsid w:val="45657A95"/>
    <w:rsid w:val="4580177B"/>
    <w:rsid w:val="459B3794"/>
    <w:rsid w:val="45A9185B"/>
    <w:rsid w:val="45D63390"/>
    <w:rsid w:val="45E13D2F"/>
    <w:rsid w:val="45E36925"/>
    <w:rsid w:val="46146AE8"/>
    <w:rsid w:val="46242440"/>
    <w:rsid w:val="467B5673"/>
    <w:rsid w:val="46964814"/>
    <w:rsid w:val="46ED4092"/>
    <w:rsid w:val="470C426A"/>
    <w:rsid w:val="471409EB"/>
    <w:rsid w:val="47242D3E"/>
    <w:rsid w:val="47835CCA"/>
    <w:rsid w:val="479003E6"/>
    <w:rsid w:val="47903413"/>
    <w:rsid w:val="47AD21DE"/>
    <w:rsid w:val="47D06A35"/>
    <w:rsid w:val="47EE6EA3"/>
    <w:rsid w:val="480F1C53"/>
    <w:rsid w:val="48286AFA"/>
    <w:rsid w:val="483724EC"/>
    <w:rsid w:val="484A4A7A"/>
    <w:rsid w:val="48826543"/>
    <w:rsid w:val="488E4639"/>
    <w:rsid w:val="489420C1"/>
    <w:rsid w:val="48A65332"/>
    <w:rsid w:val="48D158F6"/>
    <w:rsid w:val="48D72C58"/>
    <w:rsid w:val="490855E9"/>
    <w:rsid w:val="493A7713"/>
    <w:rsid w:val="49553696"/>
    <w:rsid w:val="497B556D"/>
    <w:rsid w:val="49E211D1"/>
    <w:rsid w:val="49F42A2A"/>
    <w:rsid w:val="4A783AE0"/>
    <w:rsid w:val="4A8552FC"/>
    <w:rsid w:val="4AB126F9"/>
    <w:rsid w:val="4ABB74B7"/>
    <w:rsid w:val="4AD11B37"/>
    <w:rsid w:val="4AF018C8"/>
    <w:rsid w:val="4B12167B"/>
    <w:rsid w:val="4B180E1F"/>
    <w:rsid w:val="4B4D4707"/>
    <w:rsid w:val="4B936EA9"/>
    <w:rsid w:val="4B961F3F"/>
    <w:rsid w:val="4BAD46D0"/>
    <w:rsid w:val="4BCF3D93"/>
    <w:rsid w:val="4C115F9A"/>
    <w:rsid w:val="4C2E2FF5"/>
    <w:rsid w:val="4C62469B"/>
    <w:rsid w:val="4C857E28"/>
    <w:rsid w:val="4C8D500E"/>
    <w:rsid w:val="4CE560F4"/>
    <w:rsid w:val="4D004F1E"/>
    <w:rsid w:val="4D2F0ED5"/>
    <w:rsid w:val="4D4C15D6"/>
    <w:rsid w:val="4D8325B3"/>
    <w:rsid w:val="4DDA685F"/>
    <w:rsid w:val="4DE5168D"/>
    <w:rsid w:val="4DF22648"/>
    <w:rsid w:val="4E071096"/>
    <w:rsid w:val="4E095262"/>
    <w:rsid w:val="4E0C334E"/>
    <w:rsid w:val="4E165AE9"/>
    <w:rsid w:val="4EA824BA"/>
    <w:rsid w:val="4EAA0E15"/>
    <w:rsid w:val="4EB11591"/>
    <w:rsid w:val="4EB92FD7"/>
    <w:rsid w:val="4EC0267B"/>
    <w:rsid w:val="4EC27C55"/>
    <w:rsid w:val="4ECB513F"/>
    <w:rsid w:val="4EFD707C"/>
    <w:rsid w:val="4F217E07"/>
    <w:rsid w:val="4F64769A"/>
    <w:rsid w:val="4F75306F"/>
    <w:rsid w:val="4F7B4FE2"/>
    <w:rsid w:val="4F974A08"/>
    <w:rsid w:val="4FAA4D01"/>
    <w:rsid w:val="4FFB6867"/>
    <w:rsid w:val="50193504"/>
    <w:rsid w:val="502A11B2"/>
    <w:rsid w:val="509426D5"/>
    <w:rsid w:val="50CF3D2E"/>
    <w:rsid w:val="51091F7A"/>
    <w:rsid w:val="512A62DF"/>
    <w:rsid w:val="51383193"/>
    <w:rsid w:val="513D4825"/>
    <w:rsid w:val="517A7B05"/>
    <w:rsid w:val="519E25D5"/>
    <w:rsid w:val="519E4813"/>
    <w:rsid w:val="51E44793"/>
    <w:rsid w:val="52287524"/>
    <w:rsid w:val="52535DA1"/>
    <w:rsid w:val="526B1C83"/>
    <w:rsid w:val="528374C6"/>
    <w:rsid w:val="5288752B"/>
    <w:rsid w:val="52A84576"/>
    <w:rsid w:val="52BB6F95"/>
    <w:rsid w:val="52D001A7"/>
    <w:rsid w:val="52E2745B"/>
    <w:rsid w:val="52EB1094"/>
    <w:rsid w:val="53415B1D"/>
    <w:rsid w:val="53470101"/>
    <w:rsid w:val="53574CE8"/>
    <w:rsid w:val="535B3F9E"/>
    <w:rsid w:val="538A10E2"/>
    <w:rsid w:val="53C6234B"/>
    <w:rsid w:val="53CB7BAA"/>
    <w:rsid w:val="53D567CE"/>
    <w:rsid w:val="53F1220D"/>
    <w:rsid w:val="53F87D28"/>
    <w:rsid w:val="54474E6C"/>
    <w:rsid w:val="54604C9A"/>
    <w:rsid w:val="547C0360"/>
    <w:rsid w:val="54DB590A"/>
    <w:rsid w:val="54EC578C"/>
    <w:rsid w:val="54EE1E1C"/>
    <w:rsid w:val="54EF2BF0"/>
    <w:rsid w:val="54F46379"/>
    <w:rsid w:val="55194CD9"/>
    <w:rsid w:val="55225066"/>
    <w:rsid w:val="555079BC"/>
    <w:rsid w:val="55831D83"/>
    <w:rsid w:val="55DB4CBB"/>
    <w:rsid w:val="56111D73"/>
    <w:rsid w:val="56657132"/>
    <w:rsid w:val="567738E2"/>
    <w:rsid w:val="568C0950"/>
    <w:rsid w:val="56A95021"/>
    <w:rsid w:val="56AA4484"/>
    <w:rsid w:val="56AD2278"/>
    <w:rsid w:val="56D54068"/>
    <w:rsid w:val="56E642F8"/>
    <w:rsid w:val="570D1A54"/>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496056"/>
    <w:rsid w:val="5984374C"/>
    <w:rsid w:val="599836E9"/>
    <w:rsid w:val="59BD362B"/>
    <w:rsid w:val="59C13530"/>
    <w:rsid w:val="59E051FD"/>
    <w:rsid w:val="59EF5441"/>
    <w:rsid w:val="5A3236D2"/>
    <w:rsid w:val="5A7A7400"/>
    <w:rsid w:val="5A8E5CAE"/>
    <w:rsid w:val="5A9A2E28"/>
    <w:rsid w:val="5A9E33C5"/>
    <w:rsid w:val="5AB32912"/>
    <w:rsid w:val="5AB42539"/>
    <w:rsid w:val="5ADA4CEA"/>
    <w:rsid w:val="5ADD3CCB"/>
    <w:rsid w:val="5AE92117"/>
    <w:rsid w:val="5AE97C96"/>
    <w:rsid w:val="5AEB2E79"/>
    <w:rsid w:val="5AED56D6"/>
    <w:rsid w:val="5AF00C1C"/>
    <w:rsid w:val="5B1D43D4"/>
    <w:rsid w:val="5B2F2DA4"/>
    <w:rsid w:val="5B654A2B"/>
    <w:rsid w:val="5B8C094A"/>
    <w:rsid w:val="5B8F6028"/>
    <w:rsid w:val="5B977B3E"/>
    <w:rsid w:val="5B9B34BE"/>
    <w:rsid w:val="5BA40E8C"/>
    <w:rsid w:val="5BBB3EF6"/>
    <w:rsid w:val="5C7165E1"/>
    <w:rsid w:val="5C720521"/>
    <w:rsid w:val="5C7D66BF"/>
    <w:rsid w:val="5C804C14"/>
    <w:rsid w:val="5CDC237B"/>
    <w:rsid w:val="5CE931CF"/>
    <w:rsid w:val="5D243653"/>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EF07C91"/>
    <w:rsid w:val="5F1948CD"/>
    <w:rsid w:val="5F3A0F0C"/>
    <w:rsid w:val="5F443898"/>
    <w:rsid w:val="5FBA4F54"/>
    <w:rsid w:val="5FF3435B"/>
    <w:rsid w:val="6025461F"/>
    <w:rsid w:val="6039707E"/>
    <w:rsid w:val="60454F4C"/>
    <w:rsid w:val="60691513"/>
    <w:rsid w:val="60821C0A"/>
    <w:rsid w:val="6091140E"/>
    <w:rsid w:val="60A3235E"/>
    <w:rsid w:val="60BD5091"/>
    <w:rsid w:val="60CC6BA1"/>
    <w:rsid w:val="60FD5545"/>
    <w:rsid w:val="612D279D"/>
    <w:rsid w:val="616E30EF"/>
    <w:rsid w:val="617D54E1"/>
    <w:rsid w:val="61801B8C"/>
    <w:rsid w:val="61846E39"/>
    <w:rsid w:val="61DF1438"/>
    <w:rsid w:val="62487DE4"/>
    <w:rsid w:val="627162C3"/>
    <w:rsid w:val="62952BA2"/>
    <w:rsid w:val="62AD7361"/>
    <w:rsid w:val="62C94D3A"/>
    <w:rsid w:val="62CB165D"/>
    <w:rsid w:val="62DB6926"/>
    <w:rsid w:val="63393E00"/>
    <w:rsid w:val="634069A9"/>
    <w:rsid w:val="63504B1E"/>
    <w:rsid w:val="635868D4"/>
    <w:rsid w:val="636429FB"/>
    <w:rsid w:val="63A56349"/>
    <w:rsid w:val="63B42720"/>
    <w:rsid w:val="63F0223D"/>
    <w:rsid w:val="63F17D88"/>
    <w:rsid w:val="63F54608"/>
    <w:rsid w:val="63FC3D7F"/>
    <w:rsid w:val="63FC5C5F"/>
    <w:rsid w:val="64124F9C"/>
    <w:rsid w:val="6416241A"/>
    <w:rsid w:val="64251E97"/>
    <w:rsid w:val="645503FC"/>
    <w:rsid w:val="64857077"/>
    <w:rsid w:val="64AD0F60"/>
    <w:rsid w:val="64B346DB"/>
    <w:rsid w:val="650134D2"/>
    <w:rsid w:val="655065A0"/>
    <w:rsid w:val="65B522F3"/>
    <w:rsid w:val="65D00C89"/>
    <w:rsid w:val="65FD0D51"/>
    <w:rsid w:val="666920D7"/>
    <w:rsid w:val="66701E76"/>
    <w:rsid w:val="66760BDC"/>
    <w:rsid w:val="66946FCE"/>
    <w:rsid w:val="66AA6977"/>
    <w:rsid w:val="66B52527"/>
    <w:rsid w:val="66CC4B94"/>
    <w:rsid w:val="670E6315"/>
    <w:rsid w:val="67270213"/>
    <w:rsid w:val="672812B8"/>
    <w:rsid w:val="672866E6"/>
    <w:rsid w:val="672E2E40"/>
    <w:rsid w:val="67860FE4"/>
    <w:rsid w:val="678E66C7"/>
    <w:rsid w:val="679330E5"/>
    <w:rsid w:val="67E1532A"/>
    <w:rsid w:val="67E416E3"/>
    <w:rsid w:val="68073F07"/>
    <w:rsid w:val="680E73DA"/>
    <w:rsid w:val="68242875"/>
    <w:rsid w:val="682B2816"/>
    <w:rsid w:val="682F459A"/>
    <w:rsid w:val="68844046"/>
    <w:rsid w:val="68992760"/>
    <w:rsid w:val="68D7429C"/>
    <w:rsid w:val="68F85981"/>
    <w:rsid w:val="68FD2303"/>
    <w:rsid w:val="691D01DE"/>
    <w:rsid w:val="6922313D"/>
    <w:rsid w:val="69BB3F99"/>
    <w:rsid w:val="69EB7231"/>
    <w:rsid w:val="69EC4436"/>
    <w:rsid w:val="6A7A146D"/>
    <w:rsid w:val="6AA94E43"/>
    <w:rsid w:val="6B2B4D5D"/>
    <w:rsid w:val="6B5D470D"/>
    <w:rsid w:val="6B5E6292"/>
    <w:rsid w:val="6B6172FD"/>
    <w:rsid w:val="6B9C11AA"/>
    <w:rsid w:val="6BA14A62"/>
    <w:rsid w:val="6BB62F00"/>
    <w:rsid w:val="6BCA390C"/>
    <w:rsid w:val="6BF71AFD"/>
    <w:rsid w:val="6C036806"/>
    <w:rsid w:val="6C0C5C68"/>
    <w:rsid w:val="6C1E581D"/>
    <w:rsid w:val="6C1F3963"/>
    <w:rsid w:val="6C450FCB"/>
    <w:rsid w:val="6C85013B"/>
    <w:rsid w:val="6C974F86"/>
    <w:rsid w:val="6CA207EE"/>
    <w:rsid w:val="6CA23B20"/>
    <w:rsid w:val="6CD3474E"/>
    <w:rsid w:val="6CD77FC6"/>
    <w:rsid w:val="6CDB2AD9"/>
    <w:rsid w:val="6CF520F2"/>
    <w:rsid w:val="6CF869D4"/>
    <w:rsid w:val="6D176D30"/>
    <w:rsid w:val="6D286DB0"/>
    <w:rsid w:val="6D2A47DC"/>
    <w:rsid w:val="6D325949"/>
    <w:rsid w:val="6D604233"/>
    <w:rsid w:val="6D77157D"/>
    <w:rsid w:val="6D8764B4"/>
    <w:rsid w:val="6D884E76"/>
    <w:rsid w:val="6DAE6EDC"/>
    <w:rsid w:val="6E0F3C8A"/>
    <w:rsid w:val="6E2B4B33"/>
    <w:rsid w:val="6E314415"/>
    <w:rsid w:val="6E3661C0"/>
    <w:rsid w:val="6E70005D"/>
    <w:rsid w:val="6E842006"/>
    <w:rsid w:val="6E8A6E0A"/>
    <w:rsid w:val="6EBB6936"/>
    <w:rsid w:val="6EBF2546"/>
    <w:rsid w:val="6EFA6E74"/>
    <w:rsid w:val="6F0B3AFC"/>
    <w:rsid w:val="6F26325B"/>
    <w:rsid w:val="6F335CE6"/>
    <w:rsid w:val="6F6A5C61"/>
    <w:rsid w:val="6F8958CE"/>
    <w:rsid w:val="6F9F071D"/>
    <w:rsid w:val="6FA459E8"/>
    <w:rsid w:val="6FC6177D"/>
    <w:rsid w:val="6FF3138F"/>
    <w:rsid w:val="70770C68"/>
    <w:rsid w:val="707F7159"/>
    <w:rsid w:val="70B54896"/>
    <w:rsid w:val="70F6792E"/>
    <w:rsid w:val="71157768"/>
    <w:rsid w:val="711E7CDC"/>
    <w:rsid w:val="7145595C"/>
    <w:rsid w:val="717541D4"/>
    <w:rsid w:val="71755D6C"/>
    <w:rsid w:val="71A404EE"/>
    <w:rsid w:val="71AE3589"/>
    <w:rsid w:val="71D4751D"/>
    <w:rsid w:val="72220352"/>
    <w:rsid w:val="72330169"/>
    <w:rsid w:val="726C285E"/>
    <w:rsid w:val="726C35C5"/>
    <w:rsid w:val="726E22D6"/>
    <w:rsid w:val="727F0479"/>
    <w:rsid w:val="7287330B"/>
    <w:rsid w:val="729359D9"/>
    <w:rsid w:val="72AD3D5E"/>
    <w:rsid w:val="72B50CD7"/>
    <w:rsid w:val="72E41AB2"/>
    <w:rsid w:val="72F328D1"/>
    <w:rsid w:val="73524904"/>
    <w:rsid w:val="73606EE2"/>
    <w:rsid w:val="739B0DDB"/>
    <w:rsid w:val="739C599E"/>
    <w:rsid w:val="73AE7877"/>
    <w:rsid w:val="73D72A75"/>
    <w:rsid w:val="73DC569E"/>
    <w:rsid w:val="746C7962"/>
    <w:rsid w:val="748B7E44"/>
    <w:rsid w:val="748F263E"/>
    <w:rsid w:val="74B66E2F"/>
    <w:rsid w:val="74D22739"/>
    <w:rsid w:val="74F01235"/>
    <w:rsid w:val="753F2B74"/>
    <w:rsid w:val="75E82767"/>
    <w:rsid w:val="75EB39E3"/>
    <w:rsid w:val="760A5A1D"/>
    <w:rsid w:val="760D448F"/>
    <w:rsid w:val="76113BE2"/>
    <w:rsid w:val="76172764"/>
    <w:rsid w:val="761C61FC"/>
    <w:rsid w:val="76270C54"/>
    <w:rsid w:val="763C0E6A"/>
    <w:rsid w:val="7672349D"/>
    <w:rsid w:val="76786E52"/>
    <w:rsid w:val="76A23B68"/>
    <w:rsid w:val="76B06815"/>
    <w:rsid w:val="77377F06"/>
    <w:rsid w:val="777F7099"/>
    <w:rsid w:val="77A6119F"/>
    <w:rsid w:val="77DC4E69"/>
    <w:rsid w:val="77FE4D75"/>
    <w:rsid w:val="781E36A3"/>
    <w:rsid w:val="78656BA2"/>
    <w:rsid w:val="78A07BE6"/>
    <w:rsid w:val="78B021A7"/>
    <w:rsid w:val="78D530AB"/>
    <w:rsid w:val="79087667"/>
    <w:rsid w:val="791240B3"/>
    <w:rsid w:val="791E00CB"/>
    <w:rsid w:val="791E6B0F"/>
    <w:rsid w:val="79732564"/>
    <w:rsid w:val="797F2D41"/>
    <w:rsid w:val="79DF153D"/>
    <w:rsid w:val="79E20635"/>
    <w:rsid w:val="7A28432B"/>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26617"/>
    <w:rsid w:val="7CA53E03"/>
    <w:rsid w:val="7CD869FC"/>
    <w:rsid w:val="7CDC7730"/>
    <w:rsid w:val="7D042884"/>
    <w:rsid w:val="7D38691D"/>
    <w:rsid w:val="7D396971"/>
    <w:rsid w:val="7D9C17A0"/>
    <w:rsid w:val="7DB73FBE"/>
    <w:rsid w:val="7DFF1847"/>
    <w:rsid w:val="7E5D2AAE"/>
    <w:rsid w:val="7E82058A"/>
    <w:rsid w:val="7EC16AFC"/>
    <w:rsid w:val="7EC95803"/>
    <w:rsid w:val="7EE922C9"/>
    <w:rsid w:val="7EEF0552"/>
    <w:rsid w:val="7EFC1F30"/>
    <w:rsid w:val="7F364DF4"/>
    <w:rsid w:val="7F5B7BCC"/>
    <w:rsid w:val="7F7678E7"/>
    <w:rsid w:val="7F7852BD"/>
    <w:rsid w:val="7F835137"/>
    <w:rsid w:val="7F912972"/>
    <w:rsid w:val="7FA32684"/>
    <w:rsid w:val="7FA44E64"/>
    <w:rsid w:val="7FA74A2B"/>
    <w:rsid w:val="7FA77AA0"/>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EF5B8D46-118C-45C5-9CE8-F49E631E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paragraph" w:styleId="a3">
    <w:name w:val="Body Text Indent"/>
    <w:basedOn w:val="a"/>
    <w:autoRedefine/>
    <w:uiPriority w:val="99"/>
    <w:semiHidden/>
    <w:unhideWhenUsed/>
    <w:qFormat/>
    <w:pPr>
      <w:ind w:leftChars="200" w:left="420"/>
    </w:pPr>
  </w:style>
  <w:style w:type="paragraph" w:styleId="a4">
    <w:name w:val="Note Heading"/>
    <w:basedOn w:val="a"/>
    <w:next w:val="a"/>
    <w:autoRedefine/>
    <w:qFormat/>
    <w:pPr>
      <w:jc w:val="center"/>
    </w:pPr>
  </w:style>
  <w:style w:type="paragraph" w:styleId="a5">
    <w:name w:val="Normal Indent"/>
    <w:basedOn w:val="a"/>
    <w:autoRedefine/>
    <w:qFormat/>
    <w:pPr>
      <w:ind w:firstLineChars="200" w:firstLine="420"/>
    </w:pPr>
    <w:rPr>
      <w:rFonts w:ascii="Times New Roman" w:hAnsi="Times New Roman"/>
      <w:szCs w:val="24"/>
    </w:rPr>
  </w:style>
  <w:style w:type="paragraph" w:styleId="a6">
    <w:name w:val="annotation text"/>
    <w:basedOn w:val="a"/>
    <w:link w:val="Char"/>
    <w:autoRedefine/>
    <w:qFormat/>
    <w:pPr>
      <w:jc w:val="left"/>
    </w:pPr>
  </w:style>
  <w:style w:type="paragraph" w:styleId="a7">
    <w:name w:val="Body Text"/>
    <w:basedOn w:val="a"/>
    <w:link w:val="Char0"/>
    <w:autoRedefine/>
    <w:qFormat/>
    <w:pPr>
      <w:spacing w:after="120"/>
    </w:pPr>
  </w:style>
  <w:style w:type="paragraph" w:styleId="a8">
    <w:name w:val="Date"/>
    <w:basedOn w:val="a"/>
    <w:next w:val="a"/>
    <w:link w:val="Char1"/>
    <w:autoRedefine/>
    <w:qFormat/>
    <w:pPr>
      <w:ind w:leftChars="2500" w:left="100"/>
    </w:pPr>
  </w:style>
  <w:style w:type="paragraph" w:styleId="a9">
    <w:name w:val="Balloon Text"/>
    <w:basedOn w:val="a"/>
    <w:link w:val="Char2"/>
    <w:autoRedefine/>
    <w:qFormat/>
    <w:rPr>
      <w:sz w:val="18"/>
      <w:szCs w:val="18"/>
    </w:rPr>
  </w:style>
  <w:style w:type="paragraph" w:styleId="aa">
    <w:name w:val="footer"/>
    <w:basedOn w:val="a"/>
    <w:link w:val="Char3"/>
    <w:autoRedefine/>
    <w:uiPriority w:val="99"/>
    <w:qFormat/>
    <w:pPr>
      <w:tabs>
        <w:tab w:val="center" w:pos="4153"/>
        <w:tab w:val="right" w:pos="8306"/>
      </w:tabs>
      <w:snapToGrid w:val="0"/>
      <w:jc w:val="left"/>
    </w:pPr>
    <w:rPr>
      <w:sz w:val="18"/>
      <w:szCs w:val="18"/>
    </w:rPr>
  </w:style>
  <w:style w:type="paragraph" w:styleId="ab">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6"/>
    <w:next w:val="a6"/>
    <w:link w:val="Char5"/>
    <w:autoRedefine/>
    <w:qFormat/>
    <w:rPr>
      <w:b/>
      <w:bCs/>
    </w:rPr>
  </w:style>
  <w:style w:type="character" w:styleId="ae">
    <w:name w:val="Strong"/>
    <w:basedOn w:val="a0"/>
    <w:autoRedefine/>
    <w:qFormat/>
    <w:rPr>
      <w:b/>
      <w:bCs/>
    </w:rPr>
  </w:style>
  <w:style w:type="character" w:styleId="af">
    <w:name w:val="FollowedHyperlink"/>
    <w:basedOn w:val="a0"/>
    <w:autoRedefine/>
    <w:qFormat/>
    <w:rPr>
      <w:color w:val="145CCD"/>
      <w:u w:val="none"/>
    </w:rPr>
  </w:style>
  <w:style w:type="character" w:styleId="af0">
    <w:name w:val="Emphasis"/>
    <w:basedOn w:val="a0"/>
    <w:autoRedefine/>
    <w:qFormat/>
    <w:rPr>
      <w:b/>
      <w:bCs/>
    </w:rPr>
  </w:style>
  <w:style w:type="character" w:styleId="HTML">
    <w:name w:val="HTML Definition"/>
    <w:basedOn w:val="a0"/>
    <w:autoRedefine/>
    <w:qFormat/>
  </w:style>
  <w:style w:type="character" w:styleId="HTML0">
    <w:name w:val="HTML Typewriter"/>
    <w:basedOn w:val="a0"/>
    <w:autoRedefine/>
    <w:qFormat/>
    <w:rPr>
      <w:rFonts w:ascii="monospace" w:eastAsia="monospace" w:hAnsi="monospace" w:cs="monospace" w:hint="default"/>
      <w:sz w:val="20"/>
    </w:rPr>
  </w:style>
  <w:style w:type="character" w:styleId="HTML1">
    <w:name w:val="HTML Acronym"/>
    <w:basedOn w:val="a0"/>
    <w:autoRedefine/>
    <w:qFormat/>
  </w:style>
  <w:style w:type="character" w:styleId="HTML2">
    <w:name w:val="HTML Variable"/>
    <w:basedOn w:val="a0"/>
    <w:autoRedefine/>
    <w:qFormat/>
  </w:style>
  <w:style w:type="character" w:styleId="af1">
    <w:name w:val="Hyperlink"/>
    <w:basedOn w:val="a0"/>
    <w:autoRedefine/>
    <w:qFormat/>
    <w:rPr>
      <w:color w:val="0000FF"/>
      <w:u w:val="single"/>
    </w:rPr>
  </w:style>
  <w:style w:type="character" w:styleId="HTML3">
    <w:name w:val="HTML Code"/>
    <w:basedOn w:val="a0"/>
    <w:autoRedefine/>
    <w:qFormat/>
    <w:rPr>
      <w:rFonts w:ascii="monospace" w:eastAsia="monospace" w:hAnsi="monospace" w:cs="monospace" w:hint="default"/>
      <w:sz w:val="20"/>
    </w:rPr>
  </w:style>
  <w:style w:type="character" w:styleId="af2">
    <w:name w:val="annotation reference"/>
    <w:basedOn w:val="a0"/>
    <w:autoRedefine/>
    <w:qFormat/>
    <w:rPr>
      <w:sz w:val="21"/>
      <w:szCs w:val="21"/>
    </w:rPr>
  </w:style>
  <w:style w:type="character" w:styleId="HTML4">
    <w:name w:val="HTML Cite"/>
    <w:basedOn w:val="a0"/>
    <w:autoRedefine/>
    <w:qFormat/>
  </w:style>
  <w:style w:type="character" w:styleId="HTML5">
    <w:name w:val="HTML Keyboard"/>
    <w:basedOn w:val="a0"/>
    <w:autoRedefine/>
    <w:qFormat/>
    <w:rPr>
      <w:rFonts w:ascii="monospace" w:eastAsia="monospace" w:hAnsi="monospace" w:cs="monospace"/>
      <w:sz w:val="20"/>
    </w:rPr>
  </w:style>
  <w:style w:type="character" w:styleId="HTML6">
    <w:name w:val="HTML Sample"/>
    <w:basedOn w:val="a0"/>
    <w:autoRedefine/>
    <w:qFormat/>
    <w:rPr>
      <w:rFonts w:ascii="monospace" w:eastAsia="monospace" w:hAnsi="monospace" w:cs="monospace" w:hint="default"/>
    </w:rPr>
  </w:style>
  <w:style w:type="paragraph" w:customStyle="1" w:styleId="af3">
    <w:name w:val="段"/>
    <w:next w:val="a"/>
    <w:autoRedefine/>
    <w:qFormat/>
    <w:pPr>
      <w:autoSpaceDE w:val="0"/>
      <w:autoSpaceDN w:val="0"/>
      <w:ind w:firstLine="200"/>
      <w:jc w:val="both"/>
    </w:pPr>
    <w:rPr>
      <w:rFonts w:ascii="宋体"/>
      <w:sz w:val="21"/>
      <w:szCs w:val="22"/>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0"/>
    <w:link w:val="ab"/>
    <w:autoRedefine/>
    <w:qFormat/>
    <w:rPr>
      <w:rFonts w:ascii="Calibri" w:eastAsia="宋体" w:hAnsi="Calibri" w:cs="Times New Roman"/>
      <w:kern w:val="2"/>
      <w:sz w:val="18"/>
      <w:szCs w:val="18"/>
    </w:rPr>
  </w:style>
  <w:style w:type="character" w:customStyle="1" w:styleId="Char2">
    <w:name w:val="批注框文本 Char"/>
    <w:basedOn w:val="a0"/>
    <w:link w:val="a9"/>
    <w:autoRedefine/>
    <w:qFormat/>
    <w:rPr>
      <w:rFonts w:ascii="Calibri" w:eastAsia="宋体" w:hAnsi="Calibri" w:cs="Times New Roman"/>
      <w:kern w:val="2"/>
      <w:sz w:val="18"/>
      <w:szCs w:val="18"/>
    </w:rPr>
  </w:style>
  <w:style w:type="character" w:customStyle="1" w:styleId="Char3">
    <w:name w:val="页脚 Char"/>
    <w:basedOn w:val="a0"/>
    <w:link w:val="aa"/>
    <w:autoRedefine/>
    <w:uiPriority w:val="99"/>
    <w:qFormat/>
    <w:rPr>
      <w:rFonts w:ascii="Calibri" w:hAnsi="Calibri"/>
      <w:kern w:val="2"/>
      <w:sz w:val="18"/>
      <w:szCs w:val="18"/>
    </w:rPr>
  </w:style>
  <w:style w:type="character" w:customStyle="1" w:styleId="Char1">
    <w:name w:val="日期 Char"/>
    <w:basedOn w:val="a0"/>
    <w:link w:val="a8"/>
    <w:autoRedefine/>
    <w:qFormat/>
    <w:rPr>
      <w:rFonts w:ascii="Calibri" w:hAnsi="Calibri"/>
      <w:kern w:val="2"/>
      <w:sz w:val="21"/>
      <w:szCs w:val="22"/>
    </w:rPr>
  </w:style>
  <w:style w:type="character" w:customStyle="1" w:styleId="Char0">
    <w:name w:val="正文文本 Char"/>
    <w:basedOn w:val="a0"/>
    <w:link w:val="a7"/>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0"/>
    <w:autoRedefine/>
    <w:qFormat/>
    <w:rPr>
      <w:rFonts w:ascii="黑体" w:eastAsia="黑体" w:hAnsi="黑体" w:hint="eastAsia"/>
      <w:color w:val="000000"/>
      <w:sz w:val="32"/>
      <w:szCs w:val="32"/>
    </w:rPr>
  </w:style>
  <w:style w:type="character" w:customStyle="1" w:styleId="fontstyle11">
    <w:name w:val="fontstyle11"/>
    <w:basedOn w:val="a0"/>
    <w:autoRedefine/>
    <w:qFormat/>
    <w:rPr>
      <w:rFonts w:ascii="Times New Roman" w:hAnsi="Times New Roman" w:cs="Times New Roman" w:hint="default"/>
      <w:color w:val="000000"/>
      <w:sz w:val="32"/>
      <w:szCs w:val="32"/>
    </w:rPr>
  </w:style>
  <w:style w:type="character" w:customStyle="1" w:styleId="fontstyle21">
    <w:name w:val="fontstyle21"/>
    <w:basedOn w:val="a0"/>
    <w:autoRedefine/>
    <w:qFormat/>
    <w:rPr>
      <w:rFonts w:ascii="Times New Roman" w:hAnsi="Times New Roman" w:cs="Times New Roman" w:hint="default"/>
      <w:color w:val="000000"/>
      <w:sz w:val="32"/>
      <w:szCs w:val="32"/>
    </w:rPr>
  </w:style>
  <w:style w:type="character" w:customStyle="1" w:styleId="Char">
    <w:name w:val="批注文字 Char"/>
    <w:basedOn w:val="a0"/>
    <w:link w:val="a6"/>
    <w:autoRedefine/>
    <w:qFormat/>
    <w:rPr>
      <w:rFonts w:ascii="Calibri" w:hAnsi="Calibri"/>
      <w:kern w:val="2"/>
      <w:sz w:val="21"/>
      <w:szCs w:val="22"/>
    </w:rPr>
  </w:style>
  <w:style w:type="character" w:customStyle="1" w:styleId="Char5">
    <w:name w:val="批注主题 Char"/>
    <w:basedOn w:val="Char"/>
    <w:link w:val="ad"/>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0"/>
    <w:autoRedefine/>
    <w:qFormat/>
    <w:rPr>
      <w:color w:val="2590EB"/>
    </w:rPr>
  </w:style>
  <w:style w:type="character" w:customStyle="1" w:styleId="hover2">
    <w:name w:val="hover2"/>
    <w:basedOn w:val="a0"/>
    <w:autoRedefine/>
    <w:qFormat/>
    <w:rPr>
      <w:color w:val="2590EB"/>
    </w:rPr>
  </w:style>
  <w:style w:type="character" w:customStyle="1" w:styleId="hover3">
    <w:name w:val="hover3"/>
    <w:basedOn w:val="a0"/>
    <w:autoRedefine/>
    <w:qFormat/>
  </w:style>
  <w:style w:type="character" w:customStyle="1" w:styleId="hover">
    <w:name w:val="hover"/>
    <w:basedOn w:val="a0"/>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99CE89-7244-40AB-9642-274CEE9B9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6100</Words>
  <Characters>240</Characters>
  <Application>Microsoft Office Word</Application>
  <DocSecurity>0</DocSecurity>
  <Lines>2</Lines>
  <Paragraphs>12</Paragraphs>
  <ScaleCrop>false</ScaleCrop>
  <Company>区府办</Company>
  <LinksUpToDate>false</LinksUpToDate>
  <CharactersWithSpaces>6328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初晴 </cp:lastModifiedBy>
  <cp:revision>47</cp:revision>
  <cp:lastPrinted>2023-09-19T07:05:00Z</cp:lastPrinted>
  <dcterms:created xsi:type="dcterms:W3CDTF">2023-12-03T12:59:00Z</dcterms:created>
  <dcterms:modified xsi:type="dcterms:W3CDTF">2024-04-26T01:29:00Z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D9808D55E0EA4F5D948D0C39505D5503_13</vt:lpwstr>
  </property>
</Properties>
</file>