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24" w:lineRule="auto"/>
        <w:ind w:left="2330"/>
        <w:jc w:val="left"/>
        <w:rPr>
          <w:rFonts w:hint="eastAsia"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b/>
          <w:bCs/>
          <w:spacing w:val="28"/>
          <w:sz w:val="31"/>
          <w:szCs w:val="31"/>
        </w:rPr>
        <w:t>附件</w:t>
      </w:r>
      <w:r>
        <w:rPr>
          <w:rFonts w:hint="eastAsia" w:ascii="黑体" w:hAnsi="黑体" w:eastAsia="黑体" w:cs="黑体"/>
          <w:b/>
          <w:bCs/>
          <w:spacing w:val="28"/>
          <w:sz w:val="31"/>
          <w:szCs w:val="31"/>
          <w:lang w:val="en-US" w:eastAsia="zh-CN"/>
        </w:rPr>
        <w:t>5</w:t>
      </w:r>
    </w:p>
    <w:p>
      <w:pPr>
        <w:spacing w:before="207" w:line="218" w:lineRule="auto"/>
        <w:ind w:left="6110"/>
        <w:rPr>
          <w:rFonts w:ascii="宋体" w:hAnsi="宋体" w:eastAsia="宋体" w:cs="宋体"/>
          <w:sz w:val="31"/>
          <w:szCs w:val="31"/>
        </w:rPr>
      </w:pPr>
      <w:bookmarkStart w:id="0" w:name="_GoBack"/>
      <w:r>
        <w:rPr>
          <w:rFonts w:ascii="宋体" w:hAnsi="宋体" w:eastAsia="宋体" w:cs="宋体"/>
          <w:b/>
          <w:bCs/>
          <w:spacing w:val="-3"/>
          <w:sz w:val="31"/>
          <w:szCs w:val="31"/>
        </w:rPr>
        <w:t>劳务派遣单位信用等级评价自评表</w:t>
      </w:r>
      <w:bookmarkEnd w:id="0"/>
    </w:p>
    <w:tbl>
      <w:tblPr>
        <w:tblStyle w:val="16"/>
        <w:tblpPr w:leftFromText="180" w:rightFromText="180" w:vertAnchor="text" w:horzAnchor="page" w:tblpX="3134" w:tblpY="17"/>
        <w:tblOverlap w:val="never"/>
        <w:tblW w:w="1408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4"/>
        <w:gridCol w:w="1539"/>
        <w:gridCol w:w="10362"/>
        <w:gridCol w:w="11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4" w:hRule="atLeast"/>
        </w:trPr>
        <w:tc>
          <w:tcPr>
            <w:tcW w:w="1074" w:type="dxa"/>
            <w:vAlign w:val="top"/>
          </w:tcPr>
          <w:p>
            <w:pPr>
              <w:pStyle w:val="15"/>
              <w:spacing w:before="160" w:line="220" w:lineRule="auto"/>
              <w:ind w:left="147"/>
              <w:rPr>
                <w:sz w:val="19"/>
                <w:szCs w:val="19"/>
              </w:rPr>
            </w:pPr>
            <w:r>
              <w:rPr>
                <w:b/>
                <w:bCs/>
                <w:spacing w:val="-5"/>
                <w:sz w:val="19"/>
                <w:szCs w:val="19"/>
              </w:rPr>
              <w:t>一级指标</w:t>
            </w:r>
          </w:p>
        </w:tc>
        <w:tc>
          <w:tcPr>
            <w:tcW w:w="1539" w:type="dxa"/>
            <w:vAlign w:val="top"/>
          </w:tcPr>
          <w:p>
            <w:pPr>
              <w:pStyle w:val="15"/>
              <w:spacing w:before="160" w:line="220" w:lineRule="auto"/>
              <w:ind w:left="383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二级指标</w:t>
            </w:r>
          </w:p>
        </w:tc>
        <w:tc>
          <w:tcPr>
            <w:tcW w:w="10362" w:type="dxa"/>
            <w:vAlign w:val="top"/>
          </w:tcPr>
          <w:p>
            <w:pPr>
              <w:pStyle w:val="15"/>
              <w:spacing w:before="158" w:line="218" w:lineRule="auto"/>
              <w:ind w:left="4794"/>
              <w:rPr>
                <w:sz w:val="19"/>
                <w:szCs w:val="19"/>
              </w:rPr>
            </w:pPr>
            <w:r>
              <w:rPr>
                <w:b/>
                <w:bCs/>
                <w:spacing w:val="-4"/>
                <w:sz w:val="19"/>
                <w:szCs w:val="19"/>
              </w:rPr>
              <w:t>评价细则</w:t>
            </w:r>
          </w:p>
        </w:tc>
        <w:tc>
          <w:tcPr>
            <w:tcW w:w="1114" w:type="dxa"/>
            <w:vAlign w:val="top"/>
          </w:tcPr>
          <w:p>
            <w:pPr>
              <w:pStyle w:val="15"/>
              <w:spacing w:before="160" w:line="219" w:lineRule="auto"/>
              <w:ind w:left="202"/>
              <w:rPr>
                <w:sz w:val="19"/>
                <w:szCs w:val="19"/>
              </w:rPr>
            </w:pPr>
            <w:r>
              <w:rPr>
                <w:b/>
                <w:bCs/>
                <w:spacing w:val="-2"/>
                <w:sz w:val="19"/>
                <w:szCs w:val="19"/>
              </w:rPr>
              <w:t>自评得分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074" w:type="dxa"/>
            <w:vAlign w:val="top"/>
          </w:tcPr>
          <w:p>
            <w:pPr>
              <w:pStyle w:val="15"/>
              <w:spacing w:before="39" w:line="217" w:lineRule="auto"/>
              <w:ind w:left="245" w:right="207"/>
              <w:rPr>
                <w:sz w:val="19"/>
                <w:szCs w:val="19"/>
              </w:rPr>
            </w:pPr>
            <w:r>
              <w:rPr>
                <w:spacing w:val="-3"/>
                <w:sz w:val="19"/>
                <w:szCs w:val="19"/>
              </w:rPr>
              <w:t>初始分</w:t>
            </w:r>
            <w:r>
              <w:rPr>
                <w:spacing w:val="1"/>
                <w:sz w:val="19"/>
                <w:szCs w:val="19"/>
              </w:rPr>
              <w:t xml:space="preserve"> </w:t>
            </w:r>
            <w:r>
              <w:rPr>
                <w:spacing w:val="8"/>
                <w:sz w:val="19"/>
                <w:szCs w:val="19"/>
              </w:rPr>
              <w:t>(60分)</w:t>
            </w:r>
          </w:p>
        </w:tc>
        <w:tc>
          <w:tcPr>
            <w:tcW w:w="1539" w:type="dxa"/>
            <w:vAlign w:val="top"/>
          </w:tcPr>
          <w:p>
            <w:pPr>
              <w:pStyle w:val="15"/>
              <w:spacing w:before="37" w:line="224" w:lineRule="auto"/>
              <w:ind w:left="280" w:right="93" w:hanging="190"/>
              <w:rPr>
                <w:sz w:val="19"/>
                <w:szCs w:val="19"/>
              </w:rPr>
            </w:pPr>
            <w:r>
              <w:rPr>
                <w:spacing w:val="2"/>
                <w:sz w:val="19"/>
                <w:szCs w:val="19"/>
              </w:rPr>
              <w:t>获得许可并参加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5"/>
                <w:sz w:val="19"/>
                <w:szCs w:val="19"/>
              </w:rPr>
              <w:t>核验(60分)</w:t>
            </w:r>
          </w:p>
        </w:tc>
        <w:tc>
          <w:tcPr>
            <w:tcW w:w="10362" w:type="dxa"/>
            <w:vAlign w:val="top"/>
          </w:tcPr>
          <w:p>
            <w:pPr>
              <w:pStyle w:val="15"/>
              <w:spacing w:before="157" w:line="219" w:lineRule="auto"/>
              <w:jc w:val="right"/>
              <w:rPr>
                <w:sz w:val="19"/>
                <w:szCs w:val="19"/>
              </w:rPr>
            </w:pPr>
            <w:r>
              <w:rPr>
                <w:spacing w:val="-4"/>
                <w:sz w:val="19"/>
                <w:szCs w:val="19"/>
              </w:rPr>
              <w:t>依法取得有效《劳务派遣经营许可证》或劳务派遣分公司备案证明</w:t>
            </w:r>
            <w:r>
              <w:rPr>
                <w:spacing w:val="-5"/>
                <w:sz w:val="19"/>
                <w:szCs w:val="19"/>
              </w:rPr>
              <w:t>且依法参加劳务派遣年度经营情况核验的，初始分为60分，</w:t>
            </w:r>
          </w:p>
        </w:tc>
        <w:tc>
          <w:tcPr>
            <w:tcW w:w="11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074" w:type="dxa"/>
            <w:vMerge w:val="restart"/>
            <w:tcBorders>
              <w:bottom w:val="nil"/>
            </w:tcBorders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pStyle w:val="15"/>
              <w:spacing w:before="61" w:line="218" w:lineRule="auto"/>
              <w:ind w:left="244" w:right="166" w:hanging="100"/>
              <w:rPr>
                <w:sz w:val="19"/>
                <w:szCs w:val="19"/>
              </w:rPr>
            </w:pPr>
            <w:r>
              <w:rPr>
                <w:spacing w:val="-2"/>
                <w:sz w:val="19"/>
                <w:szCs w:val="19"/>
              </w:rPr>
              <w:t>基本指标</w:t>
            </w:r>
            <w:r>
              <w:rPr>
                <w:sz w:val="19"/>
                <w:szCs w:val="19"/>
              </w:rPr>
              <w:t xml:space="preserve"> </w:t>
            </w:r>
            <w:r>
              <w:rPr>
                <w:spacing w:val="8"/>
                <w:sz w:val="19"/>
                <w:szCs w:val="19"/>
              </w:rPr>
              <w:t>(30分)</w:t>
            </w:r>
          </w:p>
        </w:tc>
        <w:tc>
          <w:tcPr>
            <w:tcW w:w="1539" w:type="dxa"/>
            <w:vAlign w:val="top"/>
          </w:tcPr>
          <w:p>
            <w:pPr>
              <w:pStyle w:val="15"/>
              <w:spacing w:before="160" w:line="220" w:lineRule="auto"/>
              <w:ind w:left="140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经营行业(5分)</w:t>
            </w:r>
          </w:p>
        </w:tc>
        <w:tc>
          <w:tcPr>
            <w:tcW w:w="10362" w:type="dxa"/>
            <w:vAlign w:val="top"/>
          </w:tcPr>
          <w:p>
            <w:pPr>
              <w:pStyle w:val="15"/>
              <w:spacing w:before="159" w:line="219" w:lineRule="auto"/>
              <w:ind w:left="151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主营业务是劳务派遣的，得5分。</w:t>
            </w:r>
          </w:p>
        </w:tc>
        <w:tc>
          <w:tcPr>
            <w:tcW w:w="11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9" w:type="dxa"/>
            <w:vAlign w:val="top"/>
          </w:tcPr>
          <w:p>
            <w:pPr>
              <w:pStyle w:val="15"/>
              <w:spacing w:before="161" w:line="220" w:lineRule="auto"/>
              <w:ind w:left="140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人员配备(3分)</w:t>
            </w:r>
          </w:p>
        </w:tc>
        <w:tc>
          <w:tcPr>
            <w:tcW w:w="10362" w:type="dxa"/>
            <w:vAlign w:val="top"/>
          </w:tcPr>
          <w:p>
            <w:pPr>
              <w:pStyle w:val="15"/>
              <w:spacing w:before="9" w:line="231" w:lineRule="auto"/>
              <w:ind w:left="151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公司拥有持有劳动关系协调、劳动人事争议调解或人力资源资格等证书的专业人员，满2名的，得1分；每多1名增</w:t>
            </w:r>
            <w:r>
              <w:rPr>
                <w:spacing w:val="-2"/>
                <w:sz w:val="19"/>
                <w:szCs w:val="19"/>
              </w:rPr>
              <w:t>加1分，最</w:t>
            </w:r>
            <w:r>
              <w:rPr>
                <w:sz w:val="19"/>
                <w:szCs w:val="19"/>
              </w:rPr>
              <w:t xml:space="preserve"> 多得3分。持证人员以与本公司签订劳动合同并缴纳社</w:t>
            </w:r>
            <w:r>
              <w:rPr>
                <w:spacing w:val="-1"/>
                <w:sz w:val="19"/>
                <w:szCs w:val="19"/>
              </w:rPr>
              <w:t>会保险费为准。</w:t>
            </w:r>
          </w:p>
        </w:tc>
        <w:tc>
          <w:tcPr>
            <w:tcW w:w="11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9" w:type="dxa"/>
            <w:vAlign w:val="top"/>
          </w:tcPr>
          <w:p>
            <w:pPr>
              <w:pStyle w:val="15"/>
              <w:spacing w:before="161" w:line="219" w:lineRule="auto"/>
              <w:ind w:left="140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经营年限(4分)</w:t>
            </w:r>
          </w:p>
        </w:tc>
        <w:tc>
          <w:tcPr>
            <w:tcW w:w="10362" w:type="dxa"/>
            <w:vAlign w:val="top"/>
          </w:tcPr>
          <w:p>
            <w:pPr>
              <w:pStyle w:val="15"/>
              <w:spacing w:before="161" w:line="219" w:lineRule="auto"/>
              <w:ind w:left="15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实际经营劳务派遣业务年限每满3年的，得1分，累计最多不超过4分。</w:t>
            </w:r>
          </w:p>
        </w:tc>
        <w:tc>
          <w:tcPr>
            <w:tcW w:w="11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9" w:type="dxa"/>
            <w:vAlign w:val="top"/>
          </w:tcPr>
          <w:p>
            <w:pPr>
              <w:pStyle w:val="15"/>
              <w:spacing w:before="162" w:line="220" w:lineRule="auto"/>
              <w:ind w:left="140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经营场地(3分)</w:t>
            </w:r>
          </w:p>
        </w:tc>
        <w:tc>
          <w:tcPr>
            <w:tcW w:w="10362" w:type="dxa"/>
            <w:vAlign w:val="top"/>
          </w:tcPr>
          <w:p>
            <w:pPr>
              <w:pStyle w:val="15"/>
              <w:spacing w:before="31" w:line="227" w:lineRule="auto"/>
              <w:ind w:left="151" w:hanging="9"/>
              <w:rPr>
                <w:sz w:val="19"/>
                <w:szCs w:val="19"/>
              </w:rPr>
            </w:pPr>
            <w:r>
              <w:rPr>
                <w:spacing w:val="1"/>
                <w:sz w:val="19"/>
                <w:szCs w:val="19"/>
              </w:rPr>
              <w:t>经营场所为自有商业地产且面积50m²以上不满100m的，得2分，100m²以上的得3分</w:t>
            </w:r>
            <w:r>
              <w:rPr>
                <w:sz w:val="19"/>
                <w:szCs w:val="19"/>
              </w:rPr>
              <w:t xml:space="preserve">；经营场所为租赁商业地产，租赁面积50 </w:t>
            </w:r>
            <w:r>
              <w:rPr>
                <w:spacing w:val="4"/>
                <w:sz w:val="19"/>
                <w:szCs w:val="19"/>
              </w:rPr>
              <w:t>m²以上且租赁期限3年以上的，得1分。</w:t>
            </w:r>
          </w:p>
        </w:tc>
        <w:tc>
          <w:tcPr>
            <w:tcW w:w="11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9" w:type="dxa"/>
            <w:vMerge w:val="restart"/>
            <w:tcBorders>
              <w:bottom w:val="nil"/>
            </w:tcBorders>
            <w:vAlign w:val="top"/>
          </w:tcPr>
          <w:p>
            <w:pPr>
              <w:pStyle w:val="15"/>
              <w:spacing w:before="171" w:line="219" w:lineRule="auto"/>
              <w:ind w:left="140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注册资本(3分)</w:t>
            </w:r>
          </w:p>
        </w:tc>
        <w:tc>
          <w:tcPr>
            <w:tcW w:w="10362" w:type="dxa"/>
            <w:vMerge w:val="restart"/>
            <w:tcBorders>
              <w:bottom w:val="nil"/>
            </w:tcBorders>
            <w:vAlign w:val="top"/>
          </w:tcPr>
          <w:p>
            <w:pPr>
              <w:pStyle w:val="15"/>
              <w:spacing w:before="171" w:line="219" w:lineRule="auto"/>
              <w:ind w:left="15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实缴资本300万元以上不满500万元的，得1分；500万元以上不满1000万元的，得2分；1000万元以上的，得3分</w:t>
            </w:r>
          </w:p>
        </w:tc>
        <w:tc>
          <w:tcPr>
            <w:tcW w:w="1114" w:type="dxa"/>
            <w:vAlign w:val="top"/>
          </w:tcPr>
          <w:p>
            <w:pPr>
              <w:spacing w:line="240" w:lineRule="exact"/>
              <w:rPr>
                <w:rFonts w:ascii="Arial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9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36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9" w:type="dxa"/>
            <w:vAlign w:val="top"/>
          </w:tcPr>
          <w:p>
            <w:pPr>
              <w:pStyle w:val="15"/>
              <w:spacing w:before="142" w:line="219" w:lineRule="auto"/>
              <w:ind w:left="230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党组织(2分)</w:t>
            </w:r>
          </w:p>
        </w:tc>
        <w:tc>
          <w:tcPr>
            <w:tcW w:w="10362" w:type="dxa"/>
            <w:vAlign w:val="top"/>
          </w:tcPr>
          <w:p>
            <w:pPr>
              <w:pStyle w:val="15"/>
              <w:spacing w:before="142" w:line="219" w:lineRule="auto"/>
              <w:ind w:left="151"/>
              <w:rPr>
                <w:sz w:val="19"/>
                <w:szCs w:val="19"/>
              </w:rPr>
            </w:pPr>
            <w:r>
              <w:rPr>
                <w:spacing w:val="-1"/>
                <w:sz w:val="19"/>
                <w:szCs w:val="19"/>
              </w:rPr>
              <w:t>设立党的基层组织的，得2分。</w:t>
            </w:r>
          </w:p>
        </w:tc>
        <w:tc>
          <w:tcPr>
            <w:tcW w:w="11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9" w:type="dxa"/>
            <w:vAlign w:val="top"/>
          </w:tcPr>
          <w:p>
            <w:pPr>
              <w:pStyle w:val="15"/>
              <w:spacing w:before="142" w:line="219" w:lineRule="auto"/>
              <w:ind w:left="140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工会组织(2分)</w:t>
            </w:r>
          </w:p>
        </w:tc>
        <w:tc>
          <w:tcPr>
            <w:tcW w:w="10362" w:type="dxa"/>
            <w:vAlign w:val="top"/>
          </w:tcPr>
          <w:p>
            <w:pPr>
              <w:pStyle w:val="15"/>
              <w:spacing w:before="142" w:line="219" w:lineRule="auto"/>
              <w:ind w:left="15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依法建立工会组织的，得1分；每年至少开展工</w:t>
            </w:r>
            <w:r>
              <w:rPr>
                <w:spacing w:val="-1"/>
                <w:sz w:val="19"/>
                <w:szCs w:val="19"/>
              </w:rPr>
              <w:t>会活动2次的，得1分</w:t>
            </w:r>
          </w:p>
        </w:tc>
        <w:tc>
          <w:tcPr>
            <w:tcW w:w="11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9" w:type="dxa"/>
            <w:vAlign w:val="top"/>
          </w:tcPr>
          <w:p>
            <w:pPr>
              <w:pStyle w:val="15"/>
              <w:spacing w:before="162" w:line="219" w:lineRule="auto"/>
              <w:ind w:left="140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规章制度(2分)</w:t>
            </w:r>
          </w:p>
        </w:tc>
        <w:tc>
          <w:tcPr>
            <w:tcW w:w="10362" w:type="dxa"/>
            <w:vAlign w:val="top"/>
          </w:tcPr>
          <w:p>
            <w:pPr>
              <w:pStyle w:val="15"/>
              <w:spacing w:before="162" w:line="218" w:lineRule="auto"/>
              <w:ind w:left="15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有完善的劳务派遣管理制度，管理制度经职工代表大会或者全体职工讨论，并公示或者告知劳动者的，得2</w:t>
            </w:r>
            <w:r>
              <w:rPr>
                <w:spacing w:val="-1"/>
                <w:sz w:val="19"/>
                <w:szCs w:val="19"/>
              </w:rPr>
              <w:t>分。</w:t>
            </w:r>
          </w:p>
        </w:tc>
        <w:tc>
          <w:tcPr>
            <w:tcW w:w="11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9" w:type="dxa"/>
            <w:vAlign w:val="top"/>
          </w:tcPr>
          <w:p>
            <w:pPr>
              <w:pStyle w:val="15"/>
              <w:spacing w:before="164" w:line="219" w:lineRule="auto"/>
              <w:ind w:left="140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信息系统(2分)</w:t>
            </w:r>
          </w:p>
        </w:tc>
        <w:tc>
          <w:tcPr>
            <w:tcW w:w="10362" w:type="dxa"/>
            <w:vAlign w:val="top"/>
          </w:tcPr>
          <w:p>
            <w:pPr>
              <w:pStyle w:val="15"/>
              <w:spacing w:before="164" w:line="219" w:lineRule="auto"/>
              <w:ind w:left="15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有完善的信息管理系统并通过信息管理系统</w:t>
            </w:r>
            <w:r>
              <w:rPr>
                <w:spacing w:val="-1"/>
                <w:sz w:val="19"/>
                <w:szCs w:val="19"/>
              </w:rPr>
              <w:t>进行管理的，得2分</w:t>
            </w:r>
          </w:p>
        </w:tc>
        <w:tc>
          <w:tcPr>
            <w:tcW w:w="11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9" w:type="dxa"/>
            <w:vAlign w:val="top"/>
          </w:tcPr>
          <w:p>
            <w:pPr>
              <w:pStyle w:val="15"/>
              <w:spacing w:before="155" w:line="219" w:lineRule="auto"/>
              <w:ind w:left="140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安全生产(1分)</w:t>
            </w:r>
          </w:p>
        </w:tc>
        <w:tc>
          <w:tcPr>
            <w:tcW w:w="10362" w:type="dxa"/>
            <w:vAlign w:val="top"/>
          </w:tcPr>
          <w:p>
            <w:pPr>
              <w:pStyle w:val="15"/>
              <w:spacing w:before="154" w:line="219" w:lineRule="auto"/>
              <w:ind w:left="15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建立健全安全生产规章制度、操作规程、事故应急预案等并进行演练的，得1</w:t>
            </w:r>
            <w:r>
              <w:rPr>
                <w:spacing w:val="-1"/>
                <w:sz w:val="19"/>
                <w:szCs w:val="19"/>
              </w:rPr>
              <w:t>分。</w:t>
            </w:r>
          </w:p>
        </w:tc>
        <w:tc>
          <w:tcPr>
            <w:tcW w:w="11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9" w:type="dxa"/>
            <w:vAlign w:val="top"/>
          </w:tcPr>
          <w:p>
            <w:pPr>
              <w:pStyle w:val="15"/>
              <w:spacing w:before="167" w:line="220" w:lineRule="auto"/>
              <w:ind w:left="140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职工培训(1分)</w:t>
            </w:r>
          </w:p>
        </w:tc>
        <w:tc>
          <w:tcPr>
            <w:tcW w:w="10362" w:type="dxa"/>
            <w:vAlign w:val="top"/>
          </w:tcPr>
          <w:p>
            <w:pPr>
              <w:pStyle w:val="15"/>
              <w:spacing w:before="166" w:line="219" w:lineRule="auto"/>
              <w:ind w:left="15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建立培训制度，对被派遣劳动者进行上岗知识、安全教育培训的，得1</w:t>
            </w:r>
            <w:r>
              <w:rPr>
                <w:spacing w:val="-1"/>
                <w:sz w:val="19"/>
                <w:szCs w:val="19"/>
              </w:rPr>
              <w:t>分。</w:t>
            </w:r>
          </w:p>
        </w:tc>
        <w:tc>
          <w:tcPr>
            <w:tcW w:w="11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1074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9" w:type="dxa"/>
            <w:vAlign w:val="top"/>
          </w:tcPr>
          <w:p>
            <w:pPr>
              <w:pStyle w:val="15"/>
              <w:spacing w:before="147" w:line="219" w:lineRule="auto"/>
              <w:ind w:left="140"/>
              <w:rPr>
                <w:sz w:val="19"/>
                <w:szCs w:val="19"/>
              </w:rPr>
            </w:pPr>
            <w:r>
              <w:rPr>
                <w:spacing w:val="4"/>
                <w:sz w:val="19"/>
                <w:szCs w:val="19"/>
              </w:rPr>
              <w:t>信息公开(1分)</w:t>
            </w:r>
          </w:p>
        </w:tc>
        <w:tc>
          <w:tcPr>
            <w:tcW w:w="10362" w:type="dxa"/>
            <w:vAlign w:val="top"/>
          </w:tcPr>
          <w:p>
            <w:pPr>
              <w:pStyle w:val="15"/>
              <w:spacing w:before="147" w:line="219" w:lineRule="auto"/>
              <w:jc w:val="right"/>
              <w:rPr>
                <w:sz w:val="19"/>
                <w:szCs w:val="19"/>
              </w:rPr>
            </w:pPr>
            <w:r>
              <w:rPr>
                <w:spacing w:val="-6"/>
                <w:sz w:val="19"/>
                <w:szCs w:val="19"/>
              </w:rPr>
              <w:t>在经营场所显著位置公示劳务派遣经营许可证、营业执照、服务项目、服务收费标准、公示管理制度、服</w:t>
            </w:r>
            <w:r>
              <w:rPr>
                <w:spacing w:val="-7"/>
                <w:sz w:val="19"/>
                <w:szCs w:val="19"/>
              </w:rPr>
              <w:t>务流程等的，得1分。</w:t>
            </w:r>
          </w:p>
        </w:tc>
        <w:tc>
          <w:tcPr>
            <w:tcW w:w="11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1074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39" w:type="dxa"/>
            <w:vAlign w:val="top"/>
          </w:tcPr>
          <w:p>
            <w:pPr>
              <w:pStyle w:val="15"/>
              <w:spacing w:before="128" w:line="220" w:lineRule="auto"/>
              <w:ind w:left="330"/>
              <w:rPr>
                <w:sz w:val="19"/>
                <w:szCs w:val="19"/>
              </w:rPr>
            </w:pPr>
            <w:r>
              <w:rPr>
                <w:spacing w:val="6"/>
                <w:sz w:val="19"/>
                <w:szCs w:val="19"/>
              </w:rPr>
              <w:t>其他(1分)</w:t>
            </w:r>
          </w:p>
        </w:tc>
        <w:tc>
          <w:tcPr>
            <w:tcW w:w="10362" w:type="dxa"/>
            <w:vAlign w:val="top"/>
          </w:tcPr>
          <w:p>
            <w:pPr>
              <w:pStyle w:val="15"/>
              <w:spacing w:before="127" w:line="219" w:lineRule="auto"/>
              <w:ind w:left="151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建立服务质量体系，并通过ISO9000等质量管理体系</w:t>
            </w:r>
            <w:r>
              <w:rPr>
                <w:spacing w:val="-1"/>
                <w:sz w:val="19"/>
                <w:szCs w:val="19"/>
              </w:rPr>
              <w:t>标准认证通过的，得1分</w:t>
            </w:r>
          </w:p>
        </w:tc>
        <w:tc>
          <w:tcPr>
            <w:tcW w:w="111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83" w:lineRule="exact"/>
      </w:pPr>
    </w:p>
    <w:p>
      <w:pPr>
        <w:pStyle w:val="3"/>
      </w:pPr>
    </w:p>
    <w:p>
      <w:pPr>
        <w:sectPr>
          <w:footerReference r:id="rId3" w:type="default"/>
          <w:pgSz w:w="20360" w:h="12570" w:orient="landscape"/>
          <w:pgMar w:top="1440" w:right="1080" w:bottom="1440" w:left="1080" w:header="0" w:footer="0" w:gutter="0"/>
          <w:cols w:space="720" w:num="1"/>
        </w:sectPr>
      </w:pPr>
    </w:p>
    <w:tbl>
      <w:tblPr>
        <w:tblStyle w:val="16"/>
        <w:tblW w:w="1477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91"/>
        <w:gridCol w:w="2119"/>
        <w:gridCol w:w="10362"/>
        <w:gridCol w:w="11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191" w:type="dxa"/>
            <w:vAlign w:val="top"/>
          </w:tcPr>
          <w:p>
            <w:pPr>
              <w:pStyle w:val="15"/>
              <w:spacing w:before="160" w:line="240" w:lineRule="auto"/>
              <w:ind w:left="147"/>
              <w:rPr>
                <w:sz w:val="16"/>
                <w:szCs w:val="16"/>
              </w:rPr>
            </w:pPr>
            <w:r>
              <w:rPr>
                <w:b/>
                <w:bCs/>
                <w:spacing w:val="-5"/>
                <w:sz w:val="16"/>
                <w:szCs w:val="16"/>
              </w:rPr>
              <w:t>一级指标</w:t>
            </w:r>
          </w:p>
        </w:tc>
        <w:tc>
          <w:tcPr>
            <w:tcW w:w="2119" w:type="dxa"/>
            <w:vAlign w:val="top"/>
          </w:tcPr>
          <w:p>
            <w:pPr>
              <w:pStyle w:val="15"/>
              <w:spacing w:before="160" w:line="240" w:lineRule="auto"/>
              <w:ind w:left="383"/>
              <w:rPr>
                <w:sz w:val="16"/>
                <w:szCs w:val="16"/>
              </w:rPr>
            </w:pPr>
            <w:r>
              <w:rPr>
                <w:b/>
                <w:bCs/>
                <w:spacing w:val="-4"/>
                <w:sz w:val="16"/>
                <w:szCs w:val="16"/>
              </w:rPr>
              <w:t>二级指标</w:t>
            </w:r>
          </w:p>
        </w:tc>
        <w:tc>
          <w:tcPr>
            <w:tcW w:w="10362" w:type="dxa"/>
            <w:vAlign w:val="top"/>
          </w:tcPr>
          <w:p>
            <w:pPr>
              <w:pStyle w:val="15"/>
              <w:spacing w:before="158" w:line="240" w:lineRule="auto"/>
              <w:ind w:left="4784"/>
              <w:rPr>
                <w:sz w:val="16"/>
                <w:szCs w:val="16"/>
              </w:rPr>
            </w:pPr>
            <w:r>
              <w:rPr>
                <w:b/>
                <w:bCs/>
                <w:spacing w:val="-4"/>
                <w:sz w:val="16"/>
                <w:szCs w:val="16"/>
              </w:rPr>
              <w:t>评价细则</w:t>
            </w:r>
          </w:p>
        </w:tc>
        <w:tc>
          <w:tcPr>
            <w:tcW w:w="1104" w:type="dxa"/>
            <w:vAlign w:val="top"/>
          </w:tcPr>
          <w:p>
            <w:pPr>
              <w:pStyle w:val="15"/>
              <w:spacing w:before="160" w:line="240" w:lineRule="auto"/>
              <w:ind w:left="162"/>
              <w:rPr>
                <w:sz w:val="16"/>
                <w:szCs w:val="16"/>
              </w:rPr>
            </w:pPr>
            <w:r>
              <w:rPr>
                <w:b/>
                <w:bCs/>
                <w:spacing w:val="-2"/>
                <w:sz w:val="16"/>
                <w:szCs w:val="16"/>
              </w:rPr>
              <w:t>自评得分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191" w:type="dxa"/>
            <w:vMerge w:val="restart"/>
            <w:tcBorders>
              <w:bottom w:val="nil"/>
            </w:tcBorders>
            <w:vAlign w:val="top"/>
          </w:tcPr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  <w:p>
            <w:pPr>
              <w:pStyle w:val="15"/>
              <w:spacing w:before="62" w:line="240" w:lineRule="auto"/>
              <w:ind w:left="234" w:right="156" w:hanging="8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加分指标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8"/>
                <w:sz w:val="16"/>
                <w:szCs w:val="16"/>
              </w:rPr>
              <w:t>(70分)</w:t>
            </w:r>
          </w:p>
        </w:tc>
        <w:tc>
          <w:tcPr>
            <w:tcW w:w="2119" w:type="dxa"/>
            <w:vMerge w:val="restart"/>
            <w:tcBorders>
              <w:bottom w:val="nil"/>
            </w:tcBorders>
            <w:vAlign w:val="top"/>
          </w:tcPr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  <w:p>
            <w:pPr>
              <w:pStyle w:val="15"/>
              <w:spacing w:before="62" w:line="240" w:lineRule="auto"/>
              <w:ind w:left="100"/>
              <w:rPr>
                <w:sz w:val="16"/>
                <w:szCs w:val="16"/>
              </w:rPr>
            </w:pPr>
            <w:r>
              <w:rPr>
                <w:spacing w:val="4"/>
                <w:sz w:val="16"/>
                <w:szCs w:val="16"/>
              </w:rPr>
              <w:t>获得表彰(30分)</w:t>
            </w:r>
          </w:p>
        </w:tc>
        <w:tc>
          <w:tcPr>
            <w:tcW w:w="10362" w:type="dxa"/>
            <w:vAlign w:val="top"/>
          </w:tcPr>
          <w:p>
            <w:pPr>
              <w:pStyle w:val="15"/>
              <w:spacing w:before="27" w:line="240" w:lineRule="auto"/>
              <w:ind w:left="121" w:hanging="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获得党中央、国务院(含中办、国办)表彰的，加30分；其他国家级综合性表彰或认定先进的(人力资源社会保障部单独</w:t>
            </w:r>
            <w:r>
              <w:rPr>
                <w:spacing w:val="-3"/>
                <w:sz w:val="16"/>
                <w:szCs w:val="16"/>
              </w:rPr>
              <w:t>或联合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发文),加20分。</w:t>
            </w:r>
          </w:p>
        </w:tc>
        <w:tc>
          <w:tcPr>
            <w:tcW w:w="1104" w:type="dxa"/>
            <w:vAlign w:val="top"/>
          </w:tcPr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19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</w:tc>
        <w:tc>
          <w:tcPr>
            <w:tcW w:w="21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</w:tc>
        <w:tc>
          <w:tcPr>
            <w:tcW w:w="10362" w:type="dxa"/>
            <w:vAlign w:val="top"/>
          </w:tcPr>
          <w:p>
            <w:pPr>
              <w:pStyle w:val="15"/>
              <w:spacing w:before="25" w:line="240" w:lineRule="auto"/>
              <w:ind w:left="122" w:right="11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获得省委、省政府(含两办)表彰的，加20分；其他省级综合性表彰或认定先进的(省人力资源社会保障厅单独或联</w:t>
            </w:r>
            <w:r>
              <w:rPr>
                <w:sz w:val="16"/>
                <w:szCs w:val="16"/>
              </w:rPr>
              <w:t xml:space="preserve">合发文), </w:t>
            </w:r>
            <w:r>
              <w:rPr>
                <w:spacing w:val="-1"/>
                <w:sz w:val="16"/>
                <w:szCs w:val="16"/>
              </w:rPr>
              <w:t>加10分。</w:t>
            </w:r>
          </w:p>
        </w:tc>
        <w:tc>
          <w:tcPr>
            <w:tcW w:w="1104" w:type="dxa"/>
            <w:vAlign w:val="top"/>
          </w:tcPr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19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</w:tc>
        <w:tc>
          <w:tcPr>
            <w:tcW w:w="211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</w:tc>
        <w:tc>
          <w:tcPr>
            <w:tcW w:w="10362" w:type="dxa"/>
            <w:vAlign w:val="top"/>
          </w:tcPr>
          <w:p>
            <w:pPr>
              <w:pStyle w:val="15"/>
              <w:spacing w:before="18" w:line="240" w:lineRule="auto"/>
              <w:ind w:left="122" w:firstLine="49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获得设区的市委、市政府(含两办)表彰的，加10分；其他市级综合性表彰或认定先进的(设区的市人力资源社会</w:t>
            </w:r>
            <w:r>
              <w:rPr>
                <w:spacing w:val="-4"/>
                <w:sz w:val="16"/>
                <w:szCs w:val="16"/>
              </w:rPr>
              <w:t>保障局单独或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联合发文),加6分。</w:t>
            </w:r>
          </w:p>
        </w:tc>
        <w:tc>
          <w:tcPr>
            <w:tcW w:w="1104" w:type="dxa"/>
            <w:vAlign w:val="top"/>
          </w:tcPr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19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</w:tc>
        <w:tc>
          <w:tcPr>
            <w:tcW w:w="2119" w:type="dxa"/>
            <w:vMerge w:val="continue"/>
            <w:tcBorders>
              <w:top w:val="nil"/>
            </w:tcBorders>
            <w:vAlign w:val="top"/>
          </w:tcPr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</w:tc>
        <w:tc>
          <w:tcPr>
            <w:tcW w:w="10362" w:type="dxa"/>
            <w:vAlign w:val="top"/>
          </w:tcPr>
          <w:p>
            <w:pPr>
              <w:pStyle w:val="15"/>
              <w:spacing w:before="19" w:line="240" w:lineRule="auto"/>
              <w:ind w:left="122" w:right="3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获得县(市、区)委、县(市、区)政府(含两办)表彰的，加6分；其他县级综合性表彰或认定先进</w:t>
            </w:r>
            <w:r>
              <w:rPr>
                <w:spacing w:val="-1"/>
                <w:sz w:val="16"/>
                <w:szCs w:val="16"/>
              </w:rPr>
              <w:t>的[县(市、区)人力资源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社会保障局单独或联合发文],加3分。</w:t>
            </w:r>
          </w:p>
        </w:tc>
        <w:tc>
          <w:tcPr>
            <w:tcW w:w="1104" w:type="dxa"/>
            <w:vAlign w:val="top"/>
          </w:tcPr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  <w:jc w:val="center"/>
        </w:trPr>
        <w:tc>
          <w:tcPr>
            <w:tcW w:w="119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</w:tc>
        <w:tc>
          <w:tcPr>
            <w:tcW w:w="2119" w:type="dxa"/>
            <w:vAlign w:val="top"/>
          </w:tcPr>
          <w:p>
            <w:pPr>
              <w:pStyle w:val="15"/>
              <w:spacing w:before="21" w:line="240" w:lineRule="auto"/>
              <w:ind w:left="191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和谐劳动关系</w:t>
            </w:r>
            <w:r>
              <w:rPr>
                <w:spacing w:val="5"/>
                <w:sz w:val="16"/>
                <w:szCs w:val="16"/>
              </w:rPr>
              <w:t>建设(30分)</w:t>
            </w:r>
          </w:p>
        </w:tc>
        <w:tc>
          <w:tcPr>
            <w:tcW w:w="10362" w:type="dxa"/>
            <w:vAlign w:val="top"/>
          </w:tcPr>
          <w:p>
            <w:pPr>
              <w:pStyle w:val="15"/>
              <w:spacing w:before="171" w:line="240" w:lineRule="auto"/>
              <w:ind w:left="1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被认定为和谐劳动关系企业，国家级的，加30分；省级的，加20分；市级的，加10分；县级的，加5</w:t>
            </w:r>
            <w:r>
              <w:rPr>
                <w:spacing w:val="-1"/>
                <w:sz w:val="16"/>
                <w:szCs w:val="16"/>
              </w:rPr>
              <w:t>分。</w:t>
            </w:r>
          </w:p>
        </w:tc>
        <w:tc>
          <w:tcPr>
            <w:tcW w:w="1104" w:type="dxa"/>
            <w:vAlign w:val="top"/>
          </w:tcPr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19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</w:tc>
        <w:tc>
          <w:tcPr>
            <w:tcW w:w="2119" w:type="dxa"/>
            <w:vAlign w:val="top"/>
          </w:tcPr>
          <w:p>
            <w:pPr>
              <w:pStyle w:val="15"/>
              <w:spacing w:before="161" w:line="240" w:lineRule="auto"/>
              <w:ind w:left="141"/>
              <w:rPr>
                <w:sz w:val="16"/>
                <w:szCs w:val="16"/>
              </w:rPr>
            </w:pPr>
            <w:r>
              <w:rPr>
                <w:spacing w:val="5"/>
                <w:sz w:val="16"/>
                <w:szCs w:val="16"/>
              </w:rPr>
              <w:t>协调机制(2分)</w:t>
            </w:r>
          </w:p>
        </w:tc>
        <w:tc>
          <w:tcPr>
            <w:tcW w:w="10362" w:type="dxa"/>
            <w:vAlign w:val="top"/>
          </w:tcPr>
          <w:p>
            <w:pPr>
              <w:pStyle w:val="15"/>
              <w:spacing w:before="162" w:line="240" w:lineRule="auto"/>
              <w:ind w:left="122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建立劳动争议调解组织的，加2分。</w:t>
            </w:r>
          </w:p>
        </w:tc>
        <w:tc>
          <w:tcPr>
            <w:tcW w:w="1104" w:type="dxa"/>
            <w:vAlign w:val="top"/>
          </w:tcPr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19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</w:tc>
        <w:tc>
          <w:tcPr>
            <w:tcW w:w="2119" w:type="dxa"/>
            <w:vAlign w:val="top"/>
          </w:tcPr>
          <w:p>
            <w:pPr>
              <w:pStyle w:val="15"/>
              <w:spacing w:before="162" w:line="240" w:lineRule="auto"/>
              <w:ind w:left="141"/>
              <w:rPr>
                <w:sz w:val="16"/>
                <w:szCs w:val="16"/>
              </w:rPr>
            </w:pPr>
            <w:r>
              <w:rPr>
                <w:spacing w:val="5"/>
                <w:sz w:val="16"/>
                <w:szCs w:val="16"/>
              </w:rPr>
              <w:t>人才培养(2分)</w:t>
            </w:r>
          </w:p>
        </w:tc>
        <w:tc>
          <w:tcPr>
            <w:tcW w:w="10362" w:type="dxa"/>
            <w:vAlign w:val="top"/>
          </w:tcPr>
          <w:p>
            <w:pPr>
              <w:pStyle w:val="15"/>
              <w:spacing w:before="162" w:line="240" w:lineRule="auto"/>
              <w:jc w:val="both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在评价周期内，培养出持有高级工及以上职业资格(职业技能等级)或中级及以上专业技术资</w:t>
            </w:r>
            <w:r>
              <w:rPr>
                <w:spacing w:val="-3"/>
                <w:sz w:val="16"/>
                <w:szCs w:val="16"/>
              </w:rPr>
              <w:t>格证书的技术技能人才，加2分。</w:t>
            </w:r>
          </w:p>
        </w:tc>
        <w:tc>
          <w:tcPr>
            <w:tcW w:w="1104" w:type="dxa"/>
            <w:vAlign w:val="top"/>
          </w:tcPr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191" w:type="dxa"/>
            <w:vMerge w:val="continue"/>
            <w:tcBorders>
              <w:top w:val="nil"/>
            </w:tcBorders>
            <w:vAlign w:val="top"/>
          </w:tcPr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</w:tc>
        <w:tc>
          <w:tcPr>
            <w:tcW w:w="2119" w:type="dxa"/>
            <w:vAlign w:val="top"/>
          </w:tcPr>
          <w:p>
            <w:pPr>
              <w:pStyle w:val="15"/>
              <w:spacing w:before="33" w:line="240" w:lineRule="auto"/>
              <w:ind w:left="191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保障用工需求</w:t>
            </w:r>
          </w:p>
          <w:p>
            <w:pPr>
              <w:pStyle w:val="15"/>
              <w:spacing w:before="24" w:line="240" w:lineRule="auto"/>
              <w:ind w:left="520"/>
              <w:rPr>
                <w:sz w:val="16"/>
                <w:szCs w:val="16"/>
              </w:rPr>
            </w:pPr>
            <w:r>
              <w:rPr>
                <w:spacing w:val="11"/>
                <w:sz w:val="16"/>
                <w:szCs w:val="16"/>
              </w:rPr>
              <w:t>(6分)</w:t>
            </w:r>
          </w:p>
        </w:tc>
        <w:tc>
          <w:tcPr>
            <w:tcW w:w="10362" w:type="dxa"/>
            <w:vAlign w:val="top"/>
          </w:tcPr>
          <w:p>
            <w:pPr>
              <w:pStyle w:val="15"/>
              <w:spacing w:before="42" w:line="240" w:lineRule="auto"/>
              <w:ind w:left="122" w:firstLine="40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在评价周期内组织输入外省户籍劳动力在苏稳定就业人数、且在本单位连续</w:t>
            </w:r>
            <w:r>
              <w:rPr>
                <w:spacing w:val="-5"/>
                <w:sz w:val="16"/>
                <w:szCs w:val="16"/>
              </w:rPr>
              <w:t>参保缴费3个月以上，200人以上不满500人的，加2</w:t>
            </w:r>
            <w:r>
              <w:rPr>
                <w:sz w:val="16"/>
                <w:szCs w:val="16"/>
              </w:rPr>
              <w:t xml:space="preserve"> 分；500人以上不满1000人的，加4分；1000人以</w:t>
            </w:r>
            <w:r>
              <w:rPr>
                <w:spacing w:val="-1"/>
                <w:sz w:val="16"/>
                <w:szCs w:val="16"/>
              </w:rPr>
              <w:t>上的，加6分。</w:t>
            </w:r>
          </w:p>
        </w:tc>
        <w:tc>
          <w:tcPr>
            <w:tcW w:w="1104" w:type="dxa"/>
            <w:vAlign w:val="top"/>
          </w:tcPr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191" w:type="dxa"/>
            <w:vMerge w:val="restart"/>
            <w:tcBorders>
              <w:bottom w:val="nil"/>
            </w:tcBorders>
            <w:vAlign w:val="top"/>
          </w:tcPr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  <w:p>
            <w:pPr>
              <w:pStyle w:val="15"/>
              <w:spacing w:before="62" w:line="240" w:lineRule="auto"/>
              <w:ind w:left="184" w:right="156" w:hanging="3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减分指标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7"/>
                <w:sz w:val="16"/>
                <w:szCs w:val="16"/>
              </w:rPr>
              <w:t>(160分)</w:t>
            </w:r>
          </w:p>
        </w:tc>
        <w:tc>
          <w:tcPr>
            <w:tcW w:w="2119" w:type="dxa"/>
            <w:vAlign w:val="top"/>
          </w:tcPr>
          <w:p>
            <w:pPr>
              <w:pStyle w:val="15"/>
              <w:spacing w:before="172" w:line="240" w:lineRule="auto"/>
              <w:ind w:left="100"/>
              <w:rPr>
                <w:sz w:val="16"/>
                <w:szCs w:val="16"/>
              </w:rPr>
            </w:pPr>
            <w:r>
              <w:rPr>
                <w:spacing w:val="4"/>
                <w:sz w:val="16"/>
                <w:szCs w:val="16"/>
              </w:rPr>
              <w:t>抽逃资本(10分)</w:t>
            </w:r>
          </w:p>
        </w:tc>
        <w:tc>
          <w:tcPr>
            <w:tcW w:w="10362" w:type="dxa"/>
            <w:vAlign w:val="top"/>
          </w:tcPr>
          <w:p>
            <w:pPr>
              <w:pStyle w:val="15"/>
              <w:spacing w:before="172" w:line="240" w:lineRule="auto"/>
              <w:ind w:left="122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抽逃注册资本的，扣10分</w:t>
            </w:r>
          </w:p>
        </w:tc>
        <w:tc>
          <w:tcPr>
            <w:tcW w:w="1104" w:type="dxa"/>
            <w:vAlign w:val="top"/>
          </w:tcPr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19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</w:tc>
        <w:tc>
          <w:tcPr>
            <w:tcW w:w="2119" w:type="dxa"/>
            <w:vAlign w:val="top"/>
          </w:tcPr>
          <w:p>
            <w:pPr>
              <w:pStyle w:val="15"/>
              <w:spacing w:before="25" w:line="240" w:lineRule="auto"/>
              <w:ind w:right="306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虚报注册</w:t>
            </w:r>
            <w:r>
              <w:rPr>
                <w:spacing w:val="7"/>
                <w:sz w:val="16"/>
                <w:szCs w:val="16"/>
              </w:rPr>
              <w:t>资本(5分)</w:t>
            </w:r>
          </w:p>
        </w:tc>
        <w:tc>
          <w:tcPr>
            <w:tcW w:w="10362" w:type="dxa"/>
            <w:vAlign w:val="top"/>
          </w:tcPr>
          <w:p>
            <w:pPr>
              <w:pStyle w:val="15"/>
              <w:spacing w:before="163" w:line="240" w:lineRule="auto"/>
              <w:ind w:left="1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实缴资本与注册资本不一致的，扣5分。</w:t>
            </w:r>
          </w:p>
        </w:tc>
        <w:tc>
          <w:tcPr>
            <w:tcW w:w="1104" w:type="dxa"/>
            <w:vAlign w:val="top"/>
          </w:tcPr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19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</w:tc>
        <w:tc>
          <w:tcPr>
            <w:tcW w:w="2119" w:type="dxa"/>
            <w:vAlign w:val="top"/>
          </w:tcPr>
          <w:p>
            <w:pPr>
              <w:pStyle w:val="15"/>
              <w:spacing w:before="165" w:line="240" w:lineRule="auto"/>
              <w:ind w:left="100"/>
              <w:rPr>
                <w:sz w:val="16"/>
                <w:szCs w:val="16"/>
              </w:rPr>
            </w:pPr>
            <w:r>
              <w:rPr>
                <w:spacing w:val="4"/>
                <w:sz w:val="16"/>
                <w:szCs w:val="16"/>
              </w:rPr>
              <w:t>虚开发票(10分)</w:t>
            </w:r>
          </w:p>
        </w:tc>
        <w:tc>
          <w:tcPr>
            <w:tcW w:w="10362" w:type="dxa"/>
            <w:vAlign w:val="top"/>
          </w:tcPr>
          <w:p>
            <w:pPr>
              <w:pStyle w:val="15"/>
              <w:spacing w:before="165" w:line="240" w:lineRule="auto"/>
              <w:ind w:left="122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虚开劳务派遣方面发票的，扣10分。</w:t>
            </w:r>
          </w:p>
        </w:tc>
        <w:tc>
          <w:tcPr>
            <w:tcW w:w="1104" w:type="dxa"/>
            <w:vAlign w:val="top"/>
          </w:tcPr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19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</w:tc>
        <w:tc>
          <w:tcPr>
            <w:tcW w:w="2119" w:type="dxa"/>
            <w:vAlign w:val="top"/>
          </w:tcPr>
          <w:p>
            <w:pPr>
              <w:pStyle w:val="15"/>
              <w:spacing w:before="165" w:line="240" w:lineRule="auto"/>
              <w:ind w:left="100"/>
              <w:rPr>
                <w:sz w:val="16"/>
                <w:szCs w:val="16"/>
              </w:rPr>
            </w:pPr>
            <w:r>
              <w:rPr>
                <w:spacing w:val="4"/>
                <w:sz w:val="16"/>
                <w:szCs w:val="16"/>
              </w:rPr>
              <w:t>业务开展(15分)</w:t>
            </w:r>
          </w:p>
        </w:tc>
        <w:tc>
          <w:tcPr>
            <w:tcW w:w="10362" w:type="dxa"/>
            <w:vAlign w:val="top"/>
          </w:tcPr>
          <w:p>
            <w:pPr>
              <w:pStyle w:val="15"/>
              <w:spacing w:before="33" w:line="240" w:lineRule="auto"/>
              <w:ind w:left="122"/>
              <w:rPr>
                <w:sz w:val="16"/>
                <w:szCs w:val="16"/>
              </w:rPr>
            </w:pPr>
            <w:r>
              <w:rPr>
                <w:spacing w:val="-4"/>
                <w:sz w:val="16"/>
                <w:szCs w:val="16"/>
              </w:rPr>
              <w:t>未正常开展劳务派遣业务的不得评为A级，并按照以下标准扣分：评价周期内未正常开展劳务派遣业务的，扣5分；连续两个周</w:t>
            </w:r>
            <w:r>
              <w:rPr>
                <w:spacing w:val="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期内未正常开展劳务派遣业务的，扣10分；连续</w:t>
            </w:r>
            <w:r>
              <w:rPr>
                <w:spacing w:val="-1"/>
                <w:sz w:val="16"/>
                <w:szCs w:val="16"/>
              </w:rPr>
              <w:t>三个周期内未正常开展劳务派遣业务的，扣15分。</w:t>
            </w:r>
          </w:p>
        </w:tc>
        <w:tc>
          <w:tcPr>
            <w:tcW w:w="1104" w:type="dxa"/>
            <w:vAlign w:val="top"/>
          </w:tcPr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19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</w:tc>
        <w:tc>
          <w:tcPr>
            <w:tcW w:w="2119" w:type="dxa"/>
            <w:vAlign w:val="top"/>
          </w:tcPr>
          <w:p>
            <w:pPr>
              <w:pStyle w:val="15"/>
              <w:spacing w:before="166" w:line="240" w:lineRule="auto"/>
              <w:ind w:left="100"/>
              <w:rPr>
                <w:sz w:val="16"/>
                <w:szCs w:val="16"/>
              </w:rPr>
            </w:pPr>
            <w:r>
              <w:rPr>
                <w:spacing w:val="4"/>
                <w:sz w:val="16"/>
                <w:szCs w:val="16"/>
              </w:rPr>
              <w:t>社保稽核(10分)</w:t>
            </w:r>
          </w:p>
        </w:tc>
        <w:tc>
          <w:tcPr>
            <w:tcW w:w="10362" w:type="dxa"/>
            <w:vAlign w:val="top"/>
          </w:tcPr>
          <w:p>
            <w:pPr>
              <w:pStyle w:val="15"/>
              <w:spacing w:before="165" w:line="240" w:lineRule="auto"/>
              <w:ind w:left="1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社会保险稽核中发现存在违法行为的，每次扣5分，最多扣10分。</w:t>
            </w:r>
          </w:p>
        </w:tc>
        <w:tc>
          <w:tcPr>
            <w:tcW w:w="1104" w:type="dxa"/>
            <w:vAlign w:val="top"/>
          </w:tcPr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3" w:hRule="atLeast"/>
          <w:jc w:val="center"/>
        </w:trPr>
        <w:tc>
          <w:tcPr>
            <w:tcW w:w="119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</w:tc>
        <w:tc>
          <w:tcPr>
            <w:tcW w:w="2119" w:type="dxa"/>
            <w:vAlign w:val="top"/>
          </w:tcPr>
          <w:p>
            <w:pPr>
              <w:pStyle w:val="15"/>
              <w:spacing w:before="57" w:line="240" w:lineRule="auto"/>
              <w:ind w:right="256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>劳动保障</w:t>
            </w:r>
            <w:r>
              <w:rPr>
                <w:spacing w:val="5"/>
                <w:sz w:val="16"/>
                <w:szCs w:val="16"/>
              </w:rPr>
              <w:t>监察(20分)</w:t>
            </w:r>
          </w:p>
        </w:tc>
        <w:tc>
          <w:tcPr>
            <w:tcW w:w="10362" w:type="dxa"/>
            <w:vAlign w:val="top"/>
          </w:tcPr>
          <w:p>
            <w:pPr>
              <w:pStyle w:val="15"/>
              <w:spacing w:before="166" w:line="240" w:lineRule="auto"/>
              <w:ind w:left="1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因劳动保障违法行为被依法行政处理处罚的，每次扣10分，最</w:t>
            </w:r>
            <w:r>
              <w:rPr>
                <w:spacing w:val="-1"/>
                <w:sz w:val="16"/>
                <w:szCs w:val="16"/>
              </w:rPr>
              <w:t>多扣20分。</w:t>
            </w:r>
          </w:p>
        </w:tc>
        <w:tc>
          <w:tcPr>
            <w:tcW w:w="1104" w:type="dxa"/>
            <w:vAlign w:val="top"/>
          </w:tcPr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191" w:type="dxa"/>
            <w:vMerge w:val="continue"/>
            <w:tcBorders>
              <w:top w:val="nil"/>
            </w:tcBorders>
            <w:vAlign w:val="top"/>
          </w:tcPr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</w:tc>
        <w:tc>
          <w:tcPr>
            <w:tcW w:w="2119" w:type="dxa"/>
            <w:vAlign w:val="top"/>
          </w:tcPr>
          <w:p>
            <w:pPr>
              <w:pStyle w:val="15"/>
              <w:spacing w:before="28" w:line="240" w:lineRule="auto"/>
              <w:ind w:left="240" w:right="115" w:hanging="14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注册地与经营地</w:t>
            </w:r>
            <w:r>
              <w:rPr>
                <w:spacing w:val="5"/>
                <w:sz w:val="16"/>
                <w:szCs w:val="16"/>
              </w:rPr>
              <w:t xml:space="preserve"> 不一致(5分)</w:t>
            </w:r>
          </w:p>
        </w:tc>
        <w:tc>
          <w:tcPr>
            <w:tcW w:w="10362" w:type="dxa"/>
            <w:vAlign w:val="top"/>
          </w:tcPr>
          <w:p>
            <w:pPr>
              <w:pStyle w:val="15"/>
              <w:spacing w:before="168" w:line="240" w:lineRule="auto"/>
              <w:ind w:left="12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注册地和实际经营地不一致的，扣5分。</w:t>
            </w:r>
          </w:p>
        </w:tc>
        <w:tc>
          <w:tcPr>
            <w:tcW w:w="1104" w:type="dxa"/>
            <w:vAlign w:val="top"/>
          </w:tcPr>
          <w:p>
            <w:pPr>
              <w:spacing w:line="240" w:lineRule="auto"/>
              <w:rPr>
                <w:rFonts w:ascii="Arial"/>
                <w:sz w:val="18"/>
                <w:szCs w:val="20"/>
              </w:rPr>
            </w:pPr>
          </w:p>
        </w:tc>
      </w:tr>
    </w:tbl>
    <w:p>
      <w:pPr>
        <w:rPr>
          <w:rFonts w:hint="eastAsia" w:ascii="仿宋" w:hAnsi="仿宋" w:eastAsia="仿宋" w:cs="仿宋"/>
          <w:i w:val="0"/>
          <w:iCs w:val="0"/>
          <w:caps w:val="0"/>
          <w:color w:val="0C0C0C"/>
          <w:spacing w:val="8"/>
          <w:sz w:val="30"/>
          <w:szCs w:val="30"/>
          <w:shd w:val="clear" w:fill="FFFFFF"/>
        </w:rPr>
        <w:sectPr>
          <w:pgSz w:w="16838" w:h="11906" w:orient="landscape"/>
          <w:pgMar w:top="1440" w:right="1080" w:bottom="1440" w:left="1080" w:header="851" w:footer="992" w:gutter="0"/>
          <w:cols w:space="425" w:num="1"/>
          <w:docGrid w:type="lines" w:linePitch="312" w:charSpace="0"/>
        </w:sectPr>
      </w:pPr>
    </w:p>
    <w:tbl>
      <w:tblPr>
        <w:tblStyle w:val="16"/>
        <w:tblW w:w="1527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9"/>
        <w:gridCol w:w="2046"/>
        <w:gridCol w:w="9668"/>
        <w:gridCol w:w="225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309" w:type="dxa"/>
            <w:vAlign w:val="top"/>
          </w:tcPr>
          <w:p>
            <w:pPr>
              <w:pStyle w:val="15"/>
              <w:spacing w:before="160" w:line="240" w:lineRule="auto"/>
              <w:ind w:left="167"/>
              <w:rPr>
                <w:sz w:val="16"/>
                <w:szCs w:val="16"/>
              </w:rPr>
            </w:pPr>
            <w:r>
              <w:rPr>
                <w:b/>
                <w:bCs/>
                <w:spacing w:val="-5"/>
                <w:sz w:val="16"/>
                <w:szCs w:val="16"/>
              </w:rPr>
              <w:t>一级指标</w:t>
            </w:r>
          </w:p>
        </w:tc>
        <w:tc>
          <w:tcPr>
            <w:tcW w:w="2046" w:type="dxa"/>
            <w:vAlign w:val="top"/>
          </w:tcPr>
          <w:p>
            <w:pPr>
              <w:pStyle w:val="15"/>
              <w:spacing w:before="160" w:line="240" w:lineRule="auto"/>
              <w:ind w:left="393"/>
              <w:rPr>
                <w:sz w:val="16"/>
                <w:szCs w:val="16"/>
              </w:rPr>
            </w:pPr>
            <w:r>
              <w:rPr>
                <w:b/>
                <w:bCs/>
                <w:spacing w:val="-4"/>
                <w:sz w:val="16"/>
                <w:szCs w:val="16"/>
              </w:rPr>
              <w:t>二级指标</w:t>
            </w:r>
          </w:p>
        </w:tc>
        <w:tc>
          <w:tcPr>
            <w:tcW w:w="9668" w:type="dxa"/>
            <w:vAlign w:val="top"/>
          </w:tcPr>
          <w:p>
            <w:pPr>
              <w:pStyle w:val="15"/>
              <w:spacing w:before="158" w:line="240" w:lineRule="auto"/>
              <w:ind w:left="4794"/>
              <w:rPr>
                <w:sz w:val="16"/>
                <w:szCs w:val="16"/>
              </w:rPr>
            </w:pPr>
            <w:r>
              <w:rPr>
                <w:b/>
                <w:bCs/>
                <w:spacing w:val="-4"/>
                <w:sz w:val="16"/>
                <w:szCs w:val="16"/>
              </w:rPr>
              <w:t>评价细则</w:t>
            </w:r>
          </w:p>
        </w:tc>
        <w:tc>
          <w:tcPr>
            <w:tcW w:w="2252" w:type="dxa"/>
            <w:vAlign w:val="top"/>
          </w:tcPr>
          <w:p>
            <w:pPr>
              <w:pStyle w:val="15"/>
              <w:spacing w:before="159" w:line="240" w:lineRule="auto"/>
              <w:ind w:left="181"/>
              <w:rPr>
                <w:sz w:val="16"/>
                <w:szCs w:val="16"/>
              </w:rPr>
            </w:pPr>
            <w:r>
              <w:rPr>
                <w:b/>
                <w:bCs/>
                <w:spacing w:val="-2"/>
                <w:sz w:val="16"/>
                <w:szCs w:val="16"/>
              </w:rPr>
              <w:t>自评得分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309" w:type="dxa"/>
            <w:vMerge w:val="restart"/>
            <w:tcBorders>
              <w:bottom w:val="nil"/>
            </w:tcBorders>
            <w:vAlign w:val="top"/>
          </w:tcPr>
          <w:p>
            <w:pPr>
              <w:spacing w:line="240" w:lineRule="auto"/>
              <w:rPr>
                <w:rFonts w:ascii="Arial"/>
                <w:sz w:val="20"/>
                <w:szCs w:val="21"/>
              </w:rPr>
            </w:pPr>
          </w:p>
          <w:p>
            <w:pPr>
              <w:spacing w:line="240" w:lineRule="auto"/>
              <w:rPr>
                <w:rFonts w:ascii="Arial"/>
                <w:sz w:val="20"/>
                <w:szCs w:val="21"/>
              </w:rPr>
            </w:pPr>
          </w:p>
          <w:p>
            <w:pPr>
              <w:spacing w:line="240" w:lineRule="auto"/>
              <w:rPr>
                <w:rFonts w:ascii="Arial"/>
                <w:sz w:val="20"/>
                <w:szCs w:val="21"/>
              </w:rPr>
            </w:pPr>
          </w:p>
          <w:p>
            <w:pPr>
              <w:pStyle w:val="15"/>
              <w:spacing w:before="59" w:line="240" w:lineRule="auto"/>
              <w:ind w:left="214" w:right="179" w:hanging="4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减分指标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pacing w:val="6"/>
                <w:sz w:val="16"/>
                <w:szCs w:val="16"/>
              </w:rPr>
              <w:t>(160分)</w:t>
            </w:r>
          </w:p>
        </w:tc>
        <w:tc>
          <w:tcPr>
            <w:tcW w:w="2046" w:type="dxa"/>
            <w:vAlign w:val="top"/>
          </w:tcPr>
          <w:p>
            <w:pPr>
              <w:pStyle w:val="15"/>
              <w:spacing w:before="37" w:line="240" w:lineRule="auto"/>
              <w:ind w:right="268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劳动争议</w:t>
            </w:r>
            <w:r>
              <w:rPr>
                <w:spacing w:val="5"/>
                <w:sz w:val="16"/>
                <w:szCs w:val="16"/>
              </w:rPr>
              <w:t>仲裁(20分)</w:t>
            </w:r>
          </w:p>
        </w:tc>
        <w:tc>
          <w:tcPr>
            <w:tcW w:w="9668" w:type="dxa"/>
            <w:vAlign w:val="top"/>
          </w:tcPr>
          <w:p>
            <w:pPr>
              <w:pStyle w:val="15"/>
              <w:spacing w:before="17" w:line="240" w:lineRule="auto"/>
              <w:ind w:left="152" w:right="4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发生集体劳动争议案件且败诉(含部分败诉)的，每件扣10分，发生非集体劳动争议案件且败诉(含部分败诉)的，每件扣5分， </w:t>
            </w:r>
            <w:r>
              <w:rPr>
                <w:spacing w:val="-2"/>
                <w:sz w:val="16"/>
                <w:szCs w:val="16"/>
              </w:rPr>
              <w:t>最多扣20分</w:t>
            </w:r>
          </w:p>
        </w:tc>
        <w:tc>
          <w:tcPr>
            <w:tcW w:w="2252" w:type="dxa"/>
            <w:vAlign w:val="top"/>
          </w:tcPr>
          <w:p>
            <w:pPr>
              <w:spacing w:line="240" w:lineRule="auto"/>
              <w:rPr>
                <w:rFonts w:ascii="Arial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3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spacing w:line="240" w:lineRule="auto"/>
              <w:rPr>
                <w:rFonts w:ascii="Arial"/>
                <w:sz w:val="20"/>
                <w:szCs w:val="21"/>
              </w:rPr>
            </w:pPr>
          </w:p>
        </w:tc>
        <w:tc>
          <w:tcPr>
            <w:tcW w:w="2046" w:type="dxa"/>
            <w:vAlign w:val="top"/>
          </w:tcPr>
          <w:p>
            <w:pPr>
              <w:pStyle w:val="15"/>
              <w:spacing w:before="39" w:line="240" w:lineRule="auto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逾期参加年度</w:t>
            </w:r>
            <w:r>
              <w:rPr>
                <w:spacing w:val="5"/>
                <w:sz w:val="16"/>
                <w:szCs w:val="16"/>
              </w:rPr>
              <w:t>核验(10分)</w:t>
            </w:r>
          </w:p>
        </w:tc>
        <w:tc>
          <w:tcPr>
            <w:tcW w:w="9668" w:type="dxa"/>
            <w:vAlign w:val="top"/>
          </w:tcPr>
          <w:p>
            <w:pPr>
              <w:pStyle w:val="15"/>
              <w:spacing w:before="169" w:line="240" w:lineRule="auto"/>
              <w:ind w:left="1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逾期参加劳务派遣单位年度经营情况核验的，扣10</w:t>
            </w:r>
            <w:r>
              <w:rPr>
                <w:spacing w:val="-1"/>
                <w:sz w:val="16"/>
                <w:szCs w:val="16"/>
              </w:rPr>
              <w:t>分。</w:t>
            </w:r>
          </w:p>
        </w:tc>
        <w:tc>
          <w:tcPr>
            <w:tcW w:w="2252" w:type="dxa"/>
            <w:vAlign w:val="top"/>
          </w:tcPr>
          <w:p>
            <w:pPr>
              <w:spacing w:line="240" w:lineRule="auto"/>
              <w:rPr>
                <w:rFonts w:ascii="Arial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3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spacing w:line="240" w:lineRule="auto"/>
              <w:rPr>
                <w:rFonts w:ascii="Arial"/>
                <w:sz w:val="20"/>
                <w:szCs w:val="21"/>
              </w:rPr>
            </w:pPr>
          </w:p>
        </w:tc>
        <w:tc>
          <w:tcPr>
            <w:tcW w:w="2046" w:type="dxa"/>
            <w:vAlign w:val="top"/>
          </w:tcPr>
          <w:p>
            <w:pPr>
              <w:pStyle w:val="15"/>
              <w:spacing w:before="170" w:line="240" w:lineRule="auto"/>
              <w:ind w:left="121"/>
              <w:rPr>
                <w:sz w:val="16"/>
                <w:szCs w:val="16"/>
              </w:rPr>
            </w:pPr>
            <w:r>
              <w:rPr>
                <w:spacing w:val="4"/>
                <w:sz w:val="16"/>
                <w:szCs w:val="16"/>
              </w:rPr>
              <w:t>警示约谈(10分)</w:t>
            </w:r>
          </w:p>
        </w:tc>
        <w:tc>
          <w:tcPr>
            <w:tcW w:w="9668" w:type="dxa"/>
            <w:vAlign w:val="top"/>
          </w:tcPr>
          <w:p>
            <w:pPr>
              <w:pStyle w:val="15"/>
              <w:spacing w:before="169" w:line="240" w:lineRule="auto"/>
              <w:ind w:left="1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被人力资源和社会保障行政部门警示约谈的，每次扣5分，最多扣10分。</w:t>
            </w:r>
          </w:p>
        </w:tc>
        <w:tc>
          <w:tcPr>
            <w:tcW w:w="2252" w:type="dxa"/>
            <w:vAlign w:val="top"/>
          </w:tcPr>
          <w:p>
            <w:pPr>
              <w:spacing w:line="240" w:lineRule="auto"/>
              <w:rPr>
                <w:rFonts w:ascii="Arial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3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spacing w:line="240" w:lineRule="auto"/>
              <w:rPr>
                <w:rFonts w:ascii="Arial"/>
                <w:sz w:val="20"/>
                <w:szCs w:val="21"/>
              </w:rPr>
            </w:pPr>
          </w:p>
        </w:tc>
        <w:tc>
          <w:tcPr>
            <w:tcW w:w="2046" w:type="dxa"/>
            <w:vAlign w:val="top"/>
          </w:tcPr>
          <w:p>
            <w:pPr>
              <w:pStyle w:val="15"/>
              <w:spacing w:before="42" w:line="240" w:lineRule="auto"/>
              <w:ind w:right="268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个人社保</w:t>
            </w:r>
            <w:r>
              <w:rPr>
                <w:spacing w:val="5"/>
                <w:sz w:val="16"/>
                <w:szCs w:val="16"/>
              </w:rPr>
              <w:t>代理(15分)</w:t>
            </w:r>
          </w:p>
        </w:tc>
        <w:tc>
          <w:tcPr>
            <w:tcW w:w="9668" w:type="dxa"/>
            <w:vAlign w:val="top"/>
          </w:tcPr>
          <w:p>
            <w:pPr>
              <w:pStyle w:val="15"/>
              <w:spacing w:before="20" w:line="240" w:lineRule="auto"/>
              <w:ind w:left="152" w:right="14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通过虚构劳动关系等手段，违法为他人办理参加社会保险手续，缴纳社会保费的，不满10人的，扣5分；10人以上不满100人的， 扣10分；100人以上的，扣15分。</w:t>
            </w:r>
          </w:p>
        </w:tc>
        <w:tc>
          <w:tcPr>
            <w:tcW w:w="2252" w:type="dxa"/>
            <w:vAlign w:val="top"/>
          </w:tcPr>
          <w:p>
            <w:pPr>
              <w:spacing w:line="240" w:lineRule="auto"/>
              <w:rPr>
                <w:rFonts w:ascii="Arial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309" w:type="dxa"/>
            <w:vMerge w:val="continue"/>
            <w:tcBorders>
              <w:top w:val="nil"/>
            </w:tcBorders>
            <w:vAlign w:val="top"/>
          </w:tcPr>
          <w:p>
            <w:pPr>
              <w:spacing w:line="240" w:lineRule="auto"/>
              <w:rPr>
                <w:rFonts w:ascii="Arial"/>
                <w:sz w:val="20"/>
                <w:szCs w:val="21"/>
              </w:rPr>
            </w:pPr>
          </w:p>
        </w:tc>
        <w:tc>
          <w:tcPr>
            <w:tcW w:w="2046" w:type="dxa"/>
            <w:vAlign w:val="top"/>
          </w:tcPr>
          <w:p>
            <w:pPr>
              <w:pStyle w:val="15"/>
              <w:spacing w:before="172" w:line="240" w:lineRule="auto"/>
              <w:ind w:left="121"/>
              <w:rPr>
                <w:sz w:val="16"/>
                <w:szCs w:val="16"/>
              </w:rPr>
            </w:pPr>
            <w:r>
              <w:rPr>
                <w:spacing w:val="4"/>
                <w:sz w:val="16"/>
                <w:szCs w:val="16"/>
              </w:rPr>
              <w:t>违法派遣(30分)</w:t>
            </w:r>
          </w:p>
        </w:tc>
        <w:tc>
          <w:tcPr>
            <w:tcW w:w="9668" w:type="dxa"/>
            <w:vAlign w:val="top"/>
          </w:tcPr>
          <w:p>
            <w:pPr>
              <w:pStyle w:val="15"/>
              <w:spacing w:before="171" w:line="240" w:lineRule="auto"/>
              <w:ind w:left="1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以承揽、外包等名义实施的假外包真派遣，自派遣，派遣非全日制用工，派遣日结工等情形，每有一项扣10分，最多扣30分。</w:t>
            </w:r>
          </w:p>
        </w:tc>
        <w:tc>
          <w:tcPr>
            <w:tcW w:w="2252" w:type="dxa"/>
            <w:vAlign w:val="top"/>
          </w:tcPr>
          <w:p>
            <w:pPr>
              <w:spacing w:line="240" w:lineRule="auto"/>
              <w:rPr>
                <w:rFonts w:ascii="Arial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309" w:type="dxa"/>
            <w:vMerge w:val="restart"/>
            <w:tcBorders>
              <w:bottom w:val="nil"/>
            </w:tcBorders>
            <w:vAlign w:val="top"/>
          </w:tcPr>
          <w:p>
            <w:pPr>
              <w:spacing w:line="240" w:lineRule="auto"/>
              <w:rPr>
                <w:rFonts w:ascii="Arial"/>
                <w:sz w:val="20"/>
                <w:szCs w:val="21"/>
              </w:rPr>
            </w:pPr>
          </w:p>
        </w:tc>
        <w:tc>
          <w:tcPr>
            <w:tcW w:w="2046" w:type="dxa"/>
            <w:vAlign w:val="top"/>
          </w:tcPr>
          <w:p>
            <w:pPr>
              <w:pStyle w:val="15"/>
              <w:spacing w:before="53" w:line="240" w:lineRule="auto"/>
              <w:ind w:left="480"/>
              <w:rPr>
                <w:sz w:val="16"/>
                <w:szCs w:val="16"/>
              </w:rPr>
            </w:pPr>
            <w:r>
              <w:rPr>
                <w:spacing w:val="4"/>
                <w:sz w:val="16"/>
                <w:szCs w:val="16"/>
              </w:rPr>
              <w:t>未参加</w:t>
            </w:r>
            <w:r>
              <w:rPr>
                <w:spacing w:val="-2"/>
                <w:sz w:val="16"/>
                <w:szCs w:val="16"/>
              </w:rPr>
              <w:t>年度核验</w:t>
            </w:r>
          </w:p>
        </w:tc>
        <w:tc>
          <w:tcPr>
            <w:tcW w:w="9668" w:type="dxa"/>
            <w:vAlign w:val="top"/>
          </w:tcPr>
          <w:p>
            <w:pPr>
              <w:pStyle w:val="15"/>
              <w:spacing w:before="162" w:line="240" w:lineRule="auto"/>
              <w:ind w:left="1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不参加劳务派遣单位年度经营情况核验，或提供虚假材料参加劳务派遣单位年度经营情况核验，或年度经营情况核验不合格的</w:t>
            </w:r>
          </w:p>
        </w:tc>
        <w:tc>
          <w:tcPr>
            <w:tcW w:w="2252" w:type="dxa"/>
            <w:vAlign w:val="top"/>
          </w:tcPr>
          <w:p>
            <w:pPr>
              <w:spacing w:line="240" w:lineRule="auto"/>
              <w:rPr>
                <w:rFonts w:ascii="Arial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3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spacing w:line="240" w:lineRule="auto"/>
              <w:rPr>
                <w:rFonts w:ascii="Arial"/>
                <w:sz w:val="20"/>
                <w:szCs w:val="21"/>
              </w:rPr>
            </w:pPr>
          </w:p>
        </w:tc>
        <w:tc>
          <w:tcPr>
            <w:tcW w:w="2046" w:type="dxa"/>
            <w:vAlign w:val="top"/>
          </w:tcPr>
          <w:p>
            <w:pPr>
              <w:pStyle w:val="15"/>
              <w:spacing w:before="54" w:line="240" w:lineRule="auto"/>
              <w:ind w:left="480" w:right="224" w:hanging="269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违法派遣行业</w:t>
            </w:r>
            <w:r>
              <w:rPr>
                <w:spacing w:val="3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或岗位</w:t>
            </w:r>
          </w:p>
        </w:tc>
        <w:tc>
          <w:tcPr>
            <w:tcW w:w="9668" w:type="dxa"/>
            <w:vAlign w:val="top"/>
          </w:tcPr>
          <w:p>
            <w:pPr>
              <w:pStyle w:val="15"/>
              <w:spacing w:before="174" w:line="240" w:lineRule="auto"/>
              <w:ind w:left="1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向专职消防员、煤矿井下、涉密、核心技术等安全生产岗位和煤炭、非煤矿山、化工等行业开展劳务派遣业务的，</w:t>
            </w:r>
          </w:p>
        </w:tc>
        <w:tc>
          <w:tcPr>
            <w:tcW w:w="2252" w:type="dxa"/>
            <w:vAlign w:val="top"/>
          </w:tcPr>
          <w:p>
            <w:pPr>
              <w:spacing w:line="240" w:lineRule="auto"/>
              <w:rPr>
                <w:rFonts w:ascii="Arial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309" w:type="dxa"/>
            <w:vMerge w:val="continue"/>
            <w:tcBorders>
              <w:top w:val="nil"/>
            </w:tcBorders>
            <w:vAlign w:val="top"/>
          </w:tcPr>
          <w:p>
            <w:pPr>
              <w:spacing w:line="240" w:lineRule="auto"/>
              <w:rPr>
                <w:rFonts w:ascii="Arial"/>
                <w:sz w:val="20"/>
                <w:szCs w:val="21"/>
              </w:rPr>
            </w:pPr>
          </w:p>
        </w:tc>
        <w:tc>
          <w:tcPr>
            <w:tcW w:w="2046" w:type="dxa"/>
            <w:vMerge w:val="restart"/>
            <w:tcBorders>
              <w:bottom w:val="nil"/>
            </w:tcBorders>
            <w:vAlign w:val="top"/>
          </w:tcPr>
          <w:p>
            <w:pPr>
              <w:pStyle w:val="15"/>
              <w:spacing w:before="154" w:line="240" w:lineRule="auto"/>
              <w:ind w:left="39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虚假获证</w:t>
            </w:r>
          </w:p>
        </w:tc>
        <w:tc>
          <w:tcPr>
            <w:tcW w:w="9668" w:type="dxa"/>
            <w:vMerge w:val="restart"/>
            <w:tcBorders>
              <w:bottom w:val="nil"/>
            </w:tcBorders>
            <w:vAlign w:val="top"/>
          </w:tcPr>
          <w:p>
            <w:pPr>
              <w:pStyle w:val="15"/>
              <w:spacing w:before="154" w:line="240" w:lineRule="auto"/>
              <w:ind w:left="1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隐瞒真实情况或提供虚假材料取得《劳务派遣经营许可证》</w:t>
            </w:r>
            <w:r>
              <w:rPr>
                <w:spacing w:val="-1"/>
                <w:sz w:val="16"/>
                <w:szCs w:val="16"/>
              </w:rPr>
              <w:t>的。</w:t>
            </w:r>
          </w:p>
        </w:tc>
        <w:tc>
          <w:tcPr>
            <w:tcW w:w="2252" w:type="dxa"/>
            <w:vMerge w:val="restart"/>
            <w:tcBorders>
              <w:bottom w:val="nil"/>
            </w:tcBorders>
            <w:vAlign w:val="top"/>
          </w:tcPr>
          <w:p>
            <w:pPr>
              <w:spacing w:line="240" w:lineRule="auto"/>
              <w:rPr>
                <w:rFonts w:ascii="Arial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309" w:type="dxa"/>
            <w:vMerge w:val="restart"/>
            <w:tcBorders>
              <w:bottom w:val="nil"/>
            </w:tcBorders>
            <w:vAlign w:val="top"/>
          </w:tcPr>
          <w:p>
            <w:pPr>
              <w:spacing w:line="240" w:lineRule="auto"/>
              <w:rPr>
                <w:rFonts w:ascii="Arial"/>
                <w:sz w:val="20"/>
                <w:szCs w:val="21"/>
              </w:rPr>
            </w:pPr>
          </w:p>
          <w:p>
            <w:pPr>
              <w:pStyle w:val="15"/>
              <w:spacing w:before="59" w:line="240" w:lineRule="auto"/>
              <w:ind w:left="305" w:right="167" w:hanging="140"/>
              <w:rPr>
                <w:sz w:val="16"/>
                <w:szCs w:val="16"/>
              </w:rPr>
            </w:pPr>
            <w:r>
              <w:rPr>
                <w:spacing w:val="2"/>
                <w:sz w:val="16"/>
                <w:szCs w:val="16"/>
              </w:rPr>
              <w:t xml:space="preserve">直接认定 </w:t>
            </w:r>
            <w:r>
              <w:rPr>
                <w:spacing w:val="3"/>
                <w:sz w:val="16"/>
                <w:szCs w:val="16"/>
              </w:rPr>
              <w:t>为C级</w:t>
            </w:r>
          </w:p>
        </w:tc>
        <w:tc>
          <w:tcPr>
            <w:tcW w:w="2046" w:type="dxa"/>
            <w:vMerge w:val="continue"/>
            <w:tcBorders>
              <w:top w:val="nil"/>
            </w:tcBorders>
            <w:vAlign w:val="top"/>
          </w:tcPr>
          <w:p>
            <w:pPr>
              <w:spacing w:line="240" w:lineRule="auto"/>
              <w:rPr>
                <w:rFonts w:ascii="Arial"/>
                <w:sz w:val="20"/>
                <w:szCs w:val="21"/>
              </w:rPr>
            </w:pPr>
          </w:p>
        </w:tc>
        <w:tc>
          <w:tcPr>
            <w:tcW w:w="9668" w:type="dxa"/>
            <w:vMerge w:val="continue"/>
            <w:tcBorders>
              <w:top w:val="nil"/>
            </w:tcBorders>
            <w:vAlign w:val="top"/>
          </w:tcPr>
          <w:p>
            <w:pPr>
              <w:spacing w:line="240" w:lineRule="auto"/>
              <w:rPr>
                <w:rFonts w:ascii="Arial"/>
                <w:sz w:val="20"/>
                <w:szCs w:val="21"/>
              </w:rPr>
            </w:pPr>
          </w:p>
        </w:tc>
        <w:tc>
          <w:tcPr>
            <w:tcW w:w="2252" w:type="dxa"/>
            <w:vMerge w:val="continue"/>
            <w:tcBorders>
              <w:top w:val="nil"/>
            </w:tcBorders>
            <w:vAlign w:val="top"/>
          </w:tcPr>
          <w:p>
            <w:pPr>
              <w:spacing w:line="240" w:lineRule="auto"/>
              <w:rPr>
                <w:rFonts w:ascii="Arial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3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spacing w:line="240" w:lineRule="auto"/>
              <w:rPr>
                <w:rFonts w:ascii="Arial"/>
                <w:sz w:val="20"/>
                <w:szCs w:val="21"/>
              </w:rPr>
            </w:pPr>
          </w:p>
        </w:tc>
        <w:tc>
          <w:tcPr>
            <w:tcW w:w="2046" w:type="dxa"/>
            <w:vAlign w:val="top"/>
          </w:tcPr>
          <w:p>
            <w:pPr>
              <w:pStyle w:val="15"/>
              <w:spacing w:before="145" w:line="240" w:lineRule="auto"/>
              <w:ind w:left="39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非法转让</w:t>
            </w:r>
          </w:p>
        </w:tc>
        <w:tc>
          <w:tcPr>
            <w:tcW w:w="9668" w:type="dxa"/>
            <w:vAlign w:val="top"/>
          </w:tcPr>
          <w:p>
            <w:pPr>
              <w:pStyle w:val="15"/>
              <w:spacing w:before="144" w:line="240" w:lineRule="auto"/>
              <w:ind w:left="1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存在涂改、倒卖、出租、出借或者以其他形式非法转让经营劳务派遣业务资质</w:t>
            </w:r>
            <w:r>
              <w:rPr>
                <w:spacing w:val="-1"/>
                <w:sz w:val="16"/>
                <w:szCs w:val="16"/>
              </w:rPr>
              <w:t>的。</w:t>
            </w:r>
          </w:p>
        </w:tc>
        <w:tc>
          <w:tcPr>
            <w:tcW w:w="2252" w:type="dxa"/>
            <w:vAlign w:val="top"/>
          </w:tcPr>
          <w:p>
            <w:pPr>
              <w:spacing w:line="240" w:lineRule="auto"/>
              <w:rPr>
                <w:rFonts w:ascii="Arial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3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spacing w:line="240" w:lineRule="auto"/>
              <w:rPr>
                <w:rFonts w:ascii="Arial"/>
                <w:sz w:val="20"/>
                <w:szCs w:val="21"/>
              </w:rPr>
            </w:pPr>
          </w:p>
        </w:tc>
        <w:tc>
          <w:tcPr>
            <w:tcW w:w="2046" w:type="dxa"/>
            <w:vAlign w:val="top"/>
          </w:tcPr>
          <w:p>
            <w:pPr>
              <w:pStyle w:val="15"/>
              <w:spacing w:before="135" w:line="240" w:lineRule="auto"/>
              <w:ind w:left="390"/>
              <w:rPr>
                <w:sz w:val="16"/>
                <w:szCs w:val="16"/>
              </w:rPr>
            </w:pPr>
            <w:r>
              <w:rPr>
                <w:spacing w:val="5"/>
                <w:sz w:val="16"/>
                <w:szCs w:val="16"/>
              </w:rPr>
              <w:t>不良信用</w:t>
            </w:r>
          </w:p>
        </w:tc>
        <w:tc>
          <w:tcPr>
            <w:tcW w:w="9668" w:type="dxa"/>
            <w:vAlign w:val="top"/>
          </w:tcPr>
          <w:p>
            <w:pPr>
              <w:pStyle w:val="15"/>
              <w:spacing w:before="135" w:line="240" w:lineRule="auto"/>
              <w:ind w:left="1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单位被列为失信执行人等严重失信主体名单的</w:t>
            </w:r>
            <w:r>
              <w:rPr>
                <w:spacing w:val="-1"/>
                <w:sz w:val="16"/>
                <w:szCs w:val="16"/>
              </w:rPr>
              <w:t>。。</w:t>
            </w:r>
          </w:p>
        </w:tc>
        <w:tc>
          <w:tcPr>
            <w:tcW w:w="2252" w:type="dxa"/>
            <w:vAlign w:val="top"/>
          </w:tcPr>
          <w:p>
            <w:pPr>
              <w:spacing w:line="240" w:lineRule="auto"/>
              <w:rPr>
                <w:rFonts w:ascii="Arial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3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spacing w:line="240" w:lineRule="auto"/>
              <w:rPr>
                <w:rFonts w:ascii="Arial"/>
                <w:sz w:val="20"/>
                <w:szCs w:val="21"/>
              </w:rPr>
            </w:pPr>
          </w:p>
        </w:tc>
        <w:tc>
          <w:tcPr>
            <w:tcW w:w="2046" w:type="dxa"/>
            <w:vAlign w:val="top"/>
          </w:tcPr>
          <w:p>
            <w:pPr>
              <w:pStyle w:val="15"/>
              <w:spacing w:before="155" w:line="240" w:lineRule="auto"/>
              <w:ind w:left="390"/>
              <w:rPr>
                <w:sz w:val="16"/>
                <w:szCs w:val="16"/>
              </w:rPr>
            </w:pPr>
            <w:r>
              <w:rPr>
                <w:spacing w:val="-2"/>
                <w:sz w:val="16"/>
                <w:szCs w:val="16"/>
              </w:rPr>
              <w:t>安全事故</w:t>
            </w:r>
          </w:p>
        </w:tc>
        <w:tc>
          <w:tcPr>
            <w:tcW w:w="9668" w:type="dxa"/>
            <w:vAlign w:val="top"/>
          </w:tcPr>
          <w:p>
            <w:pPr>
              <w:pStyle w:val="15"/>
              <w:spacing w:before="155" w:line="240" w:lineRule="auto"/>
              <w:ind w:left="152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发生重大及以上安全生产事故的。</w:t>
            </w:r>
          </w:p>
        </w:tc>
        <w:tc>
          <w:tcPr>
            <w:tcW w:w="2252" w:type="dxa"/>
            <w:vAlign w:val="top"/>
          </w:tcPr>
          <w:p>
            <w:pPr>
              <w:spacing w:line="240" w:lineRule="auto"/>
              <w:rPr>
                <w:rFonts w:ascii="Arial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309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spacing w:line="240" w:lineRule="auto"/>
              <w:rPr>
                <w:rFonts w:ascii="Arial"/>
                <w:sz w:val="20"/>
                <w:szCs w:val="21"/>
              </w:rPr>
            </w:pPr>
          </w:p>
        </w:tc>
        <w:tc>
          <w:tcPr>
            <w:tcW w:w="2046" w:type="dxa"/>
            <w:vAlign w:val="top"/>
          </w:tcPr>
          <w:p>
            <w:pPr>
              <w:pStyle w:val="15"/>
              <w:spacing w:before="64" w:line="240" w:lineRule="auto"/>
              <w:ind w:left="390"/>
              <w:rPr>
                <w:sz w:val="16"/>
                <w:szCs w:val="16"/>
              </w:rPr>
            </w:pPr>
            <w:r>
              <w:rPr>
                <w:spacing w:val="-2"/>
                <w:position w:val="6"/>
                <w:sz w:val="16"/>
                <w:szCs w:val="16"/>
              </w:rPr>
              <w:t>不良社会</w:t>
            </w:r>
            <w:r>
              <w:rPr>
                <w:spacing w:val="7"/>
                <w:sz w:val="16"/>
                <w:szCs w:val="16"/>
              </w:rPr>
              <w:t>影响</w:t>
            </w:r>
          </w:p>
        </w:tc>
        <w:tc>
          <w:tcPr>
            <w:tcW w:w="9668" w:type="dxa"/>
            <w:vAlign w:val="top"/>
          </w:tcPr>
          <w:p>
            <w:pPr>
              <w:pStyle w:val="15"/>
              <w:spacing w:before="174" w:line="240" w:lineRule="auto"/>
              <w:ind w:left="1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发生因单位原因引发的劳动关系领域群体性、突发性等事件，造成不良社会影响</w:t>
            </w:r>
            <w:r>
              <w:rPr>
                <w:spacing w:val="-1"/>
                <w:sz w:val="16"/>
                <w:szCs w:val="16"/>
              </w:rPr>
              <w:t>的。</w:t>
            </w:r>
          </w:p>
        </w:tc>
        <w:tc>
          <w:tcPr>
            <w:tcW w:w="2252" w:type="dxa"/>
            <w:vAlign w:val="top"/>
          </w:tcPr>
          <w:p>
            <w:pPr>
              <w:spacing w:line="240" w:lineRule="auto"/>
              <w:rPr>
                <w:rFonts w:ascii="Arial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309" w:type="dxa"/>
            <w:vMerge w:val="continue"/>
            <w:tcBorders>
              <w:top w:val="nil"/>
            </w:tcBorders>
            <w:vAlign w:val="top"/>
          </w:tcPr>
          <w:p>
            <w:pPr>
              <w:spacing w:line="240" w:lineRule="auto"/>
              <w:rPr>
                <w:rFonts w:ascii="Arial"/>
                <w:sz w:val="20"/>
                <w:szCs w:val="21"/>
              </w:rPr>
            </w:pPr>
          </w:p>
        </w:tc>
        <w:tc>
          <w:tcPr>
            <w:tcW w:w="2046" w:type="dxa"/>
            <w:vAlign w:val="top"/>
          </w:tcPr>
          <w:p>
            <w:pPr>
              <w:pStyle w:val="15"/>
              <w:spacing w:before="55" w:line="240" w:lineRule="auto"/>
              <w:ind w:left="390"/>
              <w:rPr>
                <w:sz w:val="16"/>
                <w:szCs w:val="16"/>
              </w:rPr>
            </w:pPr>
            <w:r>
              <w:rPr>
                <w:spacing w:val="-3"/>
                <w:sz w:val="16"/>
                <w:szCs w:val="16"/>
              </w:rPr>
              <w:t>劳动保障</w:t>
            </w:r>
            <w:r>
              <w:rPr>
                <w:spacing w:val="-2"/>
                <w:sz w:val="16"/>
                <w:szCs w:val="16"/>
              </w:rPr>
              <w:t>违法行为</w:t>
            </w:r>
          </w:p>
        </w:tc>
        <w:tc>
          <w:tcPr>
            <w:tcW w:w="9668" w:type="dxa"/>
            <w:vAlign w:val="top"/>
          </w:tcPr>
          <w:p>
            <w:pPr>
              <w:pStyle w:val="15"/>
              <w:spacing w:before="175" w:line="240" w:lineRule="auto"/>
              <w:ind w:left="152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因劳动保障违法行为被依法行政处理处罚三次以上(含三次)的</w:t>
            </w:r>
          </w:p>
        </w:tc>
        <w:tc>
          <w:tcPr>
            <w:tcW w:w="2252" w:type="dxa"/>
            <w:vAlign w:val="top"/>
          </w:tcPr>
          <w:p>
            <w:pPr>
              <w:spacing w:line="240" w:lineRule="auto"/>
              <w:rPr>
                <w:rFonts w:ascii="Arial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3023" w:type="dxa"/>
            <w:gridSpan w:val="3"/>
            <w:vAlign w:val="top"/>
          </w:tcPr>
          <w:p>
            <w:pPr>
              <w:pStyle w:val="15"/>
              <w:spacing w:before="145" w:line="240" w:lineRule="auto"/>
              <w:ind w:left="6077"/>
              <w:rPr>
                <w:sz w:val="16"/>
                <w:szCs w:val="16"/>
              </w:rPr>
            </w:pPr>
            <w:r>
              <w:rPr>
                <w:b/>
                <w:bCs/>
                <w:spacing w:val="-2"/>
                <w:sz w:val="16"/>
                <w:szCs w:val="16"/>
              </w:rPr>
              <w:t>自评总分</w:t>
            </w:r>
          </w:p>
        </w:tc>
        <w:tc>
          <w:tcPr>
            <w:tcW w:w="2252" w:type="dxa"/>
            <w:vAlign w:val="top"/>
          </w:tcPr>
          <w:p>
            <w:pPr>
              <w:spacing w:line="240" w:lineRule="auto"/>
              <w:rPr>
                <w:rFonts w:ascii="Arial"/>
                <w:sz w:val="20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  <w:jc w:val="center"/>
        </w:trPr>
        <w:tc>
          <w:tcPr>
            <w:tcW w:w="15275" w:type="dxa"/>
            <w:gridSpan w:val="4"/>
            <w:vAlign w:val="top"/>
          </w:tcPr>
          <w:p>
            <w:pPr>
              <w:spacing w:line="240" w:lineRule="auto"/>
              <w:rPr>
                <w:rFonts w:ascii="Arial"/>
                <w:sz w:val="20"/>
                <w:szCs w:val="21"/>
              </w:rPr>
            </w:pPr>
          </w:p>
          <w:p>
            <w:pPr>
              <w:pStyle w:val="15"/>
              <w:spacing w:before="59" w:line="240" w:lineRule="auto"/>
              <w:ind w:left="215"/>
              <w:rPr>
                <w:sz w:val="16"/>
                <w:szCs w:val="16"/>
              </w:rPr>
            </w:pPr>
            <w:r>
              <w:rPr>
                <w:spacing w:val="-1"/>
                <w:sz w:val="16"/>
                <w:szCs w:val="16"/>
              </w:rPr>
              <w:t>承诺：</w:t>
            </w:r>
          </w:p>
          <w:p>
            <w:pPr>
              <w:pStyle w:val="15"/>
              <w:spacing w:before="65" w:line="240" w:lineRule="auto"/>
              <w:ind w:left="215"/>
              <w:rPr>
                <w:sz w:val="16"/>
                <w:szCs w:val="16"/>
              </w:rPr>
            </w:pPr>
            <w:r>
              <w:rPr>
                <w:spacing w:val="1"/>
                <w:sz w:val="16"/>
                <w:szCs w:val="16"/>
              </w:rPr>
              <w:t>请抄写：本公司所填报信息及相关材料均真实有效，如有虚假，愿接受失信联合惩戒。)</w:t>
            </w:r>
          </w:p>
        </w:tc>
      </w:tr>
    </w:tbl>
    <w:p>
      <w:pPr>
        <w:rPr>
          <w:rFonts w:hint="eastAsia" w:ascii="仿宋" w:hAnsi="仿宋" w:eastAsia="仿宋" w:cs="仿宋"/>
          <w:i w:val="0"/>
          <w:iCs w:val="0"/>
          <w:caps w:val="0"/>
          <w:color w:val="0C0C0C"/>
          <w:spacing w:val="8"/>
          <w:sz w:val="30"/>
          <w:szCs w:val="30"/>
          <w:shd w:val="clear" w:fill="FFFFFF"/>
        </w:rPr>
        <w:sectPr>
          <w:pgSz w:w="16838" w:h="11906" w:orient="landscape"/>
          <w:pgMar w:top="1440" w:right="1080" w:bottom="1440" w:left="1080" w:header="851" w:footer="992" w:gutter="0"/>
          <w:cols w:space="425" w:num="1"/>
          <w:docGrid w:type="lines" w:linePitch="312" w:charSpace="0"/>
        </w:sectPr>
      </w:pP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/>
        <w:jc w:val="both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0C0C0C"/>
          <w:spacing w:val="8"/>
          <w:sz w:val="30"/>
          <w:szCs w:val="30"/>
          <w:shd w:val="clear" w:fill="FFFFFF"/>
        </w:rPr>
      </w:pPr>
    </w:p>
    <w:sectPr>
      <w:pgSz w:w="16838" w:h="11906" w:orient="landscape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  <w:rPr>
        <w:rFonts w:ascii="宋体" w:hAnsi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  <w:jc w:val="center"/>
                          </w:pP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instrText xml:space="preserve">PAGE   \* MERGEFORMAT</w:instrTex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  <w:lang w:val="zh-CN"/>
                            </w:rPr>
                            <w:t>23</w:t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tfxeT8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jc w:val="center"/>
                    </w:pP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instrText xml:space="preserve">PAGE   \* MERGEFORMAT</w:instrTex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/>
                        <w:sz w:val="28"/>
                        <w:szCs w:val="28"/>
                        <w:lang w:val="zh-CN"/>
                      </w:rPr>
                      <w:t>23</w:t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M0ZTVjNGUyYmQ4NGYyNzljMmRhYTU4ZDg4YzZmZjEifQ=="/>
    <w:docVar w:name="KSO_WPS_MARK_KEY" w:val="8776c29c-db94-432a-9a9b-8c692c0b4d73"/>
  </w:docVars>
  <w:rsids>
    <w:rsidRoot w:val="00000000"/>
    <w:rsid w:val="00E33B77"/>
    <w:rsid w:val="02D543FF"/>
    <w:rsid w:val="03D32A9F"/>
    <w:rsid w:val="041105A5"/>
    <w:rsid w:val="048960F0"/>
    <w:rsid w:val="072D2467"/>
    <w:rsid w:val="11C04F7D"/>
    <w:rsid w:val="135463C6"/>
    <w:rsid w:val="165B6722"/>
    <w:rsid w:val="167129F8"/>
    <w:rsid w:val="1B101D7B"/>
    <w:rsid w:val="1B1C6D51"/>
    <w:rsid w:val="1B554CC2"/>
    <w:rsid w:val="1F9709CC"/>
    <w:rsid w:val="245254CF"/>
    <w:rsid w:val="2C983D41"/>
    <w:rsid w:val="2D01667A"/>
    <w:rsid w:val="2D2E4EB4"/>
    <w:rsid w:val="2DDA505C"/>
    <w:rsid w:val="2E6F5A0E"/>
    <w:rsid w:val="300B0063"/>
    <w:rsid w:val="3114503F"/>
    <w:rsid w:val="32A232FF"/>
    <w:rsid w:val="37852C08"/>
    <w:rsid w:val="3AF8151B"/>
    <w:rsid w:val="3B9375A4"/>
    <w:rsid w:val="403227F4"/>
    <w:rsid w:val="41B4781F"/>
    <w:rsid w:val="43636E1D"/>
    <w:rsid w:val="47730244"/>
    <w:rsid w:val="47AB5998"/>
    <w:rsid w:val="4BE67FA5"/>
    <w:rsid w:val="4DC94652"/>
    <w:rsid w:val="4F5B70BD"/>
    <w:rsid w:val="5061655F"/>
    <w:rsid w:val="50BD148E"/>
    <w:rsid w:val="52825A68"/>
    <w:rsid w:val="56B155BA"/>
    <w:rsid w:val="5FF22E33"/>
    <w:rsid w:val="61B0640D"/>
    <w:rsid w:val="62D673CA"/>
    <w:rsid w:val="664E51E4"/>
    <w:rsid w:val="68407DF2"/>
    <w:rsid w:val="687D4FFD"/>
    <w:rsid w:val="6A4F42DF"/>
    <w:rsid w:val="6CED24EA"/>
    <w:rsid w:val="6F9E0D2B"/>
    <w:rsid w:val="701A5856"/>
    <w:rsid w:val="76004806"/>
    <w:rsid w:val="78241DBD"/>
    <w:rsid w:val="7A24058C"/>
    <w:rsid w:val="7B4B1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Body Text Indent 2"/>
    <w:basedOn w:val="1"/>
    <w:qFormat/>
    <w:uiPriority w:val="0"/>
    <w:pPr>
      <w:spacing w:line="500" w:lineRule="exact"/>
      <w:ind w:firstLine="600" w:firstLineChars="200"/>
    </w:pPr>
    <w:rPr>
      <w:kern w:val="21"/>
      <w:sz w:val="30"/>
      <w:szCs w:val="24"/>
    </w:rPr>
  </w:style>
  <w:style w:type="paragraph" w:styleId="5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autoRedefine/>
    <w:qFormat/>
    <w:uiPriority w:val="3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autoRedefine/>
    <w:qFormat/>
    <w:uiPriority w:val="0"/>
    <w:rPr>
      <w:b/>
    </w:rPr>
  </w:style>
  <w:style w:type="character" w:styleId="11">
    <w:name w:val="page number"/>
    <w:basedOn w:val="9"/>
    <w:autoRedefine/>
    <w:qFormat/>
    <w:uiPriority w:val="0"/>
  </w:style>
  <w:style w:type="character" w:styleId="12">
    <w:name w:val="Hyperlink"/>
    <w:basedOn w:val="9"/>
    <w:autoRedefine/>
    <w:qFormat/>
    <w:uiPriority w:val="0"/>
    <w:rPr>
      <w:color w:val="0000FF"/>
      <w:u w:val="single"/>
    </w:rPr>
  </w:style>
  <w:style w:type="paragraph" w:styleId="13">
    <w:name w:val="List Paragraph"/>
    <w:basedOn w:val="1"/>
    <w:autoRedefine/>
    <w:qFormat/>
    <w:uiPriority w:val="34"/>
    <w:pPr>
      <w:ind w:firstLine="420" w:firstLineChars="200"/>
    </w:pPr>
  </w:style>
  <w:style w:type="paragraph" w:customStyle="1" w:styleId="1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_GB2312" w:hAnsi="Calibri" w:eastAsia="仿宋_GB2312" w:cs="仿宋_GB2312"/>
      <w:color w:val="000000"/>
      <w:sz w:val="24"/>
      <w:szCs w:val="24"/>
      <w:lang w:val="en-US" w:eastAsia="zh-CN" w:bidi="ar-SA"/>
    </w:rPr>
  </w:style>
  <w:style w:type="paragraph" w:customStyle="1" w:styleId="15">
    <w:name w:val="Table Text"/>
    <w:basedOn w:val="1"/>
    <w:autoRedefine/>
    <w:semiHidden/>
    <w:qFormat/>
    <w:uiPriority w:val="0"/>
    <w:rPr>
      <w:rFonts w:ascii="宋体" w:hAnsi="宋体" w:eastAsia="宋体" w:cs="宋体"/>
      <w:sz w:val="18"/>
      <w:szCs w:val="18"/>
      <w:lang w:val="en-US" w:eastAsia="en-US" w:bidi="ar-SA"/>
    </w:rPr>
  </w:style>
  <w:style w:type="table" w:customStyle="1" w:styleId="1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21</Pages>
  <Words>7227</Words>
  <Characters>7671</Characters>
  <Lines>0</Lines>
  <Paragraphs>0</Paragraphs>
  <TotalTime>1</TotalTime>
  <ScaleCrop>false</ScaleCrop>
  <LinksUpToDate>false</LinksUpToDate>
  <CharactersWithSpaces>7847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2023-02-17T05:58:00Z</dcterms:created>
  <dc:creator>Administrator</dc:creator>
  <cp:lastModifiedBy>一只肥兔</cp:lastModifiedBy>
  <cp:lastPrinted>2024-03-08T02:38:00Z</cp:lastPrinted>
  <dcterms:modified xsi:type="dcterms:W3CDTF">2024-03-11T07:46:52Z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CBDFC61318D549E28F14CC2966B89E0C_13</vt:lpwstr>
  </property>
</Properties>
</file>