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160" w:rightChars="50" w:firstLine="0" w:firstLineChars="0"/>
        <w:jc w:val="distribute"/>
        <w:textAlignment w:val="auto"/>
        <w:rPr>
          <w:rFonts w:hint="eastAsia" w:asciiTheme="majorEastAsia" w:hAnsiTheme="majorEastAsia" w:eastAsiaTheme="majorEastAsia" w:cstheme="majorEastAsia"/>
          <w:b/>
          <w:bCs/>
          <w:color w:val="FF0000"/>
          <w:spacing w:val="-74"/>
          <w:w w:val="50"/>
          <w:sz w:val="110"/>
          <w:szCs w:val="110"/>
          <w:highlight w:val="none"/>
          <w:lang w:val="en-US" w:eastAsia="zh-CN"/>
        </w:rPr>
      </w:pPr>
      <w:r>
        <w:rPr>
          <w:rFonts w:hint="eastAsia" w:asciiTheme="majorEastAsia" w:hAnsiTheme="majorEastAsia" w:eastAsiaTheme="majorEastAsia" w:cstheme="majorEastAsia"/>
          <w:b/>
          <w:bCs/>
          <w:color w:val="FF0000"/>
          <w:spacing w:val="-74"/>
          <w:w w:val="50"/>
          <w:sz w:val="110"/>
          <w:szCs w:val="110"/>
          <w:highlight w:val="none"/>
          <w:lang w:val="en-US" w:eastAsia="zh-CN"/>
        </w:rPr>
        <w:t>太仓市养老服务体系建设领导小组办公室</w:t>
      </w:r>
    </w:p>
    <w:p>
      <w:pPr>
        <w:keepNext w:val="0"/>
        <w:keepLines w:val="0"/>
        <w:pageBreakBefore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18"/>
          <w:szCs w:val="18"/>
          <w:lang w:val="en-US" w:eastAsia="zh-CN"/>
        </w:rPr>
      </w:pPr>
    </w:p>
    <w:p>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太养老组办〔2021〕2号</w:t>
      </w:r>
    </w:p>
    <w:p>
      <w:pPr>
        <w:keepNext w:val="0"/>
        <w:keepLines w:val="0"/>
        <w:pageBreakBefore w:val="0"/>
        <w:widowControl w:val="0"/>
        <w:kinsoku/>
        <w:wordWrap/>
        <w:overflowPunct/>
        <w:topLinePunct w:val="0"/>
        <w:autoSpaceDE/>
        <w:autoSpaceDN/>
        <w:bidi w:val="0"/>
        <w:adjustRightInd/>
        <w:spacing w:line="560" w:lineRule="exact"/>
        <w:jc w:val="center"/>
        <w:textAlignment w:val="auto"/>
        <w:rPr>
          <w:sz w:val="32"/>
          <w:szCs w:val="32"/>
        </w:rPr>
      </w:pPr>
      <w:r>
        <w:rPr>
          <w:sz w:val="32"/>
          <w:szCs w:val="32"/>
        </w:rPr>
        <mc:AlternateContent>
          <mc:Choice Requires="wps">
            <w:drawing>
              <wp:anchor distT="0" distB="0" distL="114300" distR="114300" simplePos="0" relativeHeight="251658240" behindDoc="0" locked="0" layoutInCell="1" allowOverlap="1">
                <wp:simplePos x="0" y="0"/>
                <wp:positionH relativeFrom="column">
                  <wp:posOffset>72390</wp:posOffset>
                </wp:positionH>
                <wp:positionV relativeFrom="paragraph">
                  <wp:posOffset>144780</wp:posOffset>
                </wp:positionV>
                <wp:extent cx="5544185" cy="635"/>
                <wp:effectExtent l="0" t="9525" r="3175" b="12700"/>
                <wp:wrapTopAndBottom/>
                <wp:docPr id="1" name="直接连接符 1"/>
                <wp:cNvGraphicFramePr/>
                <a:graphic xmlns:a="http://schemas.openxmlformats.org/drawingml/2006/main">
                  <a:graphicData uri="http://schemas.microsoft.com/office/word/2010/wordprocessingShape">
                    <wps:wsp>
                      <wps:cNvCnPr/>
                      <wps:spPr>
                        <a:xfrm>
                          <a:off x="0" y="0"/>
                          <a:ext cx="5544185" cy="63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7pt;margin-top:11.4pt;height:0.05pt;width:436.55pt;mso-wrap-distance-bottom:0pt;mso-wrap-distance-top:0pt;z-index:251658240;mso-width-relative:page;mso-height-relative:page;" filled="f" stroked="t" coordsize="21600,21600" o:gfxdata="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4CzOs1wAAAAgBAAAPAAAAAAAAAAEAIAAAACIAAABkcnMvZG93bnJldi54bWxQ&#10;SwECFAAUAAAACACHTuJArWi1r/gBAADnAwAADgAAAAAAAAABACAAAAAmAQAAZHJzL2Uyb0RvYy54&#10;bWxQSwUGAAAAAAYABgBZAQAAkAUAAAAA&#10;">
                <v:fill on="f" focussize="0,0"/>
                <v:stroke weight="1.5pt" color="#FF0000" joinstyle="round"/>
                <v:imagedata o:title=""/>
                <o:lock v:ext="edit" aspectratio="f"/>
                <w10:wrap type="topAndBottom"/>
              </v:line>
            </w:pict>
          </mc:Fallback>
        </mc:AlternateContent>
      </w:r>
      <w:r>
        <w:rPr>
          <w:rFonts w:hint="eastAsia"/>
          <w:sz w:val="32"/>
          <w:szCs w:val="32"/>
          <w:lang w:eastAsia="zh-CN"/>
        </w:rPr>
        <w:t xml:space="preserve"> </w:t>
      </w:r>
    </w:p>
    <w:p>
      <w:pPr>
        <w:keepNext w:val="0"/>
        <w:keepLines w:val="0"/>
        <w:pageBreakBefore w:val="0"/>
        <w:widowControl w:val="0"/>
        <w:kinsoku/>
        <w:wordWrap/>
        <w:overflowPunct/>
        <w:topLinePunct w:val="0"/>
        <w:bidi w:val="0"/>
        <w:adjustRightInd/>
        <w:snapToGrid w:val="0"/>
        <w:spacing w:line="560" w:lineRule="exact"/>
        <w:ind w:left="0" w:leftChars="0" w:firstLine="0" w:firstLineChars="0"/>
        <w:jc w:val="center"/>
        <w:textAlignment w:val="auto"/>
        <w:rPr>
          <w:rFonts w:ascii="Times New Roman" w:hAnsi="Times New Roman" w:eastAsia="方正小标宋简体" w:cs="Times New Roman"/>
          <w:w w:val="90"/>
          <w:sz w:val="44"/>
        </w:rPr>
      </w:pPr>
      <w:r>
        <w:rPr>
          <w:rFonts w:hint="eastAsia" w:ascii="Times New Roman" w:hAnsi="Times New Roman" w:eastAsia="方正小标宋_GBK"/>
          <w:color w:val="000000"/>
          <w:w w:val="90"/>
          <w:sz w:val="44"/>
          <w:szCs w:val="44"/>
        </w:rPr>
        <w:t>关于印发《</w:t>
      </w:r>
      <w:r>
        <w:rPr>
          <w:rFonts w:ascii="Times New Roman" w:hAnsi="Times New Roman" w:eastAsia="方正小标宋_GBK"/>
          <w:color w:val="000000"/>
          <w:w w:val="90"/>
          <w:sz w:val="44"/>
          <w:szCs w:val="44"/>
        </w:rPr>
        <w:t>202</w:t>
      </w:r>
      <w:r>
        <w:rPr>
          <w:rFonts w:hint="eastAsia" w:ascii="Times New Roman" w:hAnsi="Times New Roman" w:eastAsia="方正小标宋_GBK"/>
          <w:color w:val="000000"/>
          <w:w w:val="90"/>
          <w:sz w:val="44"/>
          <w:szCs w:val="44"/>
        </w:rPr>
        <w:t>1年全市养老服务工作要点》</w:t>
      </w:r>
      <w:bookmarkStart w:id="0" w:name="_GoBack"/>
      <w:bookmarkEnd w:id="0"/>
      <w:r>
        <w:rPr>
          <w:rFonts w:hint="eastAsia" w:ascii="Times New Roman" w:hAnsi="Times New Roman" w:eastAsia="方正小标宋_GBK"/>
          <w:color w:val="000000"/>
          <w:w w:val="90"/>
          <w:sz w:val="44"/>
          <w:szCs w:val="44"/>
        </w:rPr>
        <w:t>的通知</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各镇政府，太仓港经济技术开发区、太仓高新区、旅游度假区管委会，科教新城管委会，娄东街道、陆渡街道办事处</w:t>
      </w:r>
      <w:r>
        <w:rPr>
          <w:rFonts w:hint="eastAsia" w:ascii="方正仿宋_GBK" w:hAnsi="方正仿宋_GBK" w:eastAsia="方正仿宋_GBK" w:cs="方正仿宋_GBK"/>
          <w:sz w:val="32"/>
          <w:szCs w:val="32"/>
          <w:lang w:eastAsia="zh-CN"/>
        </w:rPr>
        <w:t>，养老服务体系建设领导小组</w:t>
      </w:r>
      <w:r>
        <w:rPr>
          <w:rFonts w:hint="eastAsia" w:ascii="方正仿宋_GBK" w:hAnsi="方正仿宋_GBK" w:eastAsia="方正仿宋_GBK" w:cs="方正仿宋_GBK"/>
          <w:sz w:val="32"/>
          <w:szCs w:val="32"/>
          <w:lang w:val="en-US" w:eastAsia="zh-CN"/>
        </w:rPr>
        <w:t>各成员单位</w:t>
      </w:r>
      <w:r>
        <w:rPr>
          <w:rFonts w:hint="eastAsia" w:ascii="方正仿宋_GBK" w:hAnsi="方正仿宋_GBK" w:eastAsia="方正仿宋_GBK" w:cs="方正仿宋_GBK"/>
          <w:sz w:val="32"/>
          <w:szCs w:val="32"/>
        </w:rPr>
        <w:t>：</w:t>
      </w:r>
    </w:p>
    <w:p>
      <w:pPr>
        <w:keepNext w:val="0"/>
        <w:keepLines w:val="0"/>
        <w:pageBreakBefore w:val="0"/>
        <w:widowControl w:val="0"/>
        <w:kinsoku/>
        <w:overflowPunct/>
        <w:topLinePunct w:val="0"/>
        <w:bidi w:val="0"/>
        <w:adjustRightInd/>
        <w:spacing w:line="560" w:lineRule="exact"/>
        <w:ind w:firstLine="640" w:firstLineChars="200"/>
        <w:jc w:val="left"/>
        <w:textAlignment w:val="auto"/>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现将《</w:t>
      </w:r>
      <w:r>
        <w:rPr>
          <w:rFonts w:ascii="Times New Roman" w:hAnsi="Times New Roman" w:eastAsia="方正仿宋_GBK"/>
          <w:color w:val="000000"/>
          <w:sz w:val="32"/>
          <w:szCs w:val="32"/>
        </w:rPr>
        <w:t>202</w:t>
      </w:r>
      <w:r>
        <w:rPr>
          <w:rFonts w:hint="eastAsia" w:ascii="Times New Roman" w:hAnsi="Times New Roman" w:eastAsia="方正仿宋_GBK"/>
          <w:color w:val="000000"/>
          <w:sz w:val="32"/>
          <w:szCs w:val="32"/>
        </w:rPr>
        <w:t>1年全市养老服务工作要点》印发给你们，请各地结合实际，抓好贯彻落实。</w:t>
      </w:r>
    </w:p>
    <w:p>
      <w:pPr>
        <w:keepNext w:val="0"/>
        <w:keepLines w:val="0"/>
        <w:pageBreakBefore w:val="0"/>
        <w:widowControl w:val="0"/>
        <w:kinsoku/>
        <w:overflowPunct/>
        <w:topLinePunct w:val="0"/>
        <w:bidi w:val="0"/>
        <w:adjustRightInd/>
        <w:spacing w:line="560" w:lineRule="exact"/>
        <w:ind w:firstLine="640" w:firstLineChars="200"/>
        <w:jc w:val="left"/>
        <w:textAlignment w:val="auto"/>
        <w:rPr>
          <w:rFonts w:ascii="Times New Roman" w:hAnsi="Times New Roman" w:eastAsia="方正仿宋_GBK"/>
          <w:color w:val="000000"/>
          <w:sz w:val="32"/>
          <w:szCs w:val="32"/>
        </w:rPr>
      </w:pPr>
    </w:p>
    <w:p>
      <w:pPr>
        <w:keepNext w:val="0"/>
        <w:keepLines w:val="0"/>
        <w:pageBreakBefore w:val="0"/>
        <w:widowControl w:val="0"/>
        <w:kinsoku/>
        <w:overflowPunct/>
        <w:topLinePunct w:val="0"/>
        <w:bidi w:val="0"/>
        <w:adjustRightInd/>
        <w:spacing w:line="560" w:lineRule="exact"/>
        <w:ind w:firstLine="640" w:firstLineChars="200"/>
        <w:jc w:val="left"/>
        <w:textAlignment w:val="auto"/>
        <w:rPr>
          <w:rFonts w:ascii="Times New Roman" w:hAnsi="Times New Roman" w:eastAsia="方正仿宋_GBK"/>
          <w:color w:val="000000"/>
          <w:sz w:val="32"/>
          <w:szCs w:val="32"/>
        </w:rPr>
      </w:pPr>
    </w:p>
    <w:p>
      <w:pPr>
        <w:pStyle w:val="2"/>
        <w:keepNext w:val="0"/>
        <w:keepLines w:val="0"/>
        <w:pageBreakBefore w:val="0"/>
        <w:widowControl w:val="0"/>
        <w:kinsoku/>
        <w:overflowPunct/>
        <w:topLinePunct w:val="0"/>
        <w:bidi w:val="0"/>
        <w:adjustRightInd/>
        <w:spacing w:line="560" w:lineRule="exact"/>
        <w:ind w:firstLine="640" w:firstLineChars="200"/>
        <w:textAlignment w:val="auto"/>
        <w:rPr>
          <w:rFonts w:ascii="Times New Roman" w:hAnsi="Times New Roman" w:eastAsia="方正仿宋_GBK"/>
          <w:color w:val="000000"/>
          <w:sz w:val="32"/>
          <w:szCs w:val="32"/>
        </w:rPr>
      </w:pPr>
    </w:p>
    <w:p>
      <w:pPr>
        <w:keepNext w:val="0"/>
        <w:keepLines w:val="0"/>
        <w:pageBreakBefore w:val="0"/>
        <w:widowControl w:val="0"/>
        <w:kinsoku/>
        <w:overflowPunct/>
        <w:topLinePunct w:val="0"/>
        <w:bidi w:val="0"/>
        <w:adjustRightInd/>
        <w:spacing w:line="560" w:lineRule="exact"/>
        <w:ind w:firstLine="640" w:firstLineChars="200"/>
        <w:textAlignment w:val="auto"/>
      </w:pPr>
    </w:p>
    <w:p>
      <w:pPr>
        <w:keepNext w:val="0"/>
        <w:keepLines w:val="0"/>
        <w:pageBreakBefore w:val="0"/>
        <w:widowControl w:val="0"/>
        <w:kinsoku/>
        <w:wordWrap w:val="0"/>
        <w:overflowPunct/>
        <w:topLinePunct w:val="0"/>
        <w:bidi w:val="0"/>
        <w:adjustRightInd/>
        <w:spacing w:line="560" w:lineRule="exact"/>
        <w:ind w:left="0" w:leftChars="0" w:firstLine="640" w:firstLineChars="200"/>
        <w:jc w:val="right"/>
        <w:textAlignment w:val="auto"/>
        <w:rPr>
          <w:rFonts w:hint="default" w:ascii="Times New Roman" w:hAnsi="Times New Roman" w:eastAsia="方正仿宋_GBK"/>
          <w:color w:val="000000"/>
          <w:sz w:val="32"/>
          <w:szCs w:val="32"/>
          <w:lang w:val="en-US" w:eastAsia="zh-CN"/>
        </w:rPr>
      </w:pPr>
      <w:r>
        <w:rPr>
          <w:rFonts w:hint="eastAsia" w:ascii="Times New Roman" w:hAnsi="Times New Roman" w:eastAsia="方正仿宋_GBK"/>
          <w:color w:val="000000"/>
          <w:sz w:val="32"/>
          <w:szCs w:val="32"/>
        </w:rPr>
        <w:t>太仓市养老服务体系建设领导小组办公室</w:t>
      </w:r>
      <w:r>
        <w:rPr>
          <w:rFonts w:hint="eastAsia" w:ascii="Times New Roman" w:hAnsi="Times New Roman" w:eastAsia="方正仿宋_GBK"/>
          <w:color w:val="000000"/>
          <w:sz w:val="32"/>
          <w:szCs w:val="32"/>
          <w:lang w:val="en-US" w:eastAsia="zh-CN"/>
        </w:rPr>
        <w:t xml:space="preserve">    </w:t>
      </w:r>
    </w:p>
    <w:p>
      <w:pPr>
        <w:keepNext w:val="0"/>
        <w:keepLines w:val="0"/>
        <w:pageBreakBefore w:val="0"/>
        <w:widowControl w:val="0"/>
        <w:kinsoku/>
        <w:wordWrap w:val="0"/>
        <w:overflowPunct/>
        <w:topLinePunct w:val="0"/>
        <w:bidi w:val="0"/>
        <w:adjustRightInd/>
        <w:spacing w:line="560" w:lineRule="exact"/>
        <w:ind w:left="0" w:leftChars="0" w:firstLine="640" w:firstLineChars="200"/>
        <w:jc w:val="right"/>
        <w:textAlignment w:val="auto"/>
        <w:rPr>
          <w:rFonts w:hint="default" w:ascii="Times New Roman" w:hAnsi="Times New Roman" w:eastAsia="方正仿宋_GBK"/>
          <w:color w:val="000000"/>
          <w:sz w:val="32"/>
          <w:szCs w:val="32"/>
          <w:lang w:val="en-US" w:eastAsia="zh-CN"/>
        </w:rPr>
      </w:pPr>
      <w:r>
        <w:rPr>
          <w:rFonts w:hint="eastAsia" w:ascii="Times New Roman" w:hAnsi="Times New Roman" w:eastAsia="方正仿宋_GBK"/>
          <w:color w:val="000000"/>
          <w:sz w:val="32"/>
          <w:szCs w:val="32"/>
          <w:lang w:val="en-US" w:eastAsia="zh-CN"/>
        </w:rPr>
        <w:t xml:space="preserve">  </w:t>
      </w:r>
      <w:r>
        <w:rPr>
          <w:rFonts w:ascii="Times New Roman" w:hAnsi="Times New Roman" w:eastAsia="方正仿宋_GBK"/>
          <w:color w:val="000000"/>
          <w:sz w:val="32"/>
          <w:szCs w:val="32"/>
        </w:rPr>
        <w:t>202</w:t>
      </w:r>
      <w:r>
        <w:rPr>
          <w:rFonts w:hint="eastAsia" w:ascii="Times New Roman" w:hAnsi="Times New Roman" w:eastAsia="方正仿宋_GBK"/>
          <w:color w:val="000000"/>
          <w:sz w:val="32"/>
          <w:szCs w:val="32"/>
        </w:rPr>
        <w:t>1年3月</w:t>
      </w:r>
      <w:r>
        <w:rPr>
          <w:rFonts w:hint="eastAsia" w:ascii="Times New Roman" w:hAnsi="Times New Roman" w:eastAsia="方正仿宋_GBK"/>
          <w:color w:val="000000"/>
          <w:sz w:val="32"/>
          <w:szCs w:val="32"/>
          <w:lang w:val="en-US" w:eastAsia="zh-CN"/>
        </w:rPr>
        <w:t>12</w:t>
      </w:r>
      <w:r>
        <w:rPr>
          <w:rFonts w:hint="eastAsia" w:ascii="Times New Roman" w:hAnsi="Times New Roman" w:eastAsia="方正仿宋_GBK"/>
          <w:color w:val="000000"/>
          <w:sz w:val="32"/>
          <w:szCs w:val="32"/>
        </w:rPr>
        <w:t>日</w:t>
      </w:r>
      <w:r>
        <w:rPr>
          <w:rFonts w:hint="eastAsia" w:ascii="Times New Roman" w:hAnsi="Times New Roman" w:eastAsia="方正仿宋_GBK"/>
          <w:color w:val="000000"/>
          <w:sz w:val="32"/>
          <w:szCs w:val="32"/>
          <w:lang w:val="en-US" w:eastAsia="zh-CN"/>
        </w:rPr>
        <w:t xml:space="preserve">               </w:t>
      </w:r>
    </w:p>
    <w:p>
      <w:pPr>
        <w:pStyle w:val="2"/>
        <w:keepNext w:val="0"/>
        <w:keepLines w:val="0"/>
        <w:pageBreakBefore w:val="0"/>
        <w:widowControl w:val="0"/>
        <w:kinsoku/>
        <w:topLinePunct w:val="0"/>
        <w:bidi w:val="0"/>
        <w:adjustRightInd/>
        <w:spacing w:line="560" w:lineRule="exact"/>
        <w:ind w:left="0" w:leftChars="0" w:firstLine="0" w:firstLineChars="0"/>
        <w:jc w:val="both"/>
        <w:textAlignment w:val="auto"/>
        <w:rPr>
          <w:rFonts w:ascii="Times New Roman" w:hAnsi="Times New Roman" w:eastAsia="方正仿宋_GBK"/>
          <w:color w:val="000000"/>
          <w:sz w:val="44"/>
          <w:szCs w:val="44"/>
        </w:rPr>
      </w:pPr>
    </w:p>
    <w:p>
      <w:pPr>
        <w:keepNext w:val="0"/>
        <w:keepLines w:val="0"/>
        <w:pageBreakBefore w:val="0"/>
        <w:widowControl w:val="0"/>
        <w:kinsoku/>
        <w:topLinePunct w:val="0"/>
        <w:bidi w:val="0"/>
        <w:adjustRightInd/>
        <w:spacing w:line="560" w:lineRule="exact"/>
        <w:textAlignment w:val="auto"/>
        <w:rPr>
          <w:rFonts w:ascii="Times New Roman" w:hAnsi="Times New Roman" w:eastAsia="方正仿宋_GBK"/>
          <w:color w:val="000000"/>
          <w:sz w:val="44"/>
          <w:szCs w:val="44"/>
        </w:rPr>
      </w:pPr>
    </w:p>
    <w:p>
      <w:pPr>
        <w:pStyle w:val="2"/>
        <w:keepNext w:val="0"/>
        <w:keepLines w:val="0"/>
        <w:pageBreakBefore w:val="0"/>
        <w:widowControl w:val="0"/>
        <w:kinsoku/>
        <w:topLinePunct w:val="0"/>
        <w:bidi w:val="0"/>
        <w:adjustRightInd/>
        <w:spacing w:line="560" w:lineRule="exact"/>
        <w:ind w:left="0" w:leftChars="0" w:firstLine="0" w:firstLineChars="0"/>
        <w:jc w:val="both"/>
        <w:textAlignment w:val="auto"/>
        <w:rPr>
          <w:rFonts w:ascii="Times New Roman" w:hAnsi="Times New Roman" w:eastAsia="方正仿宋_GBK"/>
          <w:color w:val="000000"/>
          <w:sz w:val="44"/>
          <w:szCs w:val="44"/>
        </w:rPr>
      </w:pPr>
      <w:r>
        <w:rPr>
          <w:rFonts w:hint="eastAsia" w:ascii="Times New Roman" w:hAnsi="Times New Roman" w:eastAsia="方正仿宋_GBK" w:cs="Times New Roman"/>
          <w:sz w:val="32"/>
          <w:szCs w:val="32"/>
        </w:rPr>
        <w:t>（信息公开形式：主动公开）</w:t>
      </w:r>
    </w:p>
    <w:p>
      <w:pPr>
        <w:keepNext w:val="0"/>
        <w:keepLines w:val="0"/>
        <w:pageBreakBefore w:val="0"/>
        <w:widowControl w:val="0"/>
        <w:kinsoku/>
        <w:topLinePunct w:val="0"/>
        <w:bidi w:val="0"/>
        <w:adjustRightInd/>
        <w:spacing w:line="560" w:lineRule="exact"/>
        <w:ind w:left="0" w:leftChars="0" w:firstLine="0" w:firstLineChars="0"/>
        <w:textAlignment w:val="auto"/>
      </w:pP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ascii="Times New Roman" w:hAnsi="Times New Roman" w:eastAsia="方正仿宋_GBK" w:cs="Times New Roman"/>
          <w:sz w:val="32"/>
        </w:rPr>
        <w:sectPr>
          <w:footerReference r:id="rId3" w:type="default"/>
          <w:pgSz w:w="11906" w:h="16838"/>
          <w:pgMar w:top="2041" w:right="1474" w:bottom="1928" w:left="1474"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center"/>
        <w:textAlignment w:val="auto"/>
        <w:rPr>
          <w:rFonts w:ascii="Times New Roman" w:hAnsi="Times New Roman" w:eastAsia="方正小标宋简体" w:cs="Times New Roman"/>
          <w:sz w:val="44"/>
        </w:rPr>
      </w:pPr>
      <w:r>
        <w:rPr>
          <w:rFonts w:ascii="Times New Roman" w:hAnsi="Times New Roman" w:eastAsia="方正小标宋简体" w:cs="Times New Roman"/>
          <w:sz w:val="44"/>
        </w:rPr>
        <w:t>2021年全市养老服务工作要点</w:t>
      </w:r>
    </w:p>
    <w:p>
      <w:pPr>
        <w:pStyle w:val="2"/>
        <w:keepNext w:val="0"/>
        <w:keepLines w:val="0"/>
        <w:pageBreakBefore w:val="0"/>
        <w:widowControl w:val="0"/>
        <w:kinsoku/>
        <w:wordWrap/>
        <w:overflowPunct/>
        <w:topLinePunct w:val="0"/>
        <w:bidi w:val="0"/>
        <w:adjustRightInd/>
        <w:spacing w:line="560" w:lineRule="exact"/>
        <w:ind w:firstLine="640" w:firstLineChars="200"/>
        <w:textAlignment w:val="auto"/>
      </w:pP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color w:val="auto"/>
          <w:sz w:val="32"/>
          <w:szCs w:val="32"/>
          <w:highlight w:val="none"/>
        </w:rPr>
      </w:pPr>
      <w:r>
        <w:rPr>
          <w:rFonts w:ascii="Times New Roman" w:hAnsi="Times New Roman" w:eastAsia="方正仿宋_GBK" w:cs="Times New Roman"/>
          <w:sz w:val="32"/>
        </w:rPr>
        <w:t>2021年，全市养老服务工作坚持以习近平新时代中国特色社会主义思想为指导，深入贯彻党的十九大和十九届二中、三中、四中、五中全会以及全国、全</w:t>
      </w:r>
      <w:r>
        <w:rPr>
          <w:rFonts w:hint="eastAsia" w:ascii="Times New Roman" w:hAnsi="Times New Roman" w:eastAsia="方正仿宋_GBK" w:cs="Times New Roman"/>
          <w:sz w:val="32"/>
        </w:rPr>
        <w:t>省</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苏州</w:t>
      </w:r>
      <w:r>
        <w:rPr>
          <w:rFonts w:ascii="Times New Roman" w:hAnsi="Times New Roman" w:eastAsia="方正仿宋_GBK" w:cs="Times New Roman"/>
          <w:sz w:val="32"/>
        </w:rPr>
        <w:t>民政工作会议精神，全面落实市民政工作会议关于养老服务工作的部署要求，立足实</w:t>
      </w:r>
      <w:r>
        <w:rPr>
          <w:rFonts w:hint="eastAsia" w:ascii="Times New Roman" w:hAnsi="Times New Roman" w:eastAsia="方正仿宋_GBK" w:cs="Times New Roman"/>
          <w:sz w:val="32"/>
        </w:rPr>
        <w:t>际</w:t>
      </w:r>
      <w:r>
        <w:rPr>
          <w:rFonts w:ascii="Times New Roman" w:hAnsi="Times New Roman" w:eastAsia="方正仿宋_GBK" w:cs="Times New Roman"/>
          <w:sz w:val="32"/>
        </w:rPr>
        <w:t>积极应对人口老龄化国家战略，着力完善</w:t>
      </w:r>
      <w:r>
        <w:rPr>
          <w:rFonts w:hint="eastAsia" w:ascii="Times New Roman" w:hAnsi="Times New Roman" w:eastAsia="方正仿宋_GBK" w:cs="Times New Roman"/>
          <w:sz w:val="32"/>
          <w:lang w:val="en-US" w:eastAsia="zh-CN"/>
        </w:rPr>
        <w:t>养老服务基础体系、夯实</w:t>
      </w:r>
      <w:r>
        <w:rPr>
          <w:rFonts w:ascii="Times New Roman" w:hAnsi="Times New Roman" w:eastAsia="方正仿宋_GBK" w:cs="Times New Roman"/>
          <w:sz w:val="32"/>
        </w:rPr>
        <w:t>基本养老服务制度、</w:t>
      </w:r>
      <w:r>
        <w:rPr>
          <w:rFonts w:hint="eastAsia" w:ascii="Times New Roman" w:hAnsi="Times New Roman" w:eastAsia="方正仿宋_GBK" w:cs="Times New Roman"/>
          <w:sz w:val="32"/>
          <w:lang w:val="en-US" w:eastAsia="zh-CN"/>
        </w:rPr>
        <w:t>深化</w:t>
      </w:r>
      <w:r>
        <w:rPr>
          <w:rFonts w:ascii="Times New Roman" w:hAnsi="Times New Roman" w:eastAsia="方正仿宋_GBK" w:cs="Times New Roman"/>
          <w:sz w:val="32"/>
        </w:rPr>
        <w:t>养老</w:t>
      </w:r>
      <w:r>
        <w:rPr>
          <w:rFonts w:hint="eastAsia" w:ascii="Times New Roman" w:hAnsi="Times New Roman" w:eastAsia="方正仿宋_GBK" w:cs="Times New Roman"/>
          <w:sz w:val="32"/>
          <w:lang w:val="en-US" w:eastAsia="zh-CN"/>
        </w:rPr>
        <w:t>领域各项</w:t>
      </w:r>
      <w:r>
        <w:rPr>
          <w:rFonts w:ascii="Times New Roman" w:hAnsi="Times New Roman" w:eastAsia="方正仿宋_GBK" w:cs="Times New Roman"/>
          <w:sz w:val="32"/>
        </w:rPr>
        <w:t>改革、</w:t>
      </w:r>
      <w:r>
        <w:rPr>
          <w:rFonts w:hint="eastAsia" w:ascii="Times New Roman" w:hAnsi="Times New Roman" w:eastAsia="方正仿宋_GBK" w:cs="Times New Roman"/>
          <w:sz w:val="32"/>
          <w:lang w:val="en-US" w:eastAsia="zh-CN"/>
        </w:rPr>
        <w:t>加快</w:t>
      </w:r>
      <w:r>
        <w:rPr>
          <w:rFonts w:ascii="Times New Roman" w:hAnsi="Times New Roman" w:eastAsia="方正仿宋_GBK" w:cs="Times New Roman"/>
          <w:sz w:val="32"/>
        </w:rPr>
        <w:t>养老服务事业产业协同发展、</w:t>
      </w:r>
      <w:r>
        <w:rPr>
          <w:rFonts w:hint="eastAsia" w:ascii="Times New Roman" w:hAnsi="Times New Roman" w:eastAsia="方正仿宋_GBK" w:cs="Times New Roman"/>
          <w:sz w:val="32"/>
          <w:lang w:val="en-US" w:eastAsia="zh-CN"/>
        </w:rPr>
        <w:t>筑牢</w:t>
      </w:r>
      <w:r>
        <w:rPr>
          <w:rFonts w:ascii="Times New Roman" w:hAnsi="Times New Roman" w:eastAsia="方正仿宋_GBK" w:cs="Times New Roman"/>
          <w:sz w:val="32"/>
        </w:rPr>
        <w:t>养老服务安全底线</w:t>
      </w:r>
      <w:r>
        <w:rPr>
          <w:rFonts w:hint="eastAsia" w:ascii="Times New Roman" w:eastAsia="方正仿宋_GBK" w:cs="Times New Roman"/>
          <w:sz w:val="32"/>
          <w:lang w:eastAsia="zh-CN"/>
        </w:rPr>
        <w:t>、</w:t>
      </w:r>
      <w:r>
        <w:rPr>
          <w:rFonts w:hint="eastAsia" w:ascii="Times New Roman" w:hAnsi="Times New Roman" w:eastAsia="方正仿宋_GBK" w:cs="Times New Roman"/>
          <w:sz w:val="32"/>
          <w:lang w:val="en-US" w:eastAsia="zh-CN"/>
        </w:rPr>
        <w:t>健全养老服务综合监管</w:t>
      </w:r>
      <w:r>
        <w:rPr>
          <w:rFonts w:ascii="Times New Roman" w:hAnsi="Times New Roman" w:eastAsia="方正仿宋_GBK" w:cs="Times New Roman"/>
          <w:sz w:val="32"/>
        </w:rPr>
        <w:t>，积极构建居家社区机构相协调、医养康养相结合的养老服务体系，为“十四五”时期推动全市养老服务“争</w:t>
      </w:r>
      <w:r>
        <w:rPr>
          <w:rFonts w:hint="eastAsia" w:ascii="Times New Roman" w:hAnsi="Times New Roman" w:eastAsia="方正仿宋_GBK" w:cs="Times New Roman"/>
          <w:sz w:val="32"/>
        </w:rPr>
        <w:t>当</w:t>
      </w:r>
      <w:r>
        <w:rPr>
          <w:rFonts w:ascii="Times New Roman" w:hAnsi="Times New Roman" w:eastAsia="方正仿宋_GBK" w:cs="Times New Roman"/>
          <w:sz w:val="32"/>
        </w:rPr>
        <w:t>表率、争做示范、走在前列”</w:t>
      </w:r>
      <w:r>
        <w:rPr>
          <w:rFonts w:hint="eastAsia" w:ascii="Times New Roman" w:hAnsi="Times New Roman" w:eastAsia="方正仿宋_GBK" w:cs="Times New Roman"/>
          <w:sz w:val="32"/>
        </w:rPr>
        <w:t>、</w:t>
      </w:r>
      <w:r>
        <w:rPr>
          <w:rFonts w:ascii="Times New Roman" w:hAnsi="Times New Roman" w:eastAsia="方正仿宋_GBK" w:cs="Times New Roman"/>
          <w:sz w:val="32"/>
        </w:rPr>
        <w:t>共创广大老年人高品质生活开好局、起好步。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一、抓牢养老服务常态化疫情防控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方正仿宋_GBK" w:cs="Times New Roman"/>
          <w:sz w:val="32"/>
        </w:rPr>
      </w:pPr>
      <w:r>
        <w:rPr>
          <w:rFonts w:hint="eastAsia" w:ascii="方正楷体_GBK" w:hAnsi="方正楷体_GBK" w:eastAsia="方正楷体_GBK" w:cs="方正楷体_GBK"/>
          <w:sz w:val="32"/>
          <w:lang w:val="en-US" w:eastAsia="zh-CN"/>
        </w:rPr>
        <w:t>1.完善养老领域疫情防控工作机制。</w:t>
      </w:r>
      <w:r>
        <w:rPr>
          <w:rFonts w:hint="eastAsia" w:ascii="Times New Roman" w:hAnsi="Times New Roman" w:eastAsia="方正仿宋_GBK" w:cs="Times New Roman"/>
          <w:sz w:val="32"/>
          <w:lang w:val="en-US" w:eastAsia="zh-CN"/>
        </w:rPr>
        <w:t>扎实做好“外防输入、内防反弹”工作，建立健全常态化疫情监测预警、防控督导和应急救援机制，</w:t>
      </w:r>
      <w:r>
        <w:rPr>
          <w:rFonts w:ascii="Times New Roman" w:hAnsi="Times New Roman" w:eastAsia="方正仿宋_GBK" w:cs="Times New Roman"/>
          <w:sz w:val="32"/>
        </w:rPr>
        <w:t>切实织牢织密养老服务疫情防控网络</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各镇（区、街道）</w:t>
      </w:r>
      <w:r>
        <w:rPr>
          <w:rFonts w:hint="eastAsia" w:ascii="Times New Roman" w:eastAsia="方正仿宋_GBK" w:cs="Times New Roman"/>
          <w:sz w:val="32"/>
          <w:lang w:val="en-US" w:eastAsia="zh-CN"/>
        </w:rPr>
        <w:t>要</w:t>
      </w:r>
      <w:r>
        <w:rPr>
          <w:rFonts w:ascii="Times New Roman" w:hAnsi="Times New Roman" w:eastAsia="方正仿宋_GBK" w:cs="Times New Roman"/>
          <w:sz w:val="32"/>
        </w:rPr>
        <w:t>及时将养老服务机构纳入联防联控工作机制和社区网格化管理对象，有效发挥群防群控作用。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color w:val="auto"/>
          <w:sz w:val="32"/>
          <w:szCs w:val="32"/>
          <w:highlight w:val="none"/>
          <w:lang w:val="en-US" w:eastAsia="zh-CN"/>
        </w:rPr>
      </w:pPr>
      <w:r>
        <w:rPr>
          <w:rFonts w:hint="eastAsia" w:ascii="方正楷体_GBK" w:hAnsi="方正楷体_GBK" w:eastAsia="方正楷体_GBK" w:cs="方正楷体_GBK"/>
          <w:sz w:val="32"/>
          <w:lang w:val="en-US" w:eastAsia="zh-CN"/>
        </w:rPr>
        <w:t>2.细化工作举措补齐疫情防控短板。</w:t>
      </w:r>
      <w:r>
        <w:rPr>
          <w:rFonts w:hint="eastAsia" w:ascii="Times New Roman" w:hAnsi="Times New Roman" w:eastAsia="方正仿宋_GBK" w:cs="Times New Roman"/>
          <w:sz w:val="32"/>
          <w:lang w:eastAsia="zh-CN"/>
        </w:rPr>
        <w:t>紧盯养老服务领域疫情防控短板，</w:t>
      </w:r>
      <w:r>
        <w:rPr>
          <w:rFonts w:hint="eastAsia" w:ascii="Times New Roman" w:hAnsi="Times New Roman" w:eastAsia="方正仿宋_GBK" w:cs="Times New Roman"/>
          <w:sz w:val="32"/>
          <w:lang w:val="en-US" w:eastAsia="zh-CN"/>
        </w:rPr>
        <w:t>重点补齐养老机构、日间照料等场所短板环节，各镇（区、街道）要</w:t>
      </w:r>
      <w:r>
        <w:rPr>
          <w:rFonts w:ascii="Times New Roman" w:hAnsi="Times New Roman" w:eastAsia="方正仿宋_GBK" w:cs="Times New Roman"/>
          <w:sz w:val="32"/>
        </w:rPr>
        <w:t>压实“四方责任”，</w:t>
      </w:r>
      <w:r>
        <w:rPr>
          <w:rFonts w:hint="eastAsia" w:ascii="Times New Roman" w:hAnsi="Times New Roman" w:eastAsia="方正仿宋_GBK" w:cs="Times New Roman"/>
          <w:sz w:val="32"/>
          <w:lang w:val="en-US" w:eastAsia="zh-CN"/>
        </w:rPr>
        <w:t>落实“五有措施”，确保各类服务机构疫情防控无死角、无盲区，要将</w:t>
      </w:r>
      <w:r>
        <w:rPr>
          <w:rFonts w:ascii="Times New Roman" w:hAnsi="Times New Roman" w:eastAsia="方正仿宋_GBK" w:cs="Times New Roman"/>
          <w:sz w:val="32"/>
        </w:rPr>
        <w:t>资金补助、日常设备配备、疫情防控物资调配等向养老服务机构倾斜</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积极协调疫苗接种、核酸检测、集中隔离等工作，切实保障广大老年人生命安全</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二、夯实基本养老服务基础体系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3.完善养老服务规划政策。</w:t>
      </w:r>
      <w:r>
        <w:rPr>
          <w:rFonts w:hint="eastAsia" w:ascii="Times New Roman" w:hAnsi="Times New Roman" w:eastAsia="方正仿宋_GBK" w:cs="Times New Roman"/>
          <w:sz w:val="32"/>
          <w:lang w:val="en-US" w:eastAsia="zh-CN"/>
        </w:rPr>
        <w:t>做好国家积极应对人口老龄化重点联系城市创建工作，</w:t>
      </w:r>
      <w:r>
        <w:rPr>
          <w:rFonts w:hint="eastAsia" w:ascii="Times New Roman" w:eastAsia="方正仿宋_GBK" w:cs="Times New Roman"/>
          <w:sz w:val="32"/>
          <w:lang w:val="en-US" w:eastAsia="zh-CN"/>
        </w:rPr>
        <w:t>出台《太仓市申报国家积极应对人口老龄化重点联系城市工作方案》，</w:t>
      </w:r>
      <w:r>
        <w:rPr>
          <w:rFonts w:hint="eastAsia" w:ascii="Times New Roman" w:hAnsi="Times New Roman" w:eastAsia="方正仿宋_GBK" w:cs="Times New Roman"/>
          <w:sz w:val="32"/>
          <w:lang w:val="en-US" w:eastAsia="zh-CN"/>
        </w:rPr>
        <w:t>编制养老服务“十四五”规划，根据国家、省和市要求，制定《</w:t>
      </w:r>
      <w:r>
        <w:rPr>
          <w:rFonts w:hint="eastAsia" w:ascii="Times New Roman" w:eastAsia="方正仿宋_GBK" w:cs="Times New Roman"/>
          <w:sz w:val="32"/>
          <w:lang w:val="en-US" w:eastAsia="zh-CN"/>
        </w:rPr>
        <w:t>太仓</w:t>
      </w:r>
      <w:r>
        <w:rPr>
          <w:rFonts w:hint="eastAsia" w:ascii="Times New Roman" w:hAnsi="Times New Roman" w:eastAsia="方正仿宋_GBK" w:cs="Times New Roman"/>
          <w:sz w:val="32"/>
          <w:lang w:val="en-US" w:eastAsia="zh-CN"/>
        </w:rPr>
        <w:t>市“十四五”养老服务发展规划》</w:t>
      </w:r>
      <w:r>
        <w:rPr>
          <w:rFonts w:hint="eastAsia" w:asci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发挥规划对养老服务发展的引领性、支撑性作用</w:t>
      </w:r>
      <w:r>
        <w:rPr>
          <w:rFonts w:hint="eastAsia" w:asci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出台基本养老服务指导性目录，并实现动态发布。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4.加快养老实事项目建设。</w:t>
      </w:r>
      <w:r>
        <w:rPr>
          <w:rFonts w:hint="eastAsia" w:ascii="Times New Roman" w:hAnsi="Times New Roman" w:eastAsia="方正仿宋_GBK" w:cs="Times New Roman"/>
          <w:sz w:val="32"/>
          <w:lang w:val="en-US" w:eastAsia="zh-CN"/>
        </w:rPr>
        <w:t>完成城厢镇养老机构异地新建、日间照料新建升级、</w:t>
      </w:r>
      <w:r>
        <w:rPr>
          <w:rFonts w:hint="eastAsia" w:ascii="Times New Roman" w:eastAsia="方正仿宋_GBK" w:cs="Times New Roman"/>
          <w:sz w:val="32"/>
          <w:lang w:val="en-US" w:eastAsia="zh-CN"/>
        </w:rPr>
        <w:t>300户</w:t>
      </w:r>
      <w:r>
        <w:rPr>
          <w:rFonts w:hint="eastAsia" w:ascii="Times New Roman" w:hAnsi="Times New Roman" w:eastAsia="方正仿宋_GBK" w:cs="Times New Roman"/>
          <w:sz w:val="32"/>
          <w:lang w:val="en-US" w:eastAsia="zh-CN"/>
        </w:rPr>
        <w:t>老年人家庭适老化改造、</w:t>
      </w:r>
      <w:r>
        <w:rPr>
          <w:rFonts w:hint="eastAsia" w:ascii="Times New Roman" w:eastAsia="方正仿宋_GBK" w:cs="Times New Roman"/>
          <w:sz w:val="32"/>
          <w:lang w:val="en-US" w:eastAsia="zh-CN"/>
        </w:rPr>
        <w:t>150张</w:t>
      </w:r>
      <w:r>
        <w:rPr>
          <w:rFonts w:hint="eastAsia" w:ascii="Times New Roman" w:hAnsi="Times New Roman" w:eastAsia="方正仿宋_GBK" w:cs="Times New Roman"/>
          <w:sz w:val="32"/>
          <w:lang w:val="en-US" w:eastAsia="zh-CN"/>
        </w:rPr>
        <w:t>护理床位改造、</w:t>
      </w:r>
      <w:r>
        <w:rPr>
          <w:rFonts w:hint="eastAsia" w:ascii="Times New Roman" w:eastAsia="方正仿宋_GBK" w:cs="Times New Roman"/>
          <w:sz w:val="32"/>
          <w:lang w:val="en-US" w:eastAsia="zh-CN"/>
        </w:rPr>
        <w:t>全市</w:t>
      </w:r>
      <w:r>
        <w:rPr>
          <w:rFonts w:hint="eastAsia" w:ascii="Times New Roman" w:hAnsi="Times New Roman" w:eastAsia="方正仿宋_GBK" w:cs="Times New Roman"/>
          <w:sz w:val="32"/>
          <w:lang w:val="en-US" w:eastAsia="zh-CN"/>
        </w:rPr>
        <w:t>养老机构明厨亮灶等</w:t>
      </w:r>
      <w:r>
        <w:rPr>
          <w:rFonts w:hint="eastAsia" w:ascii="Times New Roman" w:eastAsia="方正仿宋_GBK" w:cs="Times New Roman"/>
          <w:sz w:val="32"/>
          <w:lang w:val="en-US" w:eastAsia="zh-CN"/>
        </w:rPr>
        <w:t>市政府实事工程</w:t>
      </w:r>
      <w:r>
        <w:rPr>
          <w:rFonts w:hint="eastAsia" w:ascii="Times New Roman" w:hAnsi="Times New Roman" w:eastAsia="方正仿宋_GBK" w:cs="Times New Roman"/>
          <w:sz w:val="32"/>
          <w:lang w:val="en-US" w:eastAsia="zh-CN"/>
        </w:rPr>
        <w:t>项目，</w:t>
      </w:r>
      <w:r>
        <w:rPr>
          <w:rFonts w:hint="eastAsia" w:ascii="Times New Roman" w:eastAsia="方正仿宋_GBK" w:cs="Times New Roman"/>
          <w:sz w:val="32"/>
          <w:lang w:val="en-US" w:eastAsia="zh-CN"/>
        </w:rPr>
        <w:t>加快三级</w:t>
      </w:r>
      <w:r>
        <w:rPr>
          <w:rFonts w:hint="eastAsia" w:ascii="Times New Roman" w:hAnsi="Times New Roman" w:eastAsia="方正仿宋_GBK" w:cs="Times New Roman"/>
          <w:sz w:val="32"/>
          <w:lang w:val="en-US" w:eastAsia="zh-CN"/>
        </w:rPr>
        <w:t>老年</w:t>
      </w:r>
      <w:r>
        <w:rPr>
          <w:rFonts w:hint="eastAsia" w:ascii="Times New Roman" w:eastAsia="方正仿宋_GBK" w:cs="Times New Roman"/>
          <w:sz w:val="32"/>
          <w:lang w:val="en-US" w:eastAsia="zh-CN"/>
        </w:rPr>
        <w:t>学校建设</w:t>
      </w:r>
      <w:r>
        <w:rPr>
          <w:rFonts w:hint="eastAsia" w:ascii="Times New Roman" w:hAnsi="Times New Roman" w:eastAsia="方正仿宋_GBK" w:cs="Times New Roman"/>
          <w:sz w:val="32"/>
          <w:lang w:val="en-US" w:eastAsia="zh-CN"/>
        </w:rPr>
        <w:t>，</w:t>
      </w:r>
      <w:r>
        <w:rPr>
          <w:rFonts w:hint="eastAsia" w:ascii="Times New Roman" w:eastAsia="方正仿宋_GBK" w:cs="Times New Roman"/>
          <w:sz w:val="32"/>
          <w:lang w:val="en-US" w:eastAsia="zh-CN"/>
        </w:rPr>
        <w:t>推动</w:t>
      </w:r>
      <w:r>
        <w:rPr>
          <w:rFonts w:hint="eastAsia" w:ascii="Times New Roman" w:hAnsi="Times New Roman" w:eastAsia="方正仿宋_GBK" w:cs="Times New Roman"/>
          <w:sz w:val="32"/>
          <w:lang w:val="en-US" w:eastAsia="zh-CN"/>
        </w:rPr>
        <w:t>镇（区、街道）老年大学</w:t>
      </w:r>
      <w:r>
        <w:rPr>
          <w:rFonts w:hint="eastAsia" w:ascii="Times New Roman" w:eastAsia="方正仿宋_GBK" w:cs="Times New Roman"/>
          <w:sz w:val="32"/>
          <w:lang w:val="en-US" w:eastAsia="zh-CN"/>
        </w:rPr>
        <w:t>全覆盖，</w:t>
      </w:r>
      <w:r>
        <w:rPr>
          <w:rFonts w:hint="eastAsia" w:ascii="Times New Roman" w:hAnsi="Times New Roman" w:eastAsia="方正仿宋_GBK" w:cs="Times New Roman"/>
          <w:sz w:val="32"/>
          <w:lang w:val="en-US" w:eastAsia="zh-CN"/>
        </w:rPr>
        <w:t>夯实“颐养金仓”养老文化阵地，全面建成居家社区机构相协调、医养康养相结合、银龄互助多元发展的基本养老服务体系。</w:t>
      </w:r>
    </w:p>
    <w:p>
      <w:pPr>
        <w:keepNext w:val="0"/>
        <w:keepLines w:val="0"/>
        <w:pageBreakBefore w:val="0"/>
        <w:widowControl w:val="0"/>
        <w:kinsoku/>
        <w:wordWrap/>
        <w:overflowPunct w:val="0"/>
        <w:topLinePunct w:val="0"/>
        <w:bidi w:val="0"/>
        <w:adjustRightInd/>
        <w:spacing w:line="560" w:lineRule="exact"/>
        <w:ind w:firstLine="640" w:firstLineChars="200"/>
        <w:textAlignment w:val="auto"/>
        <w:rPr>
          <w:rFonts w:hint="default"/>
          <w:lang w:val="en-US" w:eastAsia="zh-CN"/>
        </w:rPr>
      </w:pPr>
      <w:r>
        <w:rPr>
          <w:rFonts w:hint="eastAsia" w:ascii="方正楷体_GBK" w:hAnsi="方正楷体_GBK" w:eastAsia="方正楷体_GBK" w:cs="方正楷体_GBK"/>
          <w:sz w:val="32"/>
          <w:lang w:val="en-US" w:eastAsia="zh-CN"/>
        </w:rPr>
        <w:t>5.提升养老兜底保障水平。</w:t>
      </w:r>
      <w:r>
        <w:rPr>
          <w:rFonts w:ascii="Times New Roman" w:hAnsi="Times New Roman" w:eastAsia="方正仿宋_GBK" w:cs="Times New Roman"/>
          <w:sz w:val="32"/>
        </w:rPr>
        <w:t>优化财政资金奖补机制，制定出台《</w:t>
      </w:r>
      <w:r>
        <w:rPr>
          <w:rFonts w:hint="eastAsia" w:ascii="Times New Roman" w:hAnsi="Times New Roman" w:eastAsia="方正仿宋_GBK" w:cs="Times New Roman"/>
          <w:sz w:val="32"/>
          <w:lang w:val="en-US" w:eastAsia="zh-CN"/>
        </w:rPr>
        <w:t>太仓</w:t>
      </w:r>
      <w:r>
        <w:rPr>
          <w:rFonts w:ascii="Times New Roman" w:hAnsi="Times New Roman" w:eastAsia="方正仿宋_GBK" w:cs="Times New Roman"/>
          <w:sz w:val="32"/>
        </w:rPr>
        <w:t>市困难家庭老年人入住养老机构补贴办法》</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推动</w:t>
      </w:r>
      <w:r>
        <w:rPr>
          <w:rFonts w:ascii="Times New Roman" w:hAnsi="Times New Roman" w:eastAsia="方正仿宋_GBK" w:cs="Times New Roman"/>
          <w:sz w:val="32"/>
        </w:rPr>
        <w:t>政府购买养老服务提质增效</w:t>
      </w:r>
      <w:r>
        <w:rPr>
          <w:rFonts w:hint="eastAsia" w:ascii="Times New Roman" w:eastAsia="方正仿宋_GBK" w:cs="Times New Roman"/>
          <w:sz w:val="32"/>
          <w:lang w:eastAsia="zh-CN"/>
        </w:rPr>
        <w:t>。</w:t>
      </w:r>
      <w:r>
        <w:rPr>
          <w:rFonts w:ascii="Times New Roman" w:hAnsi="Times New Roman" w:eastAsia="方正仿宋_GBK" w:cs="Times New Roman"/>
          <w:sz w:val="32"/>
        </w:rPr>
        <w:t>加强尊老金资金发放管理，做到应发尽发、应补尽补，杜绝错发、违规发放。落实</w:t>
      </w:r>
      <w:r>
        <w:rPr>
          <w:rFonts w:hint="eastAsia" w:ascii="Times New Roman" w:hAnsi="Times New Roman" w:eastAsia="方正仿宋_GBK" w:cs="Times New Roman"/>
          <w:sz w:val="32"/>
          <w:lang w:val="en-US" w:eastAsia="zh-CN"/>
        </w:rPr>
        <w:t>高龄困难的重点空巢独居、</w:t>
      </w:r>
      <w:r>
        <w:rPr>
          <w:rFonts w:ascii="Times New Roman" w:hAnsi="Times New Roman" w:eastAsia="方正仿宋_GBK" w:cs="Times New Roman"/>
          <w:sz w:val="32"/>
        </w:rPr>
        <w:t>农村留守老年人</w:t>
      </w:r>
      <w:r>
        <w:rPr>
          <w:rFonts w:hint="eastAsia" w:ascii="Times New Roman" w:hAnsi="Times New Roman" w:eastAsia="方正仿宋_GBK" w:cs="Times New Roman"/>
          <w:sz w:val="32"/>
          <w:lang w:val="en-US" w:eastAsia="zh-CN"/>
        </w:rPr>
        <w:t>居家上门服务，积极推广互助养老服务</w:t>
      </w:r>
      <w:r>
        <w:rPr>
          <w:rFonts w:hint="eastAsia" w:ascii="Times New Roman" w:eastAsia="方正仿宋_GBK" w:cs="Times New Roman"/>
          <w:sz w:val="32"/>
          <w:lang w:val="en-US" w:eastAsia="zh-CN"/>
        </w:rPr>
        <w:t>工作</w:t>
      </w:r>
      <w:r>
        <w:rPr>
          <w:rFonts w:hint="eastAsia" w:ascii="Times New Roman" w:hAnsi="Times New Roman" w:eastAsia="方正仿宋_GBK" w:cs="Times New Roman"/>
          <w:sz w:val="32"/>
          <w:lang w:val="en-US" w:eastAsia="zh-CN"/>
        </w:rPr>
        <w:t>，全市打造一批互助养老典型案例。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三、深化养老服务领域各项改革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6.深化居家养老增能拓面。</w:t>
      </w:r>
      <w:r>
        <w:rPr>
          <w:rFonts w:hint="eastAsia" w:ascii="Times New Roman" w:hAnsi="Times New Roman" w:eastAsia="方正仿宋_GBK" w:cs="Times New Roman"/>
          <w:sz w:val="32"/>
          <w:lang w:val="en-US" w:eastAsia="zh-CN"/>
        </w:rPr>
        <w:t>全面推进“省级居家和社区养老服务创新示范三年行动计划”，创新居家养老政策宣传与消费引导，稳步扩大居家养老覆盖面，</w:t>
      </w:r>
      <w:r>
        <w:rPr>
          <w:rFonts w:hint="eastAsia" w:ascii="Times New Roman" w:hAnsi="Times New Roman" w:eastAsia="方正仿宋_GBK" w:cs="Times New Roman"/>
          <w:sz w:val="32"/>
        </w:rPr>
        <w:t>提高自费服务量</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rPr>
        <w:t>提升上门服务的质量水平</w:t>
      </w:r>
      <w:r>
        <w:rPr>
          <w:rFonts w:ascii="Times New Roman" w:hAnsi="Times New Roman" w:eastAsia="方正仿宋_GBK" w:cs="Times New Roman"/>
          <w:sz w:val="32"/>
        </w:rPr>
        <w:t>。</w:t>
      </w:r>
      <w:r>
        <w:rPr>
          <w:rFonts w:hint="eastAsia" w:ascii="Times New Roman" w:hAnsi="Times New Roman" w:eastAsia="方正仿宋_GBK" w:cs="Times New Roman"/>
          <w:sz w:val="32"/>
          <w:lang w:val="en-US" w:eastAsia="zh-CN"/>
        </w:rPr>
        <w:t>普及推广家庭养老夜间照护床位，</w:t>
      </w:r>
      <w:r>
        <w:rPr>
          <w:rFonts w:ascii="Times New Roman" w:hAnsi="Times New Roman" w:eastAsia="方正仿宋_GBK" w:cs="Times New Roman"/>
          <w:sz w:val="32"/>
        </w:rPr>
        <w:t>引导为有需求的老年人及家庭提供夜间照护服务</w:t>
      </w:r>
      <w:r>
        <w:rPr>
          <w:rFonts w:hint="eastAsia" w:ascii="Times New Roman" w:hAnsi="Times New Roman" w:eastAsia="方正仿宋_GBK" w:cs="Times New Roman"/>
          <w:sz w:val="32"/>
          <w:lang w:eastAsia="zh-CN"/>
        </w:rPr>
        <w:t>。</w:t>
      </w:r>
    </w:p>
    <w:p>
      <w:pPr>
        <w:keepNext w:val="0"/>
        <w:keepLines w:val="0"/>
        <w:pageBreakBefore w:val="0"/>
        <w:widowControl w:val="0"/>
        <w:kinsoku/>
        <w:wordWrap/>
        <w:overflowPunct w:val="0"/>
        <w:topLinePunct w:val="0"/>
        <w:bidi w:val="0"/>
        <w:adjustRightInd/>
        <w:spacing w:line="56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7.探索社区养老2.0新模式。</w:t>
      </w:r>
      <w:r>
        <w:rPr>
          <w:rFonts w:hint="eastAsia" w:ascii="Times New Roman" w:hAnsi="Times New Roman" w:eastAsia="方正仿宋_GBK" w:cs="Times New Roman"/>
          <w:sz w:val="32"/>
          <w:lang w:val="en-US" w:eastAsia="zh-CN"/>
        </w:rPr>
        <w:t>加快社区养老星级示范、分级管理、全龄化改革</w:t>
      </w:r>
      <w:r>
        <w:rPr>
          <w:rFonts w:hint="eastAsia" w:ascii="Times New Roman" w:eastAsia="方正仿宋_GBK" w:cs="Times New Roman"/>
          <w:sz w:val="32"/>
          <w:lang w:val="en-US" w:eastAsia="zh-CN"/>
        </w:rPr>
        <w:t>试点</w:t>
      </w:r>
      <w:r>
        <w:rPr>
          <w:rFonts w:hint="eastAsia" w:ascii="Times New Roman" w:hAnsi="Times New Roman" w:eastAsia="方正仿宋_GBK" w:cs="Times New Roman"/>
          <w:sz w:val="32"/>
          <w:lang w:val="en-US" w:eastAsia="zh-CN"/>
        </w:rPr>
        <w:t>，深化社区医养结合，试点养老机构医疗资源进社区服务模式，</w:t>
      </w:r>
      <w:r>
        <w:rPr>
          <w:rFonts w:hint="eastAsia" w:ascii="Times New Roman" w:eastAsia="方正仿宋_GBK" w:cs="Times New Roman"/>
          <w:sz w:val="32"/>
          <w:lang w:val="en-US" w:eastAsia="zh-CN"/>
        </w:rPr>
        <w:t>推动部分</w:t>
      </w:r>
      <w:r>
        <w:rPr>
          <w:rFonts w:hint="eastAsia" w:ascii="Times New Roman" w:hAnsi="Times New Roman" w:eastAsia="方正仿宋_GBK" w:cs="Times New Roman"/>
          <w:sz w:val="32"/>
          <w:lang w:val="en-US" w:eastAsia="zh-CN"/>
        </w:rPr>
        <w:t>镇（街道）按标准建设具备日托、全托、培训、评估、上门服务等功能的综合性养老服务中心。积极</w:t>
      </w:r>
      <w:r>
        <w:rPr>
          <w:rFonts w:hint="eastAsia" w:ascii="Times New Roman" w:eastAsia="方正仿宋_GBK" w:cs="Times New Roman"/>
          <w:sz w:val="32"/>
          <w:lang w:val="en-US" w:eastAsia="zh-CN"/>
        </w:rPr>
        <w:t>探索</w:t>
      </w:r>
      <w:r>
        <w:rPr>
          <w:rFonts w:hint="eastAsia" w:ascii="Times New Roman" w:hAnsi="Times New Roman" w:eastAsia="方正仿宋_GBK" w:cs="Times New Roman"/>
          <w:sz w:val="32"/>
          <w:lang w:val="en-US" w:eastAsia="zh-CN"/>
        </w:rPr>
        <w:t>“时间银行”</w:t>
      </w:r>
      <w:r>
        <w:rPr>
          <w:rFonts w:hint="eastAsia" w:ascii="Times New Roman" w:eastAsia="方正仿宋_GBK" w:cs="Times New Roman"/>
          <w:sz w:val="32"/>
          <w:lang w:val="en-US" w:eastAsia="zh-CN"/>
        </w:rPr>
        <w:t>“物业+养老”</w:t>
      </w:r>
      <w:r>
        <w:rPr>
          <w:rFonts w:hint="eastAsia" w:ascii="Times New Roman" w:hAnsi="Times New Roman" w:eastAsia="方正仿宋_GBK" w:cs="Times New Roman"/>
          <w:sz w:val="32"/>
          <w:lang w:val="en-US" w:eastAsia="zh-CN"/>
        </w:rPr>
        <w:t>“养老顾问手册”等创新工作，加快“助老加油站”“银龄互助协会”等银龄志愿品牌建设，打造全龄化社区养老2.0</w:t>
      </w:r>
      <w:r>
        <w:rPr>
          <w:rFonts w:hint="eastAsia" w:ascii="Times New Roman" w:eastAsia="方正仿宋_GBK" w:cs="Times New Roman"/>
          <w:sz w:val="32"/>
          <w:lang w:val="en-US" w:eastAsia="zh-CN"/>
        </w:rPr>
        <w:t>模式</w:t>
      </w:r>
      <w:r>
        <w:rPr>
          <w:rFonts w:hint="eastAsia" w:ascii="Times New Roman" w:hAnsi="Times New Roman" w:eastAsia="方正仿宋_GBK" w:cs="Times New Roman"/>
          <w:sz w:val="32"/>
          <w:lang w:val="en-US" w:eastAsia="zh-CN"/>
        </w:rPr>
        <w:t>。</w:t>
      </w:r>
    </w:p>
    <w:p>
      <w:pPr>
        <w:keepNext w:val="0"/>
        <w:keepLines w:val="0"/>
        <w:pageBreakBefore w:val="0"/>
        <w:widowControl w:val="0"/>
        <w:kinsoku/>
        <w:wordWrap/>
        <w:overflowPunct w:val="0"/>
        <w:topLinePunct w:val="0"/>
        <w:bidi w:val="0"/>
        <w:adjustRightInd/>
        <w:spacing w:line="56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8.加快养老机构改革升级。</w:t>
      </w:r>
      <w:r>
        <w:rPr>
          <w:rFonts w:hint="eastAsia" w:ascii="Times New Roman" w:hAnsi="Times New Roman" w:eastAsia="方正仿宋_GBK" w:cs="Times New Roman"/>
          <w:sz w:val="32"/>
          <w:lang w:val="en-US" w:eastAsia="zh-CN"/>
        </w:rPr>
        <w:t>贯彻省、苏州高质量考核要求，推动娄东街道区域性养老服务中心完成立项，沙溪镇、浮桥镇、浏河镇三家公办养老机构完成公建民营改革，实现区域性养老服务中心覆盖率达100%，全市社会力量举办或经营的床位数占养老机构总床位比例达</w:t>
      </w:r>
      <w:r>
        <w:rPr>
          <w:rFonts w:hint="eastAsia" w:ascii="Times New Roman" w:eastAsia="方正仿宋_GBK" w:cs="Times New Roman"/>
          <w:sz w:val="32"/>
          <w:lang w:val="en-US" w:eastAsia="zh-CN"/>
        </w:rPr>
        <w:t>8</w:t>
      </w:r>
      <w:r>
        <w:rPr>
          <w:rFonts w:hint="eastAsia" w:ascii="Times New Roman" w:hAnsi="Times New Roman" w:eastAsia="方正仿宋_GBK" w:cs="Times New Roman"/>
          <w:sz w:val="32"/>
          <w:lang w:val="en-US" w:eastAsia="zh-CN"/>
        </w:rPr>
        <w:t>0%以上，持续提升机构医养康养服务能力。加快养老机构标准化建设，推动90%以上养老机构符合《养老机构服务安全基本规范》标准</w:t>
      </w:r>
      <w:r>
        <w:rPr>
          <w:rFonts w:hint="eastAsia" w:asci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开展养老机构等级评定，并将评定结果作为养老机构享受补贴、核定价格、提供服务的重要依据。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四、推进养老事业产业协同发展</w:t>
      </w:r>
    </w:p>
    <w:p>
      <w:pPr>
        <w:keepNext w:val="0"/>
        <w:keepLines w:val="0"/>
        <w:pageBreakBefore w:val="0"/>
        <w:widowControl w:val="0"/>
        <w:kinsoku/>
        <w:wordWrap/>
        <w:overflowPunct w:val="0"/>
        <w:topLinePunct w:val="0"/>
        <w:autoSpaceDE w:val="0"/>
        <w:autoSpaceDN w:val="0"/>
        <w:bidi w:val="0"/>
        <w:adjustRightInd/>
        <w:snapToGrid w:val="0"/>
        <w:spacing w:line="560" w:lineRule="exact"/>
        <w:ind w:firstLine="640" w:firstLineChars="200"/>
        <w:textAlignment w:val="auto"/>
        <w:rPr>
          <w:rFonts w:hint="eastAsia" w:asci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9.创新养老</w:t>
      </w:r>
      <w:r>
        <w:rPr>
          <w:rFonts w:hint="eastAsia" w:ascii="方正楷体_GBK" w:hAnsi="方正楷体_GBK" w:eastAsia="方正楷体_GBK" w:cs="方正楷体_GBK"/>
          <w:sz w:val="32"/>
        </w:rPr>
        <w:t>人才</w:t>
      </w:r>
      <w:r>
        <w:rPr>
          <w:rFonts w:hint="eastAsia" w:ascii="方正楷体_GBK" w:hAnsi="方正楷体_GBK" w:eastAsia="方正楷体_GBK" w:cs="方正楷体_GBK"/>
          <w:sz w:val="32"/>
          <w:lang w:val="en-US" w:eastAsia="zh-CN"/>
        </w:rPr>
        <w:t>组织队伍建设。</w:t>
      </w:r>
      <w:r>
        <w:rPr>
          <w:rFonts w:hint="eastAsia" w:ascii="Times New Roman" w:eastAsia="方正仿宋_GBK" w:cs="Times New Roman"/>
          <w:sz w:val="32"/>
          <w:lang w:val="en-US" w:eastAsia="zh-CN"/>
        </w:rPr>
        <w:t>深化“长三角”养老一体化，夯实“产学研一体化”研学品牌，完善“养老学堂”课程培训，</w:t>
      </w:r>
      <w:r>
        <w:rPr>
          <w:rFonts w:ascii="Times New Roman" w:hAnsi="Times New Roman" w:eastAsia="方正仿宋_GBK" w:cs="Times New Roman"/>
          <w:spacing w:val="-2"/>
          <w:sz w:val="32"/>
        </w:rPr>
        <w:t>持续开展养老护理员</w:t>
      </w:r>
      <w:r>
        <w:rPr>
          <w:rFonts w:hint="eastAsia" w:ascii="Times New Roman" w:hAnsi="Times New Roman" w:eastAsia="方正仿宋_GBK" w:cs="Times New Roman"/>
          <w:spacing w:val="-2"/>
          <w:sz w:val="32"/>
        </w:rPr>
        <w:t>、</w:t>
      </w:r>
      <w:r>
        <w:rPr>
          <w:rFonts w:ascii="Times New Roman" w:hAnsi="Times New Roman" w:eastAsia="方正仿宋_GBK" w:cs="Times New Roman"/>
          <w:spacing w:val="-2"/>
          <w:sz w:val="32"/>
        </w:rPr>
        <w:t>养老机构负责人</w:t>
      </w:r>
      <w:r>
        <w:rPr>
          <w:rFonts w:hint="eastAsia" w:ascii="Times New Roman" w:hAnsi="Times New Roman" w:eastAsia="方正仿宋_GBK" w:cs="Times New Roman"/>
          <w:spacing w:val="-2"/>
          <w:sz w:val="32"/>
        </w:rPr>
        <w:t>等从业队伍</w:t>
      </w:r>
      <w:r>
        <w:rPr>
          <w:rFonts w:ascii="Times New Roman" w:hAnsi="Times New Roman" w:eastAsia="方正仿宋_GBK" w:cs="Times New Roman"/>
          <w:spacing w:val="-2"/>
          <w:sz w:val="32"/>
        </w:rPr>
        <w:t>培训，</w:t>
      </w:r>
      <w:r>
        <w:rPr>
          <w:rFonts w:hint="eastAsia" w:ascii="Times New Roman" w:eastAsia="方正仿宋_GBK" w:cs="Times New Roman"/>
          <w:spacing w:val="-2"/>
          <w:sz w:val="32"/>
          <w:lang w:val="en-US" w:eastAsia="zh-CN"/>
        </w:rPr>
        <w:t>创新</w:t>
      </w:r>
      <w:r>
        <w:rPr>
          <w:rFonts w:hint="eastAsia" w:ascii="Times New Roman" w:eastAsia="方正仿宋_GBK" w:cs="Times New Roman"/>
          <w:sz w:val="32"/>
          <w:lang w:val="en-US" w:eastAsia="zh-CN"/>
        </w:rPr>
        <w:t>服务组织能力提升工程。</w:t>
      </w:r>
      <w:r>
        <w:rPr>
          <w:rFonts w:ascii="Times New Roman" w:hAnsi="Times New Roman" w:eastAsia="方正仿宋_GBK" w:cs="Times New Roman"/>
          <w:sz w:val="32"/>
        </w:rPr>
        <w:t>积极参与省对养老护理员技师、高级技师的等级认定工作</w:t>
      </w:r>
      <w:r>
        <w:rPr>
          <w:rFonts w:hint="eastAsia" w:ascii="Times New Roman" w:hAnsi="Times New Roman" w:eastAsia="方正仿宋_GBK" w:cs="Times New Roman"/>
          <w:sz w:val="32"/>
          <w:lang w:eastAsia="zh-CN"/>
        </w:rPr>
        <w:t>，</w:t>
      </w:r>
      <w:r>
        <w:rPr>
          <w:rFonts w:ascii="Times New Roman" w:hAnsi="Times New Roman" w:eastAsia="方正仿宋_GBK" w:cs="Times New Roman"/>
          <w:sz w:val="32"/>
        </w:rPr>
        <w:t>确定1所具备中级、初级养老护理员认定资质的社会化评价机构</w:t>
      </w:r>
      <w:r>
        <w:rPr>
          <w:rFonts w:hint="eastAsia" w:ascii="Times New Roman" w:hAnsi="Times New Roman" w:eastAsia="方正仿宋_GBK" w:cs="Times New Roman"/>
          <w:sz w:val="32"/>
        </w:rPr>
        <w:t>，对</w:t>
      </w:r>
      <w:r>
        <w:rPr>
          <w:rFonts w:ascii="Times New Roman" w:hAnsi="Times New Roman" w:eastAsia="方正仿宋_GBK" w:cs="Times New Roman"/>
          <w:sz w:val="32"/>
        </w:rPr>
        <w:t>全市</w:t>
      </w:r>
      <w:r>
        <w:rPr>
          <w:rFonts w:hint="eastAsia" w:ascii="Times New Roman" w:hAnsi="Times New Roman" w:eastAsia="方正仿宋_GBK" w:cs="Times New Roman"/>
          <w:sz w:val="32"/>
        </w:rPr>
        <w:t>符合条件的养老护理员进行</w:t>
      </w:r>
      <w:r>
        <w:rPr>
          <w:rFonts w:ascii="Times New Roman" w:hAnsi="Times New Roman" w:eastAsia="方正仿宋_GBK" w:cs="Times New Roman"/>
          <w:sz w:val="32"/>
        </w:rPr>
        <w:t>职业技能等级认定</w:t>
      </w:r>
      <w:r>
        <w:rPr>
          <w:rFonts w:hint="eastAsia" w:ascii="Times New Roman" w:hAnsi="Times New Roman" w:eastAsia="方正仿宋_GBK" w:cs="Times New Roman"/>
          <w:sz w:val="32"/>
          <w:lang w:eastAsia="zh-CN"/>
        </w:rPr>
        <w:t>。</w:t>
      </w:r>
      <w:r>
        <w:rPr>
          <w:rFonts w:hint="eastAsia" w:ascii="Times New Roman" w:eastAsia="方正仿宋_GBK" w:cs="Times New Roman"/>
          <w:sz w:val="32"/>
          <w:lang w:val="en-US" w:eastAsia="zh-CN"/>
        </w:rPr>
        <w:t>统筹做好第五届养老护理员节系列活动，推动各镇区因地制宜开展特色活动。</w:t>
      </w:r>
    </w:p>
    <w:p>
      <w:pPr>
        <w:keepNext w:val="0"/>
        <w:keepLines w:val="0"/>
        <w:pageBreakBefore w:val="0"/>
        <w:widowControl w:val="0"/>
        <w:kinsoku/>
        <w:wordWrap/>
        <w:overflowPunct w:val="0"/>
        <w:topLinePunct w:val="0"/>
        <w:autoSpaceDE w:val="0"/>
        <w:autoSpaceDN w:val="0"/>
        <w:bidi w:val="0"/>
        <w:adjustRightInd/>
        <w:snapToGrid w:val="0"/>
        <w:spacing w:line="560" w:lineRule="exact"/>
        <w:ind w:firstLine="640" w:firstLineChars="200"/>
        <w:textAlignment w:val="auto"/>
        <w:rPr>
          <w:rFonts w:hint="eastAsia" w:asci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10.探索智慧智能养老新模式。</w:t>
      </w:r>
      <w:r>
        <w:rPr>
          <w:rFonts w:hint="eastAsia" w:ascii="Times New Roman" w:eastAsia="方正仿宋_GBK" w:cs="Times New Roman"/>
          <w:sz w:val="32"/>
          <w:lang w:val="en-US" w:eastAsia="zh-CN"/>
        </w:rPr>
        <w:t>完成养老综合管理平台升级工作，建设养老服务大数据中心，开发智慧养老小程序，探索智慧关爱、养老云课堂、云管家等“云端”养老服务。</w:t>
      </w:r>
      <w:r>
        <w:rPr>
          <w:rFonts w:ascii="Times New Roman" w:hAnsi="Times New Roman" w:eastAsia="方正仿宋_GBK" w:cs="Times New Roman"/>
          <w:sz w:val="32"/>
        </w:rPr>
        <w:t>落实国务院《关于切实解决老年人运用智能技术困难的实施方案》，聚焦老年人日常生活涉及的高频事项，切实解决老年人在</w:t>
      </w:r>
      <w:r>
        <w:rPr>
          <w:rFonts w:hint="eastAsia" w:ascii="Times New Roman" w:hAnsi="Times New Roman" w:eastAsia="方正仿宋_GBK" w:cs="Times New Roman"/>
          <w:sz w:val="32"/>
        </w:rPr>
        <w:t>养老服务领域</w:t>
      </w:r>
      <w:r>
        <w:rPr>
          <w:rFonts w:ascii="Times New Roman" w:hAnsi="Times New Roman" w:eastAsia="方正仿宋_GBK" w:cs="Times New Roman"/>
          <w:sz w:val="32"/>
        </w:rPr>
        <w:t>运用智能技术方面的“数字鸿沟”</w:t>
      </w:r>
      <w:r>
        <w:rPr>
          <w:rFonts w:hint="eastAsia" w:ascii="Times New Roman" w:hAnsi="Times New Roman" w:eastAsia="方正仿宋_GBK" w:cs="Times New Roman"/>
          <w:sz w:val="32"/>
        </w:rPr>
        <w:t>，</w:t>
      </w:r>
      <w:r>
        <w:rPr>
          <w:rFonts w:hint="eastAsia" w:ascii="Times New Roman" w:eastAsia="方正仿宋_GBK" w:cs="Times New Roman"/>
          <w:sz w:val="32"/>
          <w:lang w:val="en-US" w:eastAsia="zh-CN"/>
        </w:rPr>
        <w:t>提升智慧养老、智能养老服务水平。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eastAsia="方正仿宋_GBK" w:cs="Times New Roman"/>
          <w:sz w:val="32"/>
          <w:lang w:val="en-US" w:eastAsia="zh-CN"/>
        </w:rPr>
      </w:pPr>
      <w:r>
        <w:rPr>
          <w:rFonts w:hint="eastAsia" w:ascii="方正楷体_GBK" w:hAnsi="方正楷体_GBK" w:eastAsia="方正楷体_GBK" w:cs="方正楷体_GBK"/>
          <w:sz w:val="32"/>
          <w:lang w:val="en-US" w:eastAsia="zh-CN"/>
        </w:rPr>
        <w:t>11.</w:t>
      </w:r>
      <w:r>
        <w:rPr>
          <w:rFonts w:ascii="Times New Roman" w:hAnsi="Times New Roman" w:eastAsia="方正楷体_GBK" w:cs="Times New Roman"/>
          <w:sz w:val="32"/>
        </w:rPr>
        <w:t>积极</w:t>
      </w:r>
      <w:r>
        <w:rPr>
          <w:rFonts w:hint="eastAsia" w:ascii="Times New Roman" w:hAnsi="Times New Roman" w:eastAsia="方正楷体_GBK" w:cs="Times New Roman"/>
          <w:sz w:val="32"/>
          <w:lang w:val="en-US" w:eastAsia="zh-CN"/>
        </w:rPr>
        <w:t>开发</w:t>
      </w:r>
      <w:r>
        <w:rPr>
          <w:rFonts w:ascii="Times New Roman" w:hAnsi="Times New Roman" w:eastAsia="方正楷体_GBK" w:cs="Times New Roman"/>
          <w:sz w:val="32"/>
        </w:rPr>
        <w:t>“银发产业”</w:t>
      </w:r>
      <w:r>
        <w:rPr>
          <w:rFonts w:hint="eastAsia" w:ascii="Times New Roman" w:hAnsi="Times New Roman" w:eastAsia="方正楷体_GBK" w:cs="Times New Roman"/>
          <w:sz w:val="32"/>
          <w:lang w:val="en-US" w:eastAsia="zh-CN"/>
        </w:rPr>
        <w:t>新市场</w:t>
      </w:r>
      <w:r>
        <w:rPr>
          <w:rFonts w:hint="eastAsia" w:ascii="方正楷体_GBK" w:hAnsi="方正楷体_GBK" w:eastAsia="方正楷体_GBK" w:cs="方正楷体_GBK"/>
          <w:sz w:val="32"/>
          <w:lang w:val="en-US" w:eastAsia="zh-CN"/>
        </w:rPr>
        <w:t>。</w:t>
      </w:r>
      <w:r>
        <w:rPr>
          <w:rFonts w:ascii="Times New Roman" w:hAnsi="Times New Roman" w:eastAsia="方正仿宋_GBK" w:cs="Times New Roman"/>
          <w:sz w:val="32"/>
        </w:rPr>
        <w:t>开发适老产品用品市场，支持老年用品制造业创新发展。</w:t>
      </w:r>
      <w:r>
        <w:rPr>
          <w:rFonts w:hint="eastAsia" w:ascii="Times New Roman" w:eastAsia="方正仿宋_GBK" w:cs="Times New Roman"/>
          <w:sz w:val="32"/>
          <w:lang w:val="en-US" w:eastAsia="zh-CN"/>
        </w:rPr>
        <w:t>创新服务政策宣传、消费引导，不断提高各类服务自费服务比例，打造“爱爸妈”优选商城、“99孝老”购物节，搭建定制化、菜单化、全龄化养老消费产品矩阵，</w:t>
      </w:r>
      <w:r>
        <w:rPr>
          <w:rFonts w:ascii="Times New Roman" w:hAnsi="Times New Roman" w:eastAsia="方正仿宋_GBK" w:cs="Times New Roman"/>
          <w:sz w:val="32"/>
        </w:rPr>
        <w:t>建立完善</w:t>
      </w:r>
      <w:r>
        <w:rPr>
          <w:rFonts w:hint="eastAsia" w:ascii="Times New Roman" w:eastAsia="方正仿宋_GBK" w:cs="Times New Roman"/>
          <w:sz w:val="32"/>
          <w:lang w:val="en-US" w:eastAsia="zh-CN"/>
        </w:rPr>
        <w:t>的</w:t>
      </w:r>
      <w:r>
        <w:rPr>
          <w:rFonts w:ascii="Times New Roman" w:hAnsi="Times New Roman" w:eastAsia="方正仿宋_GBK" w:cs="Times New Roman"/>
          <w:sz w:val="32"/>
        </w:rPr>
        <w:t>适老化产品展示库，推广康复辅助器具运用，支持有条件的养老机构、社区养老组织开展康复辅具租赁服务试点</w:t>
      </w:r>
      <w:r>
        <w:rPr>
          <w:rFonts w:hint="eastAsia" w:ascii="Times New Roman" w:eastAsia="方正仿宋_GBK" w:cs="Times New Roman"/>
          <w:sz w:val="32"/>
          <w:lang w:eastAsia="zh-CN"/>
        </w:rPr>
        <w:t>，</w:t>
      </w:r>
      <w:r>
        <w:rPr>
          <w:rFonts w:hint="eastAsia" w:ascii="Times New Roman" w:hAnsi="Times New Roman" w:eastAsia="方正仿宋_GBK" w:cs="Times New Roman"/>
          <w:sz w:val="32"/>
        </w:rPr>
        <w:t>促进养老服务消费。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五、健全养老服务综合监管体系</w:t>
      </w:r>
    </w:p>
    <w:p>
      <w:pPr>
        <w:overflowPunct w:val="0"/>
        <w:spacing w:line="580" w:lineRule="exact"/>
        <w:ind w:firstLine="640" w:firstLineChars="200"/>
        <w:rPr>
          <w:rFonts w:hint="eastAsia" w:ascii="Times New Roman" w:hAnsi="Times New Roman" w:eastAsia="方正仿宋_GBK" w:cs="Times New Roman"/>
          <w:sz w:val="32"/>
          <w:lang w:val="en-US" w:eastAsia="zh-CN"/>
        </w:rPr>
      </w:pPr>
      <w:r>
        <w:rPr>
          <w:rFonts w:hint="eastAsia" w:ascii="Times New Roman" w:hAnsi="Times New Roman" w:eastAsia="方正楷体_GBK" w:cs="Times New Roman"/>
          <w:sz w:val="32"/>
          <w:lang w:val="en-US" w:eastAsia="zh-CN"/>
        </w:rPr>
        <w:t>1</w:t>
      </w:r>
      <w:r>
        <w:rPr>
          <w:rFonts w:hint="eastAsia" w:ascii="Times New Roman" w:eastAsia="方正楷体_GBK" w:cs="Times New Roman"/>
          <w:sz w:val="32"/>
          <w:lang w:val="en-US" w:eastAsia="zh-CN"/>
        </w:rPr>
        <w:t>2</w:t>
      </w:r>
      <w:r>
        <w:rPr>
          <w:rFonts w:hint="eastAsia" w:ascii="Times New Roman" w:hAnsi="Times New Roman" w:eastAsia="方正楷体_GBK" w:cs="Times New Roman"/>
          <w:sz w:val="32"/>
          <w:lang w:val="en-US" w:eastAsia="zh-CN"/>
        </w:rPr>
        <w:t>.加强镇区养老“综合体”建设。</w:t>
      </w:r>
      <w:r>
        <w:rPr>
          <w:rFonts w:hint="eastAsia" w:ascii="Times New Roman" w:eastAsia="方正仿宋_GBK" w:cs="Times New Roman"/>
          <w:sz w:val="32"/>
          <w:lang w:val="en-US" w:eastAsia="zh-CN"/>
        </w:rPr>
        <w:t>强化镇（区、街道）级养老服务中心</w:t>
      </w:r>
      <w:r>
        <w:rPr>
          <w:rFonts w:hint="eastAsia" w:ascii="Times New Roman" w:hAnsi="Times New Roman" w:eastAsia="方正仿宋_GBK" w:cs="Times New Roman"/>
          <w:sz w:val="32"/>
          <w:lang w:val="en-US" w:eastAsia="zh-CN"/>
        </w:rPr>
        <w:t>功能定位，</w:t>
      </w:r>
      <w:r>
        <w:rPr>
          <w:rFonts w:hint="eastAsia" w:ascii="Times New Roman" w:eastAsia="方正仿宋_GBK" w:cs="Times New Roman"/>
          <w:sz w:val="32"/>
          <w:lang w:val="en-US" w:eastAsia="zh-CN"/>
        </w:rPr>
        <w:t>实现人员、场地、制度三到位，</w:t>
      </w:r>
      <w:r>
        <w:rPr>
          <w:rFonts w:hint="eastAsia" w:ascii="Times New Roman" w:hAnsi="Times New Roman" w:eastAsia="方正仿宋_GBK" w:cs="Times New Roman"/>
          <w:sz w:val="32"/>
          <w:lang w:val="en-US" w:eastAsia="zh-CN"/>
        </w:rPr>
        <w:t>压实压紧养老服务监督管理职责，进一步规范尊老金、养老服务机构、人才队伍奖补</w:t>
      </w:r>
      <w:r>
        <w:rPr>
          <w:rFonts w:hint="eastAsia" w:ascii="Times New Roman" w:eastAsia="方正仿宋_GBK" w:cs="Times New Roman"/>
          <w:sz w:val="32"/>
          <w:lang w:val="en-US" w:eastAsia="zh-CN"/>
        </w:rPr>
        <w:t>等</w:t>
      </w:r>
      <w:r>
        <w:rPr>
          <w:rFonts w:hint="eastAsia" w:ascii="Times New Roman" w:hAnsi="Times New Roman" w:eastAsia="方正仿宋_GBK" w:cs="Times New Roman"/>
          <w:sz w:val="32"/>
          <w:lang w:val="en-US" w:eastAsia="zh-CN"/>
        </w:rPr>
        <w:t>资金发放管理。</w:t>
      </w:r>
    </w:p>
    <w:p>
      <w:pPr>
        <w:overflowPunct w:val="0"/>
        <w:spacing w:line="580" w:lineRule="exact"/>
        <w:ind w:firstLine="640" w:firstLineChars="200"/>
        <w:rPr>
          <w:rFonts w:hint="eastAsia" w:ascii="Times New Roman" w:hAnsi="Times New Roman" w:eastAsia="方正仿宋_GBK" w:cs="Times New Roman"/>
          <w:sz w:val="32"/>
          <w:lang w:val="en-US" w:eastAsia="zh-CN"/>
        </w:rPr>
      </w:pPr>
      <w:r>
        <w:rPr>
          <w:rFonts w:hint="eastAsia" w:ascii="Times New Roman" w:hAnsi="Times New Roman" w:eastAsia="方正楷体_GBK" w:cs="Times New Roman"/>
          <w:sz w:val="32"/>
          <w:lang w:val="en-US" w:eastAsia="zh-CN"/>
        </w:rPr>
        <w:t>1</w:t>
      </w:r>
      <w:r>
        <w:rPr>
          <w:rFonts w:hint="eastAsia" w:ascii="Times New Roman" w:eastAsia="方正楷体_GBK" w:cs="Times New Roman"/>
          <w:sz w:val="32"/>
          <w:lang w:val="en-US" w:eastAsia="zh-CN"/>
        </w:rPr>
        <w:t>3</w:t>
      </w:r>
      <w:r>
        <w:rPr>
          <w:rFonts w:hint="eastAsia" w:ascii="Times New Roman" w:hAnsi="Times New Roman" w:eastAsia="方正楷体_GBK" w:cs="Times New Roman"/>
          <w:sz w:val="32"/>
          <w:lang w:val="en-US" w:eastAsia="zh-CN"/>
        </w:rPr>
        <w:t>.完善养老服务综合监管制度。</w:t>
      </w:r>
      <w:r>
        <w:rPr>
          <w:rFonts w:hint="eastAsia" w:ascii="Times New Roman" w:hAnsi="Times New Roman" w:eastAsia="方正仿宋_GBK" w:cs="Times New Roman"/>
          <w:sz w:val="32"/>
          <w:lang w:val="en-US" w:eastAsia="zh-CN"/>
        </w:rPr>
        <w:t>持续优化“党政领导、部门协同、三级联动、行业能动”的养老服务综合监管体系，建立覆盖服务企业、服务组织和从业人员的养老服务行业信用管理体系，完善养老机构“双随机、一公开”监管政策，明确监管内容清单，强化事中事后监管</w:t>
      </w:r>
      <w:r>
        <w:rPr>
          <w:rFonts w:hint="eastAsia" w:asci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加快推进“互联网+监管”系统运用，实现养老机构备案、养老机构等级评定等事项线上办理，强化适老化改造、政府购买居家老年人上门服务、尊老金发放、运营补贴等数据的信息化监管。</w:t>
      </w:r>
    </w:p>
    <w:p>
      <w:pPr>
        <w:overflowPunct w:val="0"/>
        <w:spacing w:line="580" w:lineRule="exact"/>
        <w:ind w:firstLine="640" w:firstLineChars="200"/>
        <w:rPr>
          <w:rFonts w:hint="eastAsia" w:ascii="Times New Roman" w:hAnsi="Times New Roman" w:eastAsia="方正仿宋_GBK" w:cs="Times New Roman"/>
          <w:sz w:val="32"/>
          <w:lang w:val="en-US" w:eastAsia="zh-CN"/>
        </w:rPr>
      </w:pPr>
      <w:r>
        <w:rPr>
          <w:rFonts w:ascii="Times New Roman" w:hAnsi="Times New Roman" w:eastAsia="方正楷体_GBK" w:cs="Times New Roman"/>
          <w:sz w:val="32"/>
        </w:rPr>
        <w:t>1</w:t>
      </w:r>
      <w:r>
        <w:rPr>
          <w:rFonts w:hint="eastAsia" w:ascii="Times New Roman" w:hAnsi="Times New Roman" w:eastAsia="方正楷体_GBK" w:cs="Times New Roman"/>
          <w:sz w:val="32"/>
          <w:lang w:val="en-US" w:eastAsia="zh-CN"/>
        </w:rPr>
        <w:t>4</w:t>
      </w:r>
      <w:r>
        <w:rPr>
          <w:rFonts w:ascii="Times New Roman" w:hAnsi="Times New Roman" w:eastAsia="方正楷体_GBK" w:cs="Times New Roman"/>
          <w:sz w:val="32"/>
        </w:rPr>
        <w:t>．深化</w:t>
      </w:r>
      <w:r>
        <w:rPr>
          <w:rFonts w:hint="eastAsia" w:ascii="Times New Roman" w:hAnsi="Times New Roman" w:eastAsia="方正楷体_GBK" w:cs="Times New Roman"/>
          <w:sz w:val="32"/>
          <w:lang w:val="en-US" w:eastAsia="zh-CN"/>
        </w:rPr>
        <w:t>养老领域</w:t>
      </w:r>
      <w:r>
        <w:rPr>
          <w:rFonts w:ascii="Times New Roman" w:hAnsi="Times New Roman" w:eastAsia="方正楷体_GBK" w:cs="Times New Roman"/>
          <w:sz w:val="32"/>
        </w:rPr>
        <w:t>安全</w:t>
      </w:r>
      <w:r>
        <w:rPr>
          <w:rFonts w:hint="eastAsia" w:ascii="Times New Roman" w:hAnsi="Times New Roman" w:eastAsia="方正楷体_GBK" w:cs="Times New Roman"/>
          <w:sz w:val="32"/>
          <w:lang w:val="en-US" w:eastAsia="zh-CN"/>
        </w:rPr>
        <w:t>生产</w:t>
      </w:r>
      <w:r>
        <w:rPr>
          <w:rFonts w:ascii="Times New Roman" w:hAnsi="Times New Roman" w:eastAsia="方正楷体_GBK" w:cs="Times New Roman"/>
          <w:sz w:val="32"/>
        </w:rPr>
        <w:t>整治。</w:t>
      </w:r>
      <w:r>
        <w:rPr>
          <w:rFonts w:ascii="Times New Roman" w:hAnsi="Times New Roman" w:eastAsia="方正仿宋_GBK" w:cs="Times New Roman"/>
          <w:sz w:val="32"/>
        </w:rPr>
        <w:t>按照省、市深化安全生产专项整治工作要求，充分运用“江苏民政服务机构安全管理系统”，持续加大养老机构排查整治力度，消除重大安全风险隐患。建立多部门协同联动机制，</w:t>
      </w:r>
      <w:r>
        <w:rPr>
          <w:rFonts w:hint="eastAsia" w:ascii="Times New Roman" w:hAnsi="Times New Roman" w:eastAsia="方正仿宋_GBK" w:cs="Times New Roman"/>
          <w:sz w:val="32"/>
          <w:lang w:val="en-US" w:eastAsia="zh-CN"/>
        </w:rPr>
        <w:t>持续开展养老机构季度大检查、消防安全整治、“消防演练进日照”等活动，</w:t>
      </w:r>
      <w:r>
        <w:rPr>
          <w:rFonts w:ascii="Times New Roman" w:hAnsi="Times New Roman" w:eastAsia="方正仿宋_GBK" w:cs="Times New Roman"/>
          <w:sz w:val="32"/>
        </w:rPr>
        <w:t>巩固全市养老机构消防审验专项整治行动工作成果</w:t>
      </w:r>
      <w:r>
        <w:rPr>
          <w:rFonts w:hint="eastAsia" w:ascii="Times New Roman" w:eastAsia="方正仿宋_GBK" w:cs="Times New Roman"/>
          <w:sz w:val="32"/>
          <w:lang w:eastAsia="zh-CN"/>
        </w:rPr>
        <w:t>，</w:t>
      </w:r>
      <w:r>
        <w:rPr>
          <w:rFonts w:hint="eastAsia" w:ascii="Times New Roman" w:hAnsi="Times New Roman" w:eastAsia="方正仿宋_GBK" w:cs="Times New Roman"/>
          <w:sz w:val="32"/>
          <w:lang w:val="en-US" w:eastAsia="zh-CN"/>
        </w:rPr>
        <w:t>提升各类养老服务机构安全管理能力</w:t>
      </w:r>
      <w:r>
        <w:rPr>
          <w:rFonts w:hint="eastAsia" w:ascii="Times New Roman" w:eastAsia="方正仿宋_GBK" w:cs="Times New Roman"/>
          <w:sz w:val="32"/>
          <w:lang w:val="en-US" w:eastAsia="zh-CN"/>
        </w:rPr>
        <w:t>。</w:t>
      </w:r>
      <w:r>
        <w:rPr>
          <w:rFonts w:ascii="Times New Roman" w:hAnsi="Times New Roman" w:eastAsia="方正仿宋_GBK" w:cs="Times New Roman"/>
          <w:sz w:val="32"/>
        </w:rPr>
        <w:t>持续排查养老服领域非法集资风险隐患，切实整治针对老年人的“保健”乱象，配合市场监管部门加大对老年人“保健品”欺诈行为的处罚力度，维护老年人合法权益。</w:t>
      </w:r>
    </w:p>
    <w:p>
      <w:pPr>
        <w:keepNext w:val="0"/>
        <w:keepLines w:val="0"/>
        <w:pageBreakBefore w:val="0"/>
        <w:widowControl w:val="0"/>
        <w:kinsoku/>
        <w:wordWrap/>
        <w:overflowPunct/>
        <w:topLinePunct w:val="0"/>
        <w:bidi w:val="0"/>
        <w:adjustRightInd/>
        <w:spacing w:line="560" w:lineRule="exact"/>
        <w:ind w:firstLine="640" w:firstLineChars="200"/>
        <w:textAlignment w:val="auto"/>
        <w:rPr>
          <w:color w:val="auto"/>
        </w:rPr>
      </w:pPr>
    </w:p>
    <w:sectPr>
      <w:pgSz w:w="11906" w:h="16838"/>
      <w:pgMar w:top="2041" w:right="1474" w:bottom="1928"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新宋体"/>
    <w:panose1 w:val="02010609010101010101"/>
    <w:charset w:val="86"/>
    <w:family w:val="swiss"/>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汉鼎简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汉鼎简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16CE2"/>
    <w:rsid w:val="00422513"/>
    <w:rsid w:val="02D16CE2"/>
    <w:rsid w:val="053B1764"/>
    <w:rsid w:val="0A2D4A6B"/>
    <w:rsid w:val="0C935BFA"/>
    <w:rsid w:val="0F8C00AA"/>
    <w:rsid w:val="11BE3928"/>
    <w:rsid w:val="14380D21"/>
    <w:rsid w:val="14AA7E64"/>
    <w:rsid w:val="171C7EF0"/>
    <w:rsid w:val="1830185E"/>
    <w:rsid w:val="1E7C3F99"/>
    <w:rsid w:val="214E7AB1"/>
    <w:rsid w:val="245D0993"/>
    <w:rsid w:val="27F56CD2"/>
    <w:rsid w:val="32B5483D"/>
    <w:rsid w:val="33D06B34"/>
    <w:rsid w:val="3DF23FCA"/>
    <w:rsid w:val="413957B4"/>
    <w:rsid w:val="41D4710D"/>
    <w:rsid w:val="48A95294"/>
    <w:rsid w:val="48B0438E"/>
    <w:rsid w:val="55517002"/>
    <w:rsid w:val="5B793E42"/>
    <w:rsid w:val="660C0755"/>
    <w:rsid w:val="69A84DC4"/>
    <w:rsid w:val="6AC92B6B"/>
    <w:rsid w:val="6DF2734E"/>
    <w:rsid w:val="73B16662"/>
    <w:rsid w:val="7CCC2B0F"/>
    <w:rsid w:val="7EB04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汉鼎简仿宋"/>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te Heading"/>
    <w:basedOn w:val="1"/>
    <w:next w:val="1"/>
    <w:qFormat/>
    <w:uiPriority w:val="0"/>
    <w:pPr>
      <w:jc w:val="center"/>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2021-03-10T05:51:00Z</dcterms:created>
  <dc:creator>曹磊</dc:creator>
  <cp:lastModifiedBy>曹磊</cp:lastModifiedBy>
  <cp:lastPrinted>2021-03-12T07:13:00Z</cp:lastPrinted>
  <dcterms:modified xsi:type="dcterms:W3CDTF">2021-03-16T02:08:55Z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