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小标宋简体" w:hAnsi="Times New Roman" w:eastAsia="方正小标宋简体" w:cs="Times New Roman"/>
          <w:snapToGrid/>
          <w:color w:val="000000"/>
          <w:kern w:val="0"/>
          <w:sz w:val="40"/>
          <w:szCs w:val="40"/>
          <w:lang w:eastAsia="zh-CN"/>
        </w:rPr>
      </w:pPr>
    </w:p>
    <w:p>
      <w:pPr>
        <w:keepNext w:val="0"/>
        <w:keepLines w:val="0"/>
        <w:pageBreakBefore w:val="0"/>
        <w:widowControl w:val="0"/>
        <w:tabs>
          <w:tab w:val="left" w:pos="8400"/>
        </w:tabs>
        <w:kinsoku/>
        <w:wordWrap/>
        <w:overflowPunct/>
        <w:topLinePunct w:val="0"/>
        <w:autoSpaceDE/>
        <w:autoSpaceDN/>
        <w:bidi w:val="0"/>
        <w:adjustRightInd/>
        <w:snapToGrid/>
        <w:spacing w:beforeLines="0" w:afterLines="0"/>
        <w:ind w:right="315" w:rightChars="150"/>
        <w:jc w:val="distribute"/>
        <w:textAlignment w:val="auto"/>
        <w:rPr>
          <w:rFonts w:hint="eastAsia" w:ascii="宋体" w:hAnsi="宋体" w:eastAsia="宋体" w:cs="宋体"/>
          <w:b/>
          <w:bCs w:val="0"/>
          <w:color w:val="FF0000"/>
          <w:spacing w:val="-142"/>
          <w:w w:val="33"/>
          <w:sz w:val="130"/>
          <w:szCs w:val="130"/>
        </w:rPr>
      </w:pPr>
      <w:r>
        <w:rPr>
          <w:rFonts w:hint="eastAsia" w:ascii="宋体" w:hAnsi="宋体" w:eastAsia="宋体" w:cs="宋体"/>
          <w:b/>
          <w:bCs w:val="0"/>
          <w:color w:val="FF0000"/>
          <w:spacing w:val="-142"/>
          <w:w w:val="33"/>
          <w:sz w:val="130"/>
          <w:szCs w:val="130"/>
          <w:lang w:eastAsia="zh-CN"/>
        </w:rPr>
        <w:t>太仓市</w:t>
      </w:r>
      <w:r>
        <w:rPr>
          <w:rFonts w:hint="eastAsia" w:ascii="宋体" w:hAnsi="宋体" w:eastAsia="宋体" w:cs="宋体"/>
          <w:b/>
          <w:bCs w:val="0"/>
          <w:color w:val="FF0000"/>
          <w:spacing w:val="-142"/>
          <w:w w:val="33"/>
          <w:sz w:val="130"/>
          <w:szCs w:val="130"/>
        </w:rPr>
        <w:t>养老护理和救助安全生产专业委员会</w:t>
      </w:r>
      <w:r>
        <w:rPr>
          <w:rFonts w:hint="eastAsia" w:ascii="宋体" w:hAnsi="宋体" w:eastAsia="宋体" w:cs="宋体"/>
          <w:b/>
          <w:bCs w:val="0"/>
          <w:color w:val="FF0000"/>
          <w:spacing w:val="-142"/>
          <w:w w:val="33"/>
          <w:sz w:val="130"/>
          <w:szCs w:val="130"/>
          <w:lang w:eastAsia="zh-CN"/>
        </w:rPr>
        <w:t>办公室</w:t>
      </w:r>
    </w:p>
    <w:p>
      <w:pPr>
        <w:spacing w:beforeLines="0" w:afterLines="0" w:line="400" w:lineRule="exact"/>
        <w:jc w:val="center"/>
        <w:rPr>
          <w:rFonts w:hint="default" w:ascii="仿宋_GB2312" w:eastAsia="仿宋_GB2312"/>
          <w:sz w:val="32"/>
        </w:rPr>
      </w:pPr>
    </w:p>
    <w:p>
      <w:pPr>
        <w:spacing w:beforeLines="0" w:afterLines="0"/>
        <w:jc w:val="center"/>
        <w:rPr>
          <w:rFonts w:hint="default" w:ascii="仿宋_GB2312" w:eastAsia="仿宋_GB2312"/>
          <w:sz w:val="32"/>
        </w:rPr>
      </w:pPr>
      <w:r>
        <w:rPr>
          <w:rFonts w:hint="eastAsia" w:ascii="仿宋_GB2312" w:eastAsia="仿宋_GB2312"/>
          <w:sz w:val="32"/>
        </w:rPr>
        <w:t>太</w:t>
      </w:r>
      <w:r>
        <w:rPr>
          <w:rFonts w:hint="eastAsia" w:ascii="仿宋_GB2312" w:eastAsia="仿宋_GB2312"/>
          <w:sz w:val="32"/>
          <w:lang w:eastAsia="zh-CN"/>
        </w:rPr>
        <w:t>养救委办</w:t>
      </w:r>
      <w:r>
        <w:rPr>
          <w:rFonts w:hint="eastAsia" w:ascii="仿宋_GB2312" w:eastAsia="仿宋_GB2312"/>
          <w:sz w:val="32"/>
        </w:rPr>
        <w:t>〔20</w:t>
      </w:r>
      <w:r>
        <w:rPr>
          <w:rFonts w:hint="eastAsia" w:ascii="仿宋_GB2312" w:eastAsia="仿宋_GB2312"/>
          <w:sz w:val="32"/>
          <w:lang w:val="en-US" w:eastAsia="zh-CN"/>
        </w:rPr>
        <w:t>21</w:t>
      </w:r>
      <w:r>
        <w:rPr>
          <w:rFonts w:hint="eastAsia" w:ascii="仿宋_GB2312" w:eastAsia="仿宋_GB2312"/>
          <w:sz w:val="32"/>
        </w:rPr>
        <w:t>〕</w:t>
      </w:r>
      <w:r>
        <w:rPr>
          <w:rFonts w:hint="eastAsia" w:ascii="仿宋_GB2312" w:eastAsia="仿宋_GB2312"/>
          <w:sz w:val="32"/>
          <w:lang w:val="en-US" w:eastAsia="zh-CN"/>
        </w:rPr>
        <w:t>1</w:t>
      </w:r>
      <w:r>
        <w:rPr>
          <w:rFonts w:hint="eastAsia" w:ascii="仿宋_GB2312" w:eastAsia="仿宋_GB2312"/>
          <w:sz w:val="32"/>
        </w:rPr>
        <w:t>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大标宋简体" w:hAnsi="方正大标宋简体" w:eastAsia="方正大标宋简体" w:cs="方正大标宋简体"/>
          <w:color w:val="auto"/>
          <w:sz w:val="40"/>
          <w:szCs w:val="40"/>
          <w:lang w:val="en-US" w:eastAsia="zh-CN"/>
        </w:rPr>
      </w:pPr>
      <w:r>
        <w:rPr>
          <w:rFonts w:hint="default" w:eastAsia="仿宋_GB2312"/>
          <w:sz w:val="32"/>
        </w:rPr>
        <mc:AlternateContent>
          <mc:Choice Requires="wps">
            <w:drawing>
              <wp:anchor distT="0" distB="0" distL="114300" distR="114300" simplePos="0" relativeHeight="251658240" behindDoc="0" locked="0" layoutInCell="1" allowOverlap="1">
                <wp:simplePos x="0" y="0"/>
                <wp:positionH relativeFrom="column">
                  <wp:posOffset>-188595</wp:posOffset>
                </wp:positionH>
                <wp:positionV relativeFrom="paragraph">
                  <wp:posOffset>341630</wp:posOffset>
                </wp:positionV>
                <wp:extent cx="5417820" cy="0"/>
                <wp:effectExtent l="0" t="28575" r="11430" b="28575"/>
                <wp:wrapNone/>
                <wp:docPr id="2" name="直接连接符 2"/>
                <wp:cNvGraphicFramePr/>
                <a:graphic xmlns:a="http://schemas.openxmlformats.org/drawingml/2006/main">
                  <a:graphicData uri="http://schemas.microsoft.com/office/word/2010/wordprocessingShape">
                    <wps:wsp>
                      <wps:cNvCnPr/>
                      <wps:spPr>
                        <a:xfrm>
                          <a:off x="0" y="0"/>
                          <a:ext cx="5417820" cy="0"/>
                        </a:xfrm>
                        <a:prstGeom prst="line">
                          <a:avLst/>
                        </a:prstGeom>
                        <a:ln w="571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85pt;margin-top:26.9pt;height:0pt;width:426.6pt;z-index:251658240;mso-width-relative:page;mso-height-relative:page;" filled="f" stroked="t" coordsize="21600,21600" o:gfxdata="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NMpaI1wAAAAkBAAAPAAAAAAAAAAEAIAAAACIAAABkcnMvZG93bnJldi54&#10;bWxQSwECFAAUAAAACACHTuJAZ3M8efsBAADzAwAADgAAAAAAAAABACAAAAAmAQAAZHJzL2Uyb0Rv&#10;Yy54bWxQSwUGAAAAAAYABgBZAQAAkwUAAAAA&#10;">
                <v:fill on="f" focussize="0,0"/>
                <v:stroke weight="4.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方正小标宋_GBK" w:hAnsi="黑体" w:eastAsia="方正小标宋_GBK" w:cs="ä»¿å®‹"/>
          <w:spacing w:val="-2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方正小标宋_GBK" w:hAnsi="黑体" w:eastAsia="方正小标宋_GBK" w:cs="ä»¿å®‹"/>
          <w:spacing w:val="-20"/>
          <w:kern w:val="0"/>
          <w:sz w:val="44"/>
          <w:szCs w:val="44"/>
          <w:lang w:val="en-US" w:eastAsia="zh-CN"/>
        </w:rPr>
      </w:pPr>
      <w:r>
        <w:rPr>
          <w:rFonts w:hint="eastAsia" w:ascii="方正小标宋_GBK" w:hAnsi="黑体" w:eastAsia="方正小标宋_GBK" w:cs="ä»¿å®‹"/>
          <w:spacing w:val="-20"/>
          <w:kern w:val="0"/>
          <w:sz w:val="44"/>
          <w:szCs w:val="44"/>
        </w:rPr>
        <w:t>关于印发</w:t>
      </w:r>
      <w:r>
        <w:rPr>
          <w:rFonts w:hint="eastAsia" w:ascii="方正小标宋_GBK" w:hAnsi="黑体" w:eastAsia="方正小标宋_GBK" w:cs="ä»¿å®‹"/>
          <w:spacing w:val="-20"/>
          <w:kern w:val="0"/>
          <w:sz w:val="44"/>
          <w:szCs w:val="44"/>
          <w:lang w:eastAsia="zh-CN"/>
        </w:rPr>
        <w:t>太仓市</w:t>
      </w:r>
      <w:r>
        <w:rPr>
          <w:rFonts w:hint="eastAsia" w:ascii="方正小标宋_GBK" w:hAnsi="黑体" w:eastAsia="方正小标宋_GBK" w:cs="ä»¿å®‹"/>
          <w:spacing w:val="-20"/>
          <w:kern w:val="0"/>
          <w:sz w:val="44"/>
          <w:szCs w:val="44"/>
          <w:lang w:val="en-US" w:eastAsia="zh-CN"/>
        </w:rPr>
        <w:t>2021年度</w:t>
      </w:r>
      <w:r>
        <w:rPr>
          <w:rFonts w:hint="eastAsia" w:ascii="方正小标宋_GBK" w:hAnsi="黑体" w:eastAsia="方正小标宋_GBK" w:cs="ä»¿å®‹"/>
          <w:spacing w:val="-20"/>
          <w:kern w:val="0"/>
          <w:sz w:val="44"/>
          <w:szCs w:val="44"/>
          <w:lang w:eastAsia="zh-CN"/>
        </w:rPr>
        <w:t>养老服务</w:t>
      </w:r>
      <w:r>
        <w:rPr>
          <w:rFonts w:hint="eastAsia" w:ascii="方正小标宋_GBK" w:hAnsi="黑体" w:eastAsia="方正小标宋_GBK" w:cs="ä»¿å®‹"/>
          <w:spacing w:val="-20"/>
          <w:kern w:val="0"/>
          <w:sz w:val="44"/>
          <w:szCs w:val="44"/>
          <w:lang w:val="en-US" w:eastAsia="zh-CN"/>
        </w:rPr>
        <w:t>领域</w:t>
      </w:r>
    </w:p>
    <w:p>
      <w:pPr>
        <w:keepNext w:val="0"/>
        <w:keepLines w:val="0"/>
        <w:pageBreakBefore w:val="0"/>
        <w:widowControl w:val="0"/>
        <w:kinsoku/>
        <w:wordWrap/>
        <w:overflowPunct/>
        <w:topLinePunct w:val="0"/>
        <w:autoSpaceDE/>
        <w:autoSpaceDN/>
        <w:bidi w:val="0"/>
        <w:adjustRightInd/>
        <w:snapToGrid/>
        <w:spacing w:line="580" w:lineRule="exact"/>
        <w:ind w:firstLine="0"/>
        <w:jc w:val="center"/>
        <w:textAlignment w:val="auto"/>
        <w:rPr>
          <w:rFonts w:hint="eastAsia" w:ascii="方正小标宋_GBK" w:hAnsi="黑体" w:eastAsia="方正小标宋_GBK" w:cs="ä»¿å®‹"/>
          <w:spacing w:val="-20"/>
          <w:kern w:val="0"/>
          <w:sz w:val="44"/>
          <w:szCs w:val="44"/>
        </w:rPr>
      </w:pPr>
      <w:bookmarkStart w:id="0" w:name="_GoBack"/>
      <w:bookmarkEnd w:id="0"/>
      <w:r>
        <w:rPr>
          <w:rFonts w:hint="eastAsia" w:ascii="方正小标宋_GBK" w:hAnsi="黑体" w:eastAsia="方正小标宋_GBK" w:cs="ä»¿å®‹"/>
          <w:spacing w:val="-20"/>
          <w:kern w:val="0"/>
          <w:sz w:val="44"/>
          <w:szCs w:val="44"/>
          <w:lang w:val="en-US" w:eastAsia="zh-CN"/>
        </w:rPr>
        <w:t>安全生产专项整治行动方案</w:t>
      </w:r>
      <w:r>
        <w:rPr>
          <w:rFonts w:hint="eastAsia" w:ascii="方正小标宋_GBK" w:hAnsi="黑体" w:eastAsia="方正小标宋_GBK" w:cs="ä»¿å®‹"/>
          <w:spacing w:val="-20"/>
          <w:kern w:val="0"/>
          <w:sz w:val="44"/>
          <w:szCs w:val="44"/>
          <w:lang w:eastAsia="zh-CN"/>
        </w:rPr>
        <w:t>的</w:t>
      </w:r>
      <w:r>
        <w:rPr>
          <w:rFonts w:hint="eastAsia" w:ascii="方正小标宋_GBK" w:hAnsi="黑体" w:eastAsia="方正小标宋_GBK" w:cs="ä»¿å®‹"/>
          <w:spacing w:val="-20"/>
          <w:kern w:val="0"/>
          <w:sz w:val="44"/>
          <w:szCs w:val="44"/>
        </w:rPr>
        <w:t>通知</w:t>
      </w:r>
    </w:p>
    <w:p>
      <w:pPr>
        <w:keepNext w:val="0"/>
        <w:keepLines w:val="0"/>
        <w:pageBreakBefore w:val="0"/>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r>
        <w:rPr>
          <w:rFonts w:hint="eastAsia" w:ascii="仿宋_GB2312" w:hAnsi="仿宋" w:eastAsia="仿宋_GB2312" w:cs="ä»¿å®‹"/>
          <w:kern w:val="0"/>
          <w:sz w:val="32"/>
          <w:szCs w:val="32"/>
        </w:rPr>
        <w:t>各镇人民政府，太仓港经济技术开发区、太仓高新区、旅游渡假区管委会，科教新城管委会，娄东街道、陆渡街道办事处、各成员单位、市级养老机构：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_GB2312" w:eastAsia="仿宋_GB2312" w:cs="Times New Roman"/>
          <w:sz w:val="32"/>
          <w:szCs w:val="22"/>
          <w:lang w:val="en-US" w:eastAsia="zh-CN"/>
        </w:rPr>
      </w:pPr>
      <w:r>
        <w:rPr>
          <w:rFonts w:hint="eastAsia" w:ascii="仿宋_GB2312" w:hAnsi="??_GB2312" w:eastAsia="仿宋_GB2312" w:cs="Times New Roman"/>
          <w:sz w:val="32"/>
          <w:szCs w:val="22"/>
          <w:lang w:val="en-US" w:eastAsia="zh-CN"/>
        </w:rPr>
        <w:t>为深入贯彻落实2021年安全生产工作部署要求，根据《江苏省深入开展养老等社会服务领域安全生产专项整治行动实施方案》、《苏州市养老服务领域安全生产专项整治工作实施方案》、《关于进一步深化安全生产三年专项整治的工作意见》等相关文件要求，进一步加强养老领域安全隐患整改力度，持续提升我市养老领域安全管理能力。特拟定2021年安全生产全年专项整治行动方案如下：</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黑体" w:hAnsi="黑体" w:eastAsia="黑体"/>
          <w:sz w:val="32"/>
          <w:lang w:val="en-US" w:eastAsia="zh-CN"/>
        </w:rPr>
      </w:pPr>
      <w:r>
        <w:rPr>
          <w:rFonts w:hint="eastAsia" w:ascii="黑体" w:hAnsi="黑体" w:eastAsia="黑体"/>
          <w:sz w:val="32"/>
          <w:lang w:val="en-US" w:eastAsia="zh-CN"/>
        </w:rPr>
        <w:t>一、总体要求</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仿宋_GB2312" w:hAnsi="??_GB2312" w:eastAsia="仿宋_GB2312" w:cs="Times New Roman"/>
          <w:b w:val="0"/>
          <w:bCs w:val="0"/>
          <w:sz w:val="32"/>
          <w:szCs w:val="22"/>
          <w:lang w:val="en-US" w:eastAsia="zh-CN"/>
        </w:rPr>
      </w:pPr>
      <w:r>
        <w:rPr>
          <w:rFonts w:hint="default" w:ascii="仿宋_GB2312" w:hAnsi="??_GB2312" w:eastAsia="仿宋_GB2312" w:cs="Times New Roman"/>
          <w:b w:val="0"/>
          <w:bCs w:val="0"/>
          <w:sz w:val="32"/>
          <w:szCs w:val="22"/>
          <w:lang w:val="en-US" w:eastAsia="zh-CN"/>
        </w:rPr>
        <w:t>以“清隐患、防风险，补短板、促达标，提质量”为主要任务，着力防范和化解养老服务领域重大风险</w:t>
      </w:r>
      <w:r>
        <w:rPr>
          <w:rFonts w:hint="eastAsia" w:ascii="仿宋_GB2312" w:hAnsi="??_GB2312" w:eastAsia="仿宋_GB2312" w:cs="Times New Roman"/>
          <w:b w:val="0"/>
          <w:bCs w:val="0"/>
          <w:sz w:val="32"/>
          <w:szCs w:val="22"/>
          <w:lang w:val="en-US" w:eastAsia="zh-CN"/>
        </w:rPr>
        <w:t>。</w:t>
      </w:r>
      <w:r>
        <w:rPr>
          <w:rFonts w:hint="default" w:ascii="仿宋_GB2312" w:hAnsi="??_GB2312" w:eastAsia="仿宋_GB2312" w:cs="Times New Roman"/>
          <w:b w:val="0"/>
          <w:bCs w:val="0"/>
          <w:sz w:val="32"/>
          <w:szCs w:val="22"/>
          <w:lang w:val="en-US" w:eastAsia="zh-CN"/>
        </w:rPr>
        <w:t>实现</w:t>
      </w:r>
      <w:r>
        <w:rPr>
          <w:rFonts w:hint="eastAsia" w:ascii="仿宋_GB2312" w:hAnsi="??_GB2312" w:eastAsia="仿宋_GB2312" w:cs="Times New Roman"/>
          <w:b w:val="0"/>
          <w:bCs w:val="0"/>
          <w:sz w:val="32"/>
          <w:szCs w:val="22"/>
          <w:lang w:val="en-US" w:eastAsia="zh-CN"/>
        </w:rPr>
        <w:t>全市</w:t>
      </w:r>
      <w:r>
        <w:rPr>
          <w:rFonts w:hint="default" w:ascii="仿宋_GB2312" w:hAnsi="??_GB2312" w:eastAsia="仿宋_GB2312" w:cs="Times New Roman"/>
          <w:b w:val="0"/>
          <w:bCs w:val="0"/>
          <w:sz w:val="32"/>
          <w:szCs w:val="22"/>
          <w:lang w:val="en-US" w:eastAsia="zh-CN"/>
        </w:rPr>
        <w:t>养老服务</w:t>
      </w:r>
      <w:r>
        <w:rPr>
          <w:rFonts w:hint="eastAsia" w:ascii="仿宋_GB2312" w:hAnsi="??_GB2312" w:eastAsia="仿宋_GB2312" w:cs="Times New Roman"/>
          <w:b w:val="0"/>
          <w:bCs w:val="0"/>
          <w:sz w:val="32"/>
          <w:szCs w:val="22"/>
          <w:lang w:val="en-US" w:eastAsia="zh-CN"/>
        </w:rPr>
        <w:t>领域安全</w:t>
      </w:r>
      <w:r>
        <w:rPr>
          <w:rFonts w:hint="default" w:ascii="仿宋_GB2312" w:hAnsi="??_GB2312" w:eastAsia="仿宋_GB2312" w:cs="Times New Roman"/>
          <w:b w:val="0"/>
          <w:bCs w:val="0"/>
          <w:sz w:val="32"/>
          <w:szCs w:val="22"/>
          <w:lang w:val="en-US" w:eastAsia="zh-CN"/>
        </w:rPr>
        <w:t>隐患排查100%</w:t>
      </w:r>
      <w:r>
        <w:rPr>
          <w:rFonts w:hint="eastAsia" w:ascii="仿宋_GB2312" w:hAnsi="??_GB2312" w:eastAsia="仿宋_GB2312" w:cs="Times New Roman"/>
          <w:b w:val="0"/>
          <w:bCs w:val="0"/>
          <w:sz w:val="32"/>
          <w:szCs w:val="22"/>
          <w:lang w:val="en-US" w:eastAsia="zh-CN"/>
        </w:rPr>
        <w:t>，掌握所有养老服务领域存在的消防等安全隐患；实现</w:t>
      </w:r>
      <w:r>
        <w:rPr>
          <w:rFonts w:hint="default" w:ascii="仿宋_GB2312" w:hAnsi="??_GB2312" w:eastAsia="仿宋_GB2312" w:cs="Times New Roman"/>
          <w:b w:val="0"/>
          <w:bCs w:val="0"/>
          <w:sz w:val="32"/>
          <w:szCs w:val="22"/>
          <w:lang w:val="en-US" w:eastAsia="zh-CN"/>
        </w:rPr>
        <w:t>整改方案</w:t>
      </w:r>
      <w:r>
        <w:rPr>
          <w:rFonts w:hint="eastAsia" w:ascii="仿宋_GB2312" w:hAnsi="??_GB2312" w:eastAsia="仿宋_GB2312" w:cs="Times New Roman"/>
          <w:b w:val="0"/>
          <w:bCs w:val="0"/>
          <w:sz w:val="32"/>
          <w:szCs w:val="22"/>
          <w:lang w:val="en-US" w:eastAsia="zh-CN"/>
        </w:rPr>
        <w:t>制定100%，根据安全工作中存在的问题隐患，逐家制订针对性整改方案，实行“一院一策”；实现设施设备达标100%，</w:t>
      </w:r>
      <w:r>
        <w:rPr>
          <w:rFonts w:hint="default" w:ascii="仿宋_GB2312" w:hAnsi="??_GB2312" w:eastAsia="仿宋_GB2312" w:cs="Times New Roman"/>
          <w:b w:val="0"/>
          <w:bCs w:val="0"/>
          <w:sz w:val="32"/>
          <w:szCs w:val="22"/>
          <w:lang w:val="en-US" w:eastAsia="zh-CN"/>
        </w:rPr>
        <w:t>消防安全设施功能运转正常，</w:t>
      </w:r>
      <w:r>
        <w:rPr>
          <w:rFonts w:hint="eastAsia" w:ascii="仿宋_GB2312" w:hAnsi="??_GB2312" w:eastAsia="仿宋_GB2312" w:cs="Times New Roman"/>
          <w:b w:val="0"/>
          <w:bCs w:val="0"/>
          <w:sz w:val="32"/>
          <w:szCs w:val="22"/>
          <w:lang w:val="en-US" w:eastAsia="zh-CN"/>
        </w:rPr>
        <w:t>食品卫生符合标准</w:t>
      </w:r>
      <w:r>
        <w:rPr>
          <w:rFonts w:hint="default" w:ascii="仿宋_GB2312" w:hAnsi="??_GB2312" w:eastAsia="仿宋_GB2312" w:cs="Times New Roman"/>
          <w:b w:val="0"/>
          <w:bCs w:val="0"/>
          <w:sz w:val="32"/>
          <w:szCs w:val="22"/>
          <w:lang w:val="en-US" w:eastAsia="zh-CN"/>
        </w:rPr>
        <w:t>，环境安全显著改善，服务质量进一步提升</w:t>
      </w:r>
      <w:r>
        <w:rPr>
          <w:rFonts w:hint="eastAsia" w:ascii="仿宋_GB2312" w:hAnsi="??_GB2312" w:eastAsia="仿宋_GB2312" w:cs="Times New Roman"/>
          <w:b w:val="0"/>
          <w:bCs w:val="0"/>
          <w:sz w:val="32"/>
          <w:szCs w:val="22"/>
          <w:lang w:val="en-US" w:eastAsia="zh-CN"/>
        </w:rPr>
        <w:t>；实现整治到位100%，</w:t>
      </w:r>
      <w:r>
        <w:rPr>
          <w:rFonts w:hint="default" w:ascii="仿宋_GB2312" w:hAnsi="??_GB2312" w:eastAsia="仿宋_GB2312" w:cs="Times New Roman"/>
          <w:b w:val="0"/>
          <w:bCs w:val="0"/>
          <w:sz w:val="32"/>
          <w:szCs w:val="22"/>
          <w:lang w:val="en-US" w:eastAsia="zh-CN"/>
        </w:rPr>
        <w:t>对违法违规、不符合安全生产标准以及存在重大事故隐患的养老</w:t>
      </w:r>
      <w:r>
        <w:rPr>
          <w:rFonts w:hint="eastAsia" w:ascii="仿宋_GB2312" w:hAnsi="??_GB2312" w:eastAsia="仿宋_GB2312" w:cs="Times New Roman"/>
          <w:b w:val="0"/>
          <w:bCs w:val="0"/>
          <w:sz w:val="32"/>
          <w:szCs w:val="22"/>
          <w:lang w:val="en-US" w:eastAsia="zh-CN"/>
        </w:rPr>
        <w:t>机构及日间照料中心</w:t>
      </w:r>
      <w:r>
        <w:rPr>
          <w:rFonts w:hint="default" w:ascii="仿宋_GB2312" w:hAnsi="??_GB2312" w:eastAsia="仿宋_GB2312" w:cs="Times New Roman"/>
          <w:b w:val="0"/>
          <w:bCs w:val="0"/>
          <w:sz w:val="32"/>
          <w:szCs w:val="22"/>
          <w:lang w:val="en-US" w:eastAsia="zh-CN"/>
        </w:rPr>
        <w:t>，依法整治到位，坚决遏制重特大事故发生</w:t>
      </w:r>
      <w:r>
        <w:rPr>
          <w:rFonts w:hint="eastAsia" w:ascii="仿宋_GB2312" w:hAnsi="??_GB2312" w:eastAsia="仿宋_GB2312" w:cs="Times New Roman"/>
          <w:b w:val="0"/>
          <w:bCs w:val="0"/>
          <w:sz w:val="32"/>
          <w:szCs w:val="22"/>
          <w:lang w:val="en-US" w:eastAsia="zh-CN"/>
        </w:rPr>
        <w:t>，</w:t>
      </w:r>
      <w:r>
        <w:rPr>
          <w:rFonts w:hint="default" w:ascii="仿宋_GB2312" w:hAnsi="??_GB2312" w:eastAsia="仿宋_GB2312" w:cs="Times New Roman"/>
          <w:b w:val="0"/>
          <w:bCs w:val="0"/>
          <w:sz w:val="32"/>
          <w:szCs w:val="22"/>
          <w:lang w:val="en-US" w:eastAsia="zh-CN"/>
        </w:rPr>
        <w:t>确保</w:t>
      </w:r>
      <w:r>
        <w:rPr>
          <w:rFonts w:hint="eastAsia" w:ascii="仿宋_GB2312" w:hAnsi="??_GB2312" w:eastAsia="仿宋_GB2312" w:cs="Times New Roman"/>
          <w:b w:val="0"/>
          <w:bCs w:val="0"/>
          <w:sz w:val="32"/>
          <w:szCs w:val="22"/>
          <w:lang w:val="en-US" w:eastAsia="zh-CN"/>
        </w:rPr>
        <w:t>2021年</w:t>
      </w:r>
      <w:r>
        <w:rPr>
          <w:rFonts w:hint="default" w:ascii="仿宋_GB2312" w:hAnsi="??_GB2312" w:eastAsia="仿宋_GB2312" w:cs="Times New Roman"/>
          <w:b w:val="0"/>
          <w:bCs w:val="0"/>
          <w:sz w:val="32"/>
          <w:szCs w:val="22"/>
          <w:lang w:val="en-US" w:eastAsia="zh-CN"/>
        </w:rPr>
        <w:t>我</w:t>
      </w:r>
      <w:r>
        <w:rPr>
          <w:rFonts w:hint="eastAsia" w:ascii="仿宋_GB2312" w:hAnsi="??_GB2312" w:eastAsia="仿宋_GB2312" w:cs="Times New Roman"/>
          <w:b w:val="0"/>
          <w:bCs w:val="0"/>
          <w:sz w:val="32"/>
          <w:szCs w:val="22"/>
          <w:lang w:val="en-US" w:eastAsia="zh-CN"/>
        </w:rPr>
        <w:t>市</w:t>
      </w:r>
      <w:r>
        <w:rPr>
          <w:rFonts w:hint="default" w:ascii="仿宋_GB2312" w:hAnsi="??_GB2312" w:eastAsia="仿宋_GB2312" w:cs="Times New Roman"/>
          <w:b w:val="0"/>
          <w:bCs w:val="0"/>
          <w:sz w:val="32"/>
          <w:szCs w:val="22"/>
          <w:lang w:val="en-US" w:eastAsia="zh-CN"/>
        </w:rPr>
        <w:t>养老</w:t>
      </w:r>
      <w:r>
        <w:rPr>
          <w:rFonts w:hint="eastAsia" w:ascii="仿宋_GB2312" w:hAnsi="??_GB2312" w:eastAsia="仿宋_GB2312" w:cs="Times New Roman"/>
          <w:b w:val="0"/>
          <w:bCs w:val="0"/>
          <w:sz w:val="32"/>
          <w:szCs w:val="22"/>
          <w:lang w:val="en-US" w:eastAsia="zh-CN"/>
        </w:rPr>
        <w:t>服务领域</w:t>
      </w:r>
      <w:r>
        <w:rPr>
          <w:rFonts w:hint="default" w:ascii="仿宋_GB2312" w:hAnsi="??_GB2312" w:eastAsia="仿宋_GB2312" w:cs="Times New Roman"/>
          <w:b w:val="0"/>
          <w:bCs w:val="0"/>
          <w:sz w:val="32"/>
          <w:szCs w:val="22"/>
          <w:lang w:val="en-US" w:eastAsia="zh-CN"/>
        </w:rPr>
        <w:t>安全有序运行。</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黑体" w:hAnsi="黑体" w:eastAsia="黑体"/>
          <w:sz w:val="32"/>
        </w:rPr>
      </w:pPr>
      <w:r>
        <w:rPr>
          <w:rFonts w:hint="eastAsia" w:ascii="黑体" w:hAnsi="黑体" w:eastAsia="黑体"/>
          <w:sz w:val="32"/>
        </w:rPr>
        <w:t>二、行动时间</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仿宋_GB2312" w:hAnsi="??_GB2312" w:eastAsia="仿宋_GB2312" w:cs="Times New Roman"/>
          <w:sz w:val="32"/>
          <w:szCs w:val="22"/>
        </w:rPr>
      </w:pPr>
      <w:r>
        <w:rPr>
          <w:rFonts w:hint="eastAsia" w:ascii="仿宋_GB2312" w:hAnsi="??_GB2312" w:eastAsia="仿宋_GB2312" w:cs="Times New Roman"/>
          <w:sz w:val="32"/>
          <w:szCs w:val="22"/>
        </w:rPr>
        <w:t>即日起至</w:t>
      </w:r>
      <w:r>
        <w:rPr>
          <w:rFonts w:hint="eastAsia" w:ascii="仿宋_GB2312" w:hAnsi="??_GB2312" w:eastAsia="仿宋_GB2312" w:cs="Times New Roman"/>
          <w:sz w:val="32"/>
          <w:szCs w:val="22"/>
          <w:lang w:val="en-US" w:eastAsia="zh-CN"/>
        </w:rPr>
        <w:t>2021年12</w:t>
      </w:r>
      <w:r>
        <w:rPr>
          <w:rFonts w:hint="eastAsia" w:ascii="仿宋_GB2312" w:hAnsi="??_GB2312" w:eastAsia="仿宋_GB2312" w:cs="Times New Roman"/>
          <w:sz w:val="32"/>
          <w:szCs w:val="22"/>
        </w:rPr>
        <w:t>月31日</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黑体" w:hAnsi="黑体" w:eastAsia="黑体"/>
          <w:sz w:val="32"/>
        </w:rPr>
      </w:pPr>
      <w:r>
        <w:rPr>
          <w:rFonts w:hint="eastAsia" w:ascii="黑体" w:hAnsi="黑体" w:eastAsia="黑体"/>
          <w:sz w:val="32"/>
        </w:rPr>
        <w:t>三、具体任务</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eastAsia" w:ascii="楷体_GB2312" w:hAnsi="??_GB2312" w:eastAsia="楷体_GB2312" w:cs="Times New Roman"/>
          <w:color w:val="auto"/>
          <w:sz w:val="32"/>
          <w:szCs w:val="22"/>
          <w:lang w:val="en-US" w:eastAsia="zh-CN"/>
        </w:rPr>
      </w:pPr>
      <w:r>
        <w:rPr>
          <w:rFonts w:hint="eastAsia" w:ascii="楷体_GB2312" w:hAnsi="??_GB2312" w:eastAsia="楷体_GB2312" w:cs="Times New Roman"/>
          <w:color w:val="auto"/>
          <w:sz w:val="32"/>
          <w:szCs w:val="22"/>
          <w:lang w:val="en-US" w:eastAsia="zh-CN"/>
        </w:rPr>
        <w:t>（一）完善养老</w:t>
      </w:r>
      <w:r>
        <w:rPr>
          <w:rFonts w:hint="default" w:ascii="楷体_GB2312" w:hAnsi="??_GB2312" w:eastAsia="楷体_GB2312" w:cs="Times New Roman"/>
          <w:color w:val="auto"/>
          <w:sz w:val="32"/>
          <w:szCs w:val="22"/>
          <w:lang w:val="en-US" w:eastAsia="zh-CN"/>
        </w:rPr>
        <w:t>安全</w:t>
      </w:r>
      <w:r>
        <w:rPr>
          <w:rFonts w:hint="eastAsia" w:ascii="楷体_GB2312" w:hAnsi="??_GB2312" w:eastAsia="楷体_GB2312" w:cs="Times New Roman"/>
          <w:color w:val="auto"/>
          <w:sz w:val="32"/>
          <w:szCs w:val="22"/>
          <w:lang w:val="en-US" w:eastAsia="zh-CN"/>
        </w:rPr>
        <w:t>工作</w:t>
      </w:r>
      <w:r>
        <w:rPr>
          <w:rFonts w:hint="default" w:ascii="楷体_GB2312" w:hAnsi="??_GB2312" w:eastAsia="楷体_GB2312" w:cs="Times New Roman"/>
          <w:color w:val="auto"/>
          <w:sz w:val="32"/>
          <w:szCs w:val="22"/>
          <w:lang w:val="en-US" w:eastAsia="zh-CN"/>
        </w:rPr>
        <w:t>预警</w:t>
      </w:r>
      <w:r>
        <w:rPr>
          <w:rFonts w:hint="eastAsia" w:ascii="楷体_GB2312" w:hAnsi="??_GB2312" w:eastAsia="楷体_GB2312" w:cs="Times New Roman"/>
          <w:color w:val="auto"/>
          <w:sz w:val="32"/>
          <w:szCs w:val="22"/>
          <w:lang w:val="en-US" w:eastAsia="zh-CN"/>
        </w:rPr>
        <w:t>机制。</w:t>
      </w:r>
      <w:r>
        <w:rPr>
          <w:rFonts w:hint="eastAsia" w:ascii="仿宋_GB2312" w:hAnsi="??_GB2312" w:eastAsia="仿宋_GB2312" w:cs="Times New Roman"/>
          <w:sz w:val="32"/>
          <w:szCs w:val="22"/>
          <w:lang w:val="en-US" w:eastAsia="zh-CN"/>
        </w:rPr>
        <w:t>建立完善养老安全工作例会制度，由市民政局每季度召开一次安全例会，通报全市养老服务领域安全管理情况，分析存在突出问题，研究部署下一阶段安全工作任务；各镇、区（街道）应建立月度安全例会制度，研判辖区内养老服务领域安全生产形势、部署当月安全生产工作任务、推动重大事故隐患整改落实。</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default" w:ascii="仿宋_GB2312" w:hAnsi="??_GB2312" w:eastAsia="仿宋_GB2312" w:cs="Times New Roman"/>
          <w:sz w:val="32"/>
          <w:szCs w:val="22"/>
          <w:lang w:val="en-US" w:eastAsia="zh-CN"/>
        </w:rPr>
      </w:pPr>
      <w:r>
        <w:rPr>
          <w:rFonts w:hint="eastAsia" w:ascii="楷体_GB2312" w:hAnsi="??_GB2312" w:eastAsia="楷体_GB2312" w:cs="Times New Roman"/>
          <w:color w:val="auto"/>
          <w:sz w:val="32"/>
          <w:szCs w:val="22"/>
          <w:lang w:val="en-US" w:eastAsia="zh-CN"/>
        </w:rPr>
        <w:t>（二）健全养老综合监管体系。</w:t>
      </w:r>
      <w:r>
        <w:rPr>
          <w:rFonts w:hint="eastAsia" w:ascii="仿宋_GB2312" w:hAnsi="仿宋_GB2312" w:eastAsia="仿宋_GB2312" w:cs="仿宋_GB2312"/>
          <w:sz w:val="32"/>
          <w:szCs w:val="32"/>
          <w:lang w:val="en-US" w:eastAsia="zh-CN"/>
        </w:rPr>
        <w:t>优化“1+3”综合监管。增强“养老服务科+指导中心+行业协会+属地”“四位一体”的养老服务监管机制，建立全流程闭环式养老服务监管工作体系。同时完善镇区养老“综合体”功能定位，明确职责任务，提高监管效能，增强应急响应和救援能力，坚决防范遏制重特大事故，</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eastAsia" w:ascii="楷体_GB2312" w:hAnsi="??_GB2312" w:eastAsia="楷体_GB2312" w:cs="Times New Roman"/>
          <w:color w:val="auto"/>
          <w:sz w:val="32"/>
          <w:szCs w:val="22"/>
          <w:lang w:val="en-US" w:eastAsia="zh-CN"/>
        </w:rPr>
        <w:t>（三）加大各类安全检查力度。</w:t>
      </w:r>
      <w:r>
        <w:rPr>
          <w:rFonts w:hint="eastAsia" w:ascii="仿宋_GB2312" w:hAnsi="??_GB2312" w:eastAsia="仿宋_GB2312" w:cs="Times New Roman"/>
          <w:sz w:val="32"/>
          <w:szCs w:val="22"/>
          <w:lang w:val="en-US" w:eastAsia="zh-CN"/>
        </w:rPr>
        <w:t>各镇、区（街道）指导辖区内养老服务机构针对《全国养老院服务质量大检查指南》中28项指标涉及养老机构服务中的重大风险隐患，每月开展安全隐患排查，列出本区域内养老机构隐患清单。市民政局联合消防、卫生、市场监督等部门组成联合检查组，每季度对全市养老服务领域安全隐患排查和整治情况进行检查。在常规检查基础上，加大抽查力度，重点通过查看台账、实地查验、现场座谈等形式对各组织机构整改落实情况进行体检考核，对整改措施不到位、基础指标多次整改不达标的，市民政局将予以通报。</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eastAsia" w:ascii="楷体_GB2312" w:hAnsi="??_GB2312" w:eastAsia="楷体_GB2312" w:cs="Times New Roman"/>
          <w:sz w:val="32"/>
          <w:szCs w:val="22"/>
          <w:lang w:val="en-US" w:eastAsia="zh-CN"/>
        </w:rPr>
        <w:t>（四）开展安全知识宣传。</w:t>
      </w:r>
      <w:r>
        <w:rPr>
          <w:rFonts w:hint="eastAsia" w:ascii="仿宋_GB2312" w:hAnsi="??_GB2312" w:eastAsia="仿宋_GB2312" w:cs="Times New Roman"/>
          <w:sz w:val="32"/>
          <w:szCs w:val="22"/>
          <w:lang w:val="en-US" w:eastAsia="zh-CN"/>
        </w:rPr>
        <w:t>各镇、区（街道）要重点围绕上级部门关于加强安全生产工作的重大决策部署，立足落实安全责任，普及养老机构安全生产知识，结合养老机构百条安全知识口袋书内容，组织辖区内养老服务机构及日间照料中心组织大学习、大比拼、大竞赛活动；开展安全知识集中宣传，指导辖区内养老服务机构及日间照料中心利用宣传栏、多媒体等形式开展消防安全和安全生产知识宣传教育；各养老服务机构至少设置1个安全宣传点（专栏），向入住老年人宣传防火和逃生自救知识。市民政局将在全市举办养老机构安全知识竞赛，并对养老季候从业人员和服务对象开展安全知识抽查。</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eastAsia" w:ascii="楷体_GB2312" w:hAnsi="??_GB2312" w:eastAsia="楷体_GB2312" w:cs="Times New Roman"/>
          <w:sz w:val="32"/>
          <w:szCs w:val="22"/>
          <w:lang w:val="en-US" w:eastAsia="zh-CN"/>
        </w:rPr>
        <w:t>（五）组织安全能力提升培训。</w:t>
      </w:r>
      <w:r>
        <w:rPr>
          <w:rFonts w:hint="eastAsia" w:ascii="仿宋_GB2312" w:hAnsi="??_GB2312" w:eastAsia="仿宋_GB2312" w:cs="Times New Roman"/>
          <w:sz w:val="32"/>
          <w:szCs w:val="22"/>
          <w:lang w:val="en-US" w:eastAsia="zh-CN"/>
        </w:rPr>
        <w:t>市民政局全年拟分两期组织全市养老服务领域等业务骨干进行服务质量提升、安全风险防控技能培训，针对养老服务领域等消防安全责任人以及护理、食堂等从业人员开展一次相应安全知识培训，进一步提升全市养老领域的服务质量与安全防控水平；各养老服务机构要落实对从业人员岗前培训和每月培训制度，每半年至少组织工作人员、服务对象开展一次灭火和应急疏散演练，保证从业人员具备必要的消防安全知识，熟悉安全生产规章制度和操作规程，掌握岗位操作技能和应急处置措施。</w:t>
      </w:r>
    </w:p>
    <w:p>
      <w:pPr>
        <w:keepNext w:val="0"/>
        <w:keepLines w:val="0"/>
        <w:widowControl/>
        <w:suppressLineNumbers w:val="0"/>
        <w:ind w:firstLine="640" w:firstLineChars="200"/>
        <w:jc w:val="left"/>
        <w:rPr>
          <w:rFonts w:hint="default" w:ascii="仿宋_GB2312" w:hAnsi="??_GB2312" w:eastAsia="仿宋_GB2312" w:cs="Times New Roman"/>
          <w:sz w:val="32"/>
          <w:szCs w:val="22"/>
          <w:lang w:val="en-US" w:eastAsia="zh-CN"/>
        </w:rPr>
      </w:pPr>
      <w:r>
        <w:rPr>
          <w:rFonts w:hint="eastAsia" w:ascii="楷体_GB2312" w:hAnsi="??_GB2312" w:eastAsia="楷体_GB2312" w:cs="Times New Roman"/>
          <w:sz w:val="32"/>
          <w:szCs w:val="22"/>
          <w:lang w:val="en-US" w:eastAsia="zh-CN"/>
        </w:rPr>
        <w:t>（六）健全完善安全隐患排查治理机制。</w:t>
      </w:r>
      <w:r>
        <w:rPr>
          <w:rFonts w:hint="eastAsia" w:ascii="仿宋_GB2312" w:hAnsi="??_GB2312" w:eastAsia="仿宋_GB2312" w:cs="Times New Roman"/>
          <w:sz w:val="32"/>
          <w:szCs w:val="22"/>
          <w:lang w:val="en-US" w:eastAsia="zh-CN"/>
        </w:rPr>
        <w:t>建立健全以风险辨识管控为基础的隐患排查治理制度，制定符合实际的隐患排查治理清单，完善隐患排查、治理、记录、通报、报告等重点环节的程序、方法和标准，明确和细化隐患排查的事项、内容和频次，并将责任逐一分解落实，推动全员参与自主排查隐患;定期组织专家或委托第三方技术服务领域开展安全检测和检查，尤其是对存在重大风险的场所、部位、环节的隐患排查;要按照有关规定，及时通过安全生产平台APP上传风险管控和隐患排查治理情况，并向市民政局进行报告。制定并实施严格的隐患治理方案，做到责任、措施、资金、时限和预案“五到位”，实现闭环管理。</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eastAsia" w:ascii="楷体_GB2312" w:hAnsi="??_GB2312" w:eastAsia="楷体_GB2312" w:cs="Times New Roman"/>
          <w:sz w:val="32"/>
          <w:szCs w:val="22"/>
          <w:lang w:val="en-US" w:eastAsia="zh-CN"/>
        </w:rPr>
        <w:t>（七）加强安全档案资料管理。</w:t>
      </w:r>
      <w:r>
        <w:rPr>
          <w:rFonts w:hint="eastAsia" w:ascii="仿宋_GB2312" w:hAnsi="??_GB2312" w:eastAsia="仿宋_GB2312" w:cs="Times New Roman"/>
          <w:sz w:val="32"/>
          <w:szCs w:val="22"/>
          <w:lang w:val="en-US" w:eastAsia="zh-CN"/>
        </w:rPr>
        <w:t>分析当前实际情况，结合养老机构未来发展趋势和方向，逐步完善养老机构的档案管理制度,明确归档范围、保管时限以及细化档案的生成过程。加强信息化档案管理，最大限度地保障养老院各项安全档案资料管理完整有序，通过规范管理进一步提升养老院档案管理的整体水平。</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eastAsia" w:ascii="楷体_GB2312" w:hAnsi="??_GB2312" w:eastAsia="楷体_GB2312" w:cs="Times New Roman"/>
          <w:sz w:val="32"/>
          <w:szCs w:val="22"/>
          <w:lang w:val="en-US" w:eastAsia="zh-CN"/>
        </w:rPr>
        <w:t>（八）推进养老机构贯标工作</w:t>
      </w:r>
      <w:r>
        <w:rPr>
          <w:rFonts w:hint="eastAsia" w:ascii="仿宋_GB2312" w:hAnsi="??_GB2312" w:eastAsia="仿宋_GB2312" w:cs="Times New Roman"/>
          <w:sz w:val="32"/>
          <w:szCs w:val="22"/>
          <w:lang w:val="en-US" w:eastAsia="zh-CN"/>
        </w:rPr>
        <w:t>。深入宣传贯彻国家、市各级养老行业标准，着重抓好《养老机构服务安全基本规范》强制性国家标准实施准备工作，鼓励养老服务机构制定高于国家、行业或地方标准的企业标准。市民政局联合相关部门强化对全市养老机构的分类指导，各镇、区（街道）加强对本区域内养老机构开展贯标工作的督促引导，各养老服务机构认真做好对标学习，贯标执行工作，进一步规范提供安全优质的服务，同时，</w:t>
      </w:r>
      <w:r>
        <w:rPr>
          <w:rFonts w:hint="eastAsia" w:ascii="仿宋_GB2312" w:hAnsi="宋体" w:eastAsia="仿宋_GB2312" w:cs="仿宋_GB2312"/>
          <w:color w:val="000000"/>
          <w:kern w:val="0"/>
          <w:sz w:val="31"/>
          <w:szCs w:val="31"/>
          <w:lang w:val="en-US" w:eastAsia="zh-CN" w:bidi="ar"/>
        </w:rPr>
        <w:t>根据《太仓市餐饮质量安全提升行动》，推动全市9家养老机构完成“明厨亮灶”改造建设</w:t>
      </w:r>
      <w:r>
        <w:rPr>
          <w:rFonts w:hint="default" w:ascii="仿宋_GB2312" w:hAnsi="宋体" w:eastAsia="仿宋_GB2312" w:cs="仿宋_GB2312"/>
          <w:color w:val="000000"/>
          <w:kern w:val="0"/>
          <w:sz w:val="31"/>
          <w:szCs w:val="31"/>
          <w:lang w:val="en-US" w:eastAsia="zh-CN" w:bidi="ar"/>
        </w:rPr>
        <w:t>,</w:t>
      </w:r>
      <w:r>
        <w:rPr>
          <w:rFonts w:hint="eastAsia" w:ascii="仿宋_GB2312" w:hAnsi="??_GB2312" w:eastAsia="仿宋_GB2312" w:cs="Times New Roman"/>
          <w:sz w:val="32"/>
          <w:szCs w:val="22"/>
          <w:lang w:val="en-US" w:eastAsia="zh-CN"/>
        </w:rPr>
        <w:t>实现在《养老机构服务安全基本规范》生效实施前通过整治全面达标，守好养老机构安全服务“红线”。</w:t>
      </w:r>
    </w:p>
    <w:p>
      <w:pPr>
        <w:keepNext w:val="0"/>
        <w:keepLines w:val="0"/>
        <w:pageBreakBefore w:val="0"/>
        <w:kinsoku/>
        <w:wordWrap/>
        <w:overflowPunct/>
        <w:topLinePunct w:val="0"/>
        <w:autoSpaceDE/>
        <w:autoSpaceDN/>
        <w:bidi w:val="0"/>
        <w:adjustRightInd/>
        <w:spacing w:beforeLines="0" w:afterLines="0" w:line="580" w:lineRule="exact"/>
        <w:ind w:firstLine="640" w:firstLineChars="200"/>
        <w:textAlignment w:val="auto"/>
        <w:rPr>
          <w:rFonts w:hint="eastAsia" w:ascii="黑体" w:hAnsi="黑体" w:eastAsia="黑体"/>
          <w:sz w:val="32"/>
          <w:lang w:val="en-US" w:eastAsia="zh-CN"/>
        </w:rPr>
      </w:pPr>
      <w:r>
        <w:rPr>
          <w:rFonts w:hint="eastAsia" w:ascii="黑体" w:hAnsi="黑体" w:eastAsia="黑体"/>
          <w:sz w:val="32"/>
          <w:lang w:val="en-US" w:eastAsia="zh-CN"/>
        </w:rPr>
        <w:t>三、工作要求</w:t>
      </w:r>
    </w:p>
    <w:p>
      <w:pPr>
        <w:keepNext w:val="0"/>
        <w:keepLines w:val="0"/>
        <w:pageBreakBefore w:val="0"/>
        <w:widowControl w:val="0"/>
        <w:kinsoku/>
        <w:wordWrap/>
        <w:overflowPunct/>
        <w:topLinePunct w:val="0"/>
        <w:autoSpaceDE/>
        <w:autoSpaceDN/>
        <w:bidi w:val="0"/>
        <w:adjustRightInd/>
        <w:snapToGrid/>
        <w:spacing w:line="580" w:lineRule="exact"/>
        <w:ind w:firstLine="0"/>
        <w:jc w:val="left"/>
        <w:textAlignment w:val="auto"/>
        <w:rPr>
          <w:rFonts w:hint="default" w:ascii="仿宋_GB2312" w:hAnsi="??_GB2312" w:eastAsia="仿宋_GB2312" w:cs="Times New Roman"/>
          <w:sz w:val="32"/>
          <w:szCs w:val="22"/>
          <w:lang w:val="en-US" w:eastAsia="zh-CN"/>
        </w:rPr>
      </w:pPr>
      <w:r>
        <w:rPr>
          <w:rFonts w:hint="default" w:ascii="楷体_GB2312" w:hAnsi="??_GB2312" w:eastAsia="楷体_GB2312" w:cs="Times New Roman"/>
          <w:sz w:val="32"/>
          <w:szCs w:val="22"/>
          <w:lang w:val="en-US" w:eastAsia="zh-CN"/>
        </w:rPr>
        <w:t>（一）强化组织领导。</w:t>
      </w:r>
      <w:r>
        <w:rPr>
          <w:rFonts w:hint="default" w:ascii="仿宋_GB2312" w:hAnsi="??_GB2312" w:eastAsia="仿宋_GB2312" w:cs="Times New Roman"/>
          <w:sz w:val="32"/>
          <w:szCs w:val="22"/>
          <w:lang w:val="en-US" w:eastAsia="zh-CN"/>
        </w:rPr>
        <w:t>养老服务</w:t>
      </w:r>
      <w:r>
        <w:rPr>
          <w:rFonts w:hint="eastAsia" w:ascii="仿宋_GB2312" w:hAnsi="??_GB2312" w:eastAsia="仿宋_GB2312" w:cs="Times New Roman"/>
          <w:sz w:val="32"/>
          <w:szCs w:val="22"/>
          <w:lang w:val="en-US" w:eastAsia="zh-CN"/>
        </w:rPr>
        <w:t>领域</w:t>
      </w:r>
      <w:r>
        <w:rPr>
          <w:rFonts w:hint="default" w:ascii="仿宋_GB2312" w:hAnsi="??_GB2312" w:eastAsia="仿宋_GB2312" w:cs="Times New Roman"/>
          <w:sz w:val="32"/>
          <w:szCs w:val="22"/>
          <w:lang w:val="en-US" w:eastAsia="zh-CN"/>
        </w:rPr>
        <w:t>是典型的人员密集场所，部分养老服务</w:t>
      </w:r>
      <w:r>
        <w:rPr>
          <w:rFonts w:hint="eastAsia" w:ascii="仿宋_GB2312" w:hAnsi="??_GB2312" w:eastAsia="仿宋_GB2312" w:cs="Times New Roman"/>
          <w:sz w:val="32"/>
          <w:szCs w:val="22"/>
          <w:lang w:val="en-US" w:eastAsia="zh-CN"/>
        </w:rPr>
        <w:t>机构、日间照料中心等</w:t>
      </w:r>
      <w:r>
        <w:rPr>
          <w:rFonts w:hint="default" w:ascii="仿宋_GB2312" w:hAnsi="??_GB2312" w:eastAsia="仿宋_GB2312" w:cs="Times New Roman"/>
          <w:sz w:val="32"/>
          <w:szCs w:val="22"/>
          <w:lang w:val="en-US" w:eastAsia="zh-CN"/>
        </w:rPr>
        <w:t>设施比较陈旧，安全生产隐患多、压力大。各</w:t>
      </w:r>
      <w:r>
        <w:rPr>
          <w:rFonts w:hint="eastAsia" w:ascii="仿宋_GB2312" w:hAnsi="??_GB2312" w:eastAsia="仿宋_GB2312" w:cs="Times New Roman"/>
          <w:sz w:val="32"/>
          <w:szCs w:val="22"/>
          <w:lang w:val="en-US" w:eastAsia="zh-CN"/>
        </w:rPr>
        <w:t>镇、区</w:t>
      </w:r>
      <w:r>
        <w:rPr>
          <w:rFonts w:hint="default" w:ascii="仿宋_GB2312" w:hAnsi="??_GB2312" w:eastAsia="仿宋_GB2312" w:cs="Times New Roman"/>
          <w:sz w:val="32"/>
          <w:szCs w:val="22"/>
          <w:lang w:val="en-US" w:eastAsia="zh-CN"/>
        </w:rPr>
        <w:t>（</w:t>
      </w:r>
      <w:r>
        <w:rPr>
          <w:rFonts w:hint="eastAsia" w:ascii="仿宋_GB2312" w:hAnsi="??_GB2312" w:eastAsia="仿宋_GB2312" w:cs="Times New Roman"/>
          <w:sz w:val="32"/>
          <w:szCs w:val="22"/>
          <w:lang w:val="en-US" w:eastAsia="zh-CN"/>
        </w:rPr>
        <w:t>街道</w:t>
      </w:r>
      <w:r>
        <w:rPr>
          <w:rFonts w:hint="default" w:ascii="仿宋_GB2312" w:hAnsi="??_GB2312" w:eastAsia="仿宋_GB2312" w:cs="Times New Roman"/>
          <w:sz w:val="32"/>
          <w:szCs w:val="22"/>
          <w:lang w:val="en-US" w:eastAsia="zh-CN"/>
        </w:rPr>
        <w:t>）要</w:t>
      </w:r>
      <w:r>
        <w:rPr>
          <w:rFonts w:hint="eastAsia" w:ascii="仿宋_GB2312" w:hAnsi="??_GB2312" w:eastAsia="仿宋_GB2312" w:cs="Times New Roman"/>
          <w:sz w:val="32"/>
          <w:szCs w:val="22"/>
          <w:lang w:val="en-US" w:eastAsia="zh-CN"/>
        </w:rPr>
        <w:t>强化</w:t>
      </w:r>
      <w:r>
        <w:rPr>
          <w:rFonts w:hint="default" w:ascii="仿宋_GB2312" w:hAnsi="??_GB2312" w:eastAsia="仿宋_GB2312" w:cs="Times New Roman"/>
          <w:sz w:val="32"/>
          <w:szCs w:val="22"/>
          <w:lang w:val="en-US" w:eastAsia="zh-CN"/>
        </w:rPr>
        <w:t>组织领导，全面加强对</w:t>
      </w:r>
      <w:r>
        <w:rPr>
          <w:rFonts w:hint="eastAsia" w:ascii="仿宋_GB2312" w:hAnsi="??_GB2312" w:eastAsia="仿宋_GB2312" w:cs="Times New Roman"/>
          <w:sz w:val="32"/>
          <w:szCs w:val="22"/>
          <w:lang w:val="en-US" w:eastAsia="zh-CN"/>
        </w:rPr>
        <w:t>辖区内</w:t>
      </w:r>
      <w:r>
        <w:rPr>
          <w:rFonts w:hint="default" w:ascii="仿宋_GB2312" w:hAnsi="??_GB2312" w:eastAsia="仿宋_GB2312" w:cs="Times New Roman"/>
          <w:sz w:val="32"/>
          <w:szCs w:val="22"/>
          <w:lang w:val="en-US" w:eastAsia="zh-CN"/>
        </w:rPr>
        <w:t>养老服务</w:t>
      </w:r>
      <w:r>
        <w:rPr>
          <w:rFonts w:hint="eastAsia" w:ascii="仿宋_GB2312" w:hAnsi="??_GB2312" w:eastAsia="仿宋_GB2312" w:cs="Times New Roman"/>
          <w:sz w:val="32"/>
          <w:szCs w:val="22"/>
          <w:lang w:val="en-US" w:eastAsia="zh-CN"/>
        </w:rPr>
        <w:t>机构</w:t>
      </w:r>
      <w:r>
        <w:rPr>
          <w:rFonts w:hint="default" w:ascii="仿宋_GB2312" w:hAnsi="??_GB2312" w:eastAsia="仿宋_GB2312" w:cs="Times New Roman"/>
          <w:sz w:val="32"/>
          <w:szCs w:val="22"/>
          <w:lang w:val="en-US" w:eastAsia="zh-CN"/>
        </w:rPr>
        <w:t>清除安全隐患专项整治行动的组织领导和协调推进。各</w:t>
      </w:r>
      <w:r>
        <w:rPr>
          <w:rFonts w:hint="eastAsia" w:ascii="仿宋_GB2312" w:hAnsi="??_GB2312" w:eastAsia="仿宋_GB2312" w:cs="Times New Roman"/>
          <w:sz w:val="32"/>
          <w:szCs w:val="22"/>
          <w:lang w:val="en-US" w:eastAsia="zh-CN"/>
        </w:rPr>
        <w:t>领域</w:t>
      </w:r>
      <w:r>
        <w:rPr>
          <w:rFonts w:hint="default" w:ascii="仿宋_GB2312" w:hAnsi="??_GB2312" w:eastAsia="仿宋_GB2312" w:cs="Times New Roman"/>
          <w:sz w:val="32"/>
          <w:szCs w:val="22"/>
          <w:lang w:val="en-US" w:eastAsia="zh-CN"/>
        </w:rPr>
        <w:t>要充分认识到安全生产严峻形势，将此次</w:t>
      </w:r>
      <w:r>
        <w:rPr>
          <w:rFonts w:hint="eastAsia" w:ascii="仿宋_GB2312" w:hAnsi="??_GB2312" w:eastAsia="仿宋_GB2312" w:cs="Times New Roman"/>
          <w:sz w:val="32"/>
          <w:szCs w:val="22"/>
          <w:lang w:val="en-US" w:eastAsia="zh-CN"/>
        </w:rPr>
        <w:t>养老服务领域安全生产专项整治行动</w:t>
      </w:r>
      <w:r>
        <w:rPr>
          <w:rFonts w:hint="default" w:ascii="仿宋_GB2312" w:hAnsi="??_GB2312" w:eastAsia="仿宋_GB2312" w:cs="Times New Roman"/>
          <w:sz w:val="32"/>
          <w:szCs w:val="22"/>
          <w:lang w:val="en-US" w:eastAsia="zh-CN"/>
        </w:rPr>
        <w:t>作为防止安全生产事故发生、维护公共安全的重要举措。</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default" w:ascii="仿宋_GB2312" w:hAnsi="??_GB2312" w:eastAsia="仿宋_GB2312" w:cs="Times New Roman"/>
          <w:sz w:val="32"/>
          <w:szCs w:val="22"/>
          <w:lang w:val="en-US" w:eastAsia="zh-CN"/>
        </w:rPr>
      </w:pPr>
      <w:r>
        <w:rPr>
          <w:rFonts w:hint="default" w:ascii="楷体_GB2312" w:hAnsi="??_GB2312" w:eastAsia="楷体_GB2312" w:cs="Times New Roman"/>
          <w:sz w:val="32"/>
          <w:szCs w:val="22"/>
          <w:lang w:val="en-US" w:eastAsia="zh-CN"/>
        </w:rPr>
        <w:t>（二）细化工作措施。</w:t>
      </w:r>
      <w:r>
        <w:rPr>
          <w:rFonts w:hint="default" w:ascii="仿宋_GB2312" w:hAnsi="??_GB2312" w:eastAsia="仿宋_GB2312" w:cs="Times New Roman"/>
          <w:sz w:val="32"/>
          <w:szCs w:val="22"/>
          <w:lang w:val="en-US" w:eastAsia="zh-CN"/>
        </w:rPr>
        <w:t>各</w:t>
      </w:r>
      <w:r>
        <w:rPr>
          <w:rFonts w:hint="eastAsia" w:ascii="仿宋_GB2312" w:hAnsi="??_GB2312" w:eastAsia="仿宋_GB2312" w:cs="Times New Roman"/>
          <w:sz w:val="32"/>
          <w:szCs w:val="22"/>
          <w:lang w:val="en-US" w:eastAsia="zh-CN"/>
        </w:rPr>
        <w:t>镇、区（街道）对</w:t>
      </w:r>
      <w:r>
        <w:rPr>
          <w:rFonts w:hint="default" w:ascii="仿宋_GB2312" w:hAnsi="??_GB2312" w:eastAsia="仿宋_GB2312" w:cs="Times New Roman"/>
          <w:sz w:val="32"/>
          <w:szCs w:val="22"/>
          <w:lang w:val="en-US" w:eastAsia="zh-CN"/>
        </w:rPr>
        <w:t>养老</w:t>
      </w:r>
      <w:r>
        <w:rPr>
          <w:rFonts w:hint="eastAsia" w:ascii="仿宋_GB2312" w:hAnsi="??_GB2312" w:eastAsia="仿宋_GB2312" w:cs="Times New Roman"/>
          <w:sz w:val="32"/>
          <w:szCs w:val="22"/>
          <w:lang w:val="en-US" w:eastAsia="zh-CN"/>
        </w:rPr>
        <w:t>服务领域</w:t>
      </w:r>
      <w:r>
        <w:rPr>
          <w:rFonts w:hint="default" w:ascii="仿宋_GB2312" w:hAnsi="??_GB2312" w:eastAsia="仿宋_GB2312" w:cs="Times New Roman"/>
          <w:sz w:val="32"/>
          <w:szCs w:val="22"/>
          <w:lang w:val="en-US" w:eastAsia="zh-CN"/>
        </w:rPr>
        <w:t>安全整治情况</w:t>
      </w:r>
      <w:r>
        <w:rPr>
          <w:rFonts w:hint="eastAsia" w:ascii="仿宋_GB2312" w:hAnsi="??_GB2312" w:eastAsia="仿宋_GB2312" w:cs="Times New Roman"/>
          <w:sz w:val="32"/>
          <w:szCs w:val="22"/>
          <w:lang w:val="en-US" w:eastAsia="zh-CN"/>
        </w:rPr>
        <w:t>应</w:t>
      </w:r>
      <w:r>
        <w:rPr>
          <w:rFonts w:hint="default" w:ascii="仿宋_GB2312" w:hAnsi="??_GB2312" w:eastAsia="仿宋_GB2312" w:cs="Times New Roman"/>
          <w:sz w:val="32"/>
          <w:szCs w:val="22"/>
          <w:lang w:val="en-US" w:eastAsia="zh-CN"/>
        </w:rPr>
        <w:t>与相关部门紧密衔接配合，形成工作合力。发现养老</w:t>
      </w:r>
      <w:r>
        <w:rPr>
          <w:rFonts w:hint="eastAsia" w:ascii="仿宋_GB2312" w:hAnsi="??_GB2312" w:eastAsia="仿宋_GB2312" w:cs="Times New Roman"/>
          <w:sz w:val="32"/>
          <w:szCs w:val="22"/>
          <w:lang w:val="en-US" w:eastAsia="zh-CN"/>
        </w:rPr>
        <w:t>领域</w:t>
      </w:r>
      <w:r>
        <w:rPr>
          <w:rFonts w:hint="default" w:ascii="仿宋_GB2312" w:hAnsi="??_GB2312" w:eastAsia="仿宋_GB2312" w:cs="Times New Roman"/>
          <w:sz w:val="32"/>
          <w:szCs w:val="22"/>
          <w:lang w:val="en-US" w:eastAsia="zh-CN"/>
        </w:rPr>
        <w:t>存在可能危及人身健康和生命财产安全风险的，应当第一时间约谈</w:t>
      </w:r>
      <w:r>
        <w:rPr>
          <w:rFonts w:hint="eastAsia" w:ascii="仿宋_GB2312" w:hAnsi="??_GB2312" w:eastAsia="仿宋_GB2312" w:cs="Times New Roman"/>
          <w:sz w:val="32"/>
          <w:szCs w:val="22"/>
          <w:lang w:val="en-US" w:eastAsia="zh-CN"/>
        </w:rPr>
        <w:t>机构</w:t>
      </w:r>
      <w:r>
        <w:rPr>
          <w:rFonts w:hint="default" w:ascii="仿宋_GB2312" w:hAnsi="??_GB2312" w:eastAsia="仿宋_GB2312" w:cs="Times New Roman"/>
          <w:sz w:val="32"/>
          <w:szCs w:val="22"/>
          <w:lang w:val="en-US" w:eastAsia="zh-CN"/>
        </w:rPr>
        <w:t>负责人，下发整改通知书，责令限期改正；逾期不改正的，责令停业整顿。发现属于建筑、消防、食品卫生、医疗服务、特种设备安全风险的，应当</w:t>
      </w:r>
      <w:r>
        <w:rPr>
          <w:rFonts w:hint="eastAsia" w:ascii="仿宋_GB2312" w:hAnsi="??_GB2312" w:eastAsia="仿宋_GB2312" w:cs="Times New Roman"/>
          <w:sz w:val="32"/>
          <w:szCs w:val="22"/>
          <w:lang w:val="en-US" w:eastAsia="zh-CN"/>
        </w:rPr>
        <w:t>邀请住建</w:t>
      </w:r>
      <w:r>
        <w:rPr>
          <w:rFonts w:hint="default" w:ascii="仿宋_GB2312" w:hAnsi="??_GB2312" w:eastAsia="仿宋_GB2312" w:cs="Times New Roman"/>
          <w:sz w:val="32"/>
          <w:szCs w:val="22"/>
          <w:lang w:val="en-US" w:eastAsia="zh-CN"/>
        </w:rPr>
        <w:t>、应急管理、市场监管、卫生健康等部门</w:t>
      </w:r>
      <w:r>
        <w:rPr>
          <w:rFonts w:hint="eastAsia" w:ascii="仿宋_GB2312" w:hAnsi="??_GB2312" w:eastAsia="仿宋_GB2312" w:cs="Times New Roman"/>
          <w:sz w:val="32"/>
          <w:szCs w:val="22"/>
          <w:lang w:val="en-US" w:eastAsia="zh-CN"/>
        </w:rPr>
        <w:t>进行指导</w:t>
      </w:r>
      <w:r>
        <w:rPr>
          <w:rFonts w:hint="default" w:ascii="仿宋_GB2312" w:hAnsi="??_GB2312" w:eastAsia="仿宋_GB2312" w:cs="Times New Roman"/>
          <w:sz w:val="32"/>
          <w:szCs w:val="22"/>
          <w:lang w:val="en-US" w:eastAsia="zh-CN"/>
        </w:rPr>
        <w:t>，并积极配合做好后续相关</w:t>
      </w:r>
      <w:r>
        <w:rPr>
          <w:rFonts w:hint="eastAsia" w:ascii="仿宋_GB2312" w:hAnsi="??_GB2312" w:eastAsia="仿宋_GB2312" w:cs="Times New Roman"/>
          <w:sz w:val="32"/>
          <w:szCs w:val="22"/>
          <w:lang w:val="en-US" w:eastAsia="zh-CN"/>
        </w:rPr>
        <w:t>整改</w:t>
      </w:r>
      <w:r>
        <w:rPr>
          <w:rFonts w:hint="default" w:ascii="仿宋_GB2312" w:hAnsi="??_GB2312" w:eastAsia="仿宋_GB2312" w:cs="Times New Roman"/>
          <w:sz w:val="32"/>
          <w:szCs w:val="22"/>
          <w:lang w:val="en-US" w:eastAsia="zh-CN"/>
        </w:rPr>
        <w:t>工作。</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eastAsia" w:ascii="仿宋_GB2312" w:hAnsi="??_GB2312" w:eastAsia="仿宋_GB2312" w:cs="Times New Roman"/>
          <w:sz w:val="32"/>
          <w:szCs w:val="22"/>
          <w:lang w:val="en-US" w:eastAsia="zh-CN"/>
        </w:rPr>
      </w:pPr>
      <w:r>
        <w:rPr>
          <w:rFonts w:hint="default" w:ascii="楷体_GB2312" w:hAnsi="??_GB2312" w:eastAsia="楷体_GB2312" w:cs="Times New Roman"/>
          <w:sz w:val="32"/>
          <w:szCs w:val="22"/>
          <w:lang w:val="en-US" w:eastAsia="zh-CN"/>
        </w:rPr>
        <w:t>（三）加强信息报送。</w:t>
      </w:r>
      <w:r>
        <w:rPr>
          <w:rFonts w:hint="eastAsia" w:ascii="仿宋_GB2312" w:hAnsi="??_GB2312" w:eastAsia="仿宋_GB2312" w:cs="Times New Roman"/>
          <w:sz w:val="32"/>
          <w:szCs w:val="22"/>
          <w:lang w:val="en-US" w:eastAsia="zh-CN"/>
        </w:rPr>
        <w:t>市</w:t>
      </w:r>
      <w:r>
        <w:rPr>
          <w:rFonts w:hint="default" w:ascii="仿宋_GB2312" w:hAnsi="??_GB2312" w:eastAsia="仿宋_GB2312" w:cs="Times New Roman"/>
          <w:sz w:val="32"/>
          <w:szCs w:val="22"/>
          <w:lang w:val="en-US" w:eastAsia="zh-CN"/>
        </w:rPr>
        <w:t>民政局继续实行养老</w:t>
      </w:r>
      <w:r>
        <w:rPr>
          <w:rFonts w:hint="eastAsia" w:ascii="仿宋_GB2312" w:hAnsi="??_GB2312" w:eastAsia="仿宋_GB2312" w:cs="Times New Roman"/>
          <w:sz w:val="32"/>
          <w:szCs w:val="22"/>
          <w:lang w:val="en-US" w:eastAsia="zh-CN"/>
        </w:rPr>
        <w:t>服务领域</w:t>
      </w:r>
      <w:r>
        <w:rPr>
          <w:rFonts w:hint="default" w:ascii="仿宋_GB2312" w:hAnsi="??_GB2312" w:eastAsia="仿宋_GB2312" w:cs="Times New Roman"/>
          <w:sz w:val="32"/>
          <w:szCs w:val="22"/>
          <w:lang w:val="en-US" w:eastAsia="zh-CN"/>
        </w:rPr>
        <w:t>安全管理集中督查通报制度，各</w:t>
      </w:r>
      <w:r>
        <w:rPr>
          <w:rFonts w:hint="eastAsia" w:ascii="仿宋_GB2312" w:hAnsi="??_GB2312" w:eastAsia="仿宋_GB2312" w:cs="Times New Roman"/>
          <w:sz w:val="32"/>
          <w:szCs w:val="22"/>
          <w:lang w:val="en-US" w:eastAsia="zh-CN"/>
        </w:rPr>
        <w:t>镇、区（街道）</w:t>
      </w:r>
      <w:r>
        <w:rPr>
          <w:rFonts w:hint="default" w:ascii="仿宋_GB2312" w:hAnsi="??_GB2312" w:eastAsia="仿宋_GB2312" w:cs="Times New Roman"/>
          <w:sz w:val="32"/>
          <w:szCs w:val="22"/>
          <w:lang w:val="en-US" w:eastAsia="zh-CN"/>
        </w:rPr>
        <w:t>要及时推进整治行动，切实做好整治行动的信息报送工作，安排专人负责</w:t>
      </w:r>
      <w:r>
        <w:rPr>
          <w:rFonts w:hint="eastAsia" w:ascii="仿宋_GB2312" w:hAnsi="??_GB2312" w:eastAsia="仿宋_GB2312" w:cs="Times New Roman"/>
          <w:sz w:val="32"/>
          <w:szCs w:val="22"/>
          <w:lang w:val="en-US" w:eastAsia="zh-CN"/>
        </w:rPr>
        <w:t>。</w:t>
      </w:r>
    </w:p>
    <w:p>
      <w:pPr>
        <w:keepNext w:val="0"/>
        <w:keepLines w:val="0"/>
        <w:pageBreakBefore w:val="0"/>
        <w:numPr>
          <w:ilvl w:val="0"/>
          <w:numId w:val="0"/>
        </w:numPr>
        <w:kinsoku/>
        <w:wordWrap/>
        <w:overflowPunct/>
        <w:topLinePunct w:val="0"/>
        <w:autoSpaceDE/>
        <w:autoSpaceDN/>
        <w:bidi w:val="0"/>
        <w:adjustRightInd/>
        <w:spacing w:beforeLines="0" w:afterLines="0" w:line="580" w:lineRule="exact"/>
        <w:ind w:firstLine="640" w:firstLineChars="200"/>
        <w:textAlignment w:val="auto"/>
        <w:rPr>
          <w:rFonts w:hint="default" w:ascii="仿宋_GB2312" w:hAnsi="??_GB2312" w:eastAsia="仿宋_GB2312" w:cs="Times New Roman"/>
          <w:sz w:val="32"/>
          <w:szCs w:val="22"/>
          <w:lang w:val="en-US" w:eastAsia="zh-CN"/>
        </w:rPr>
      </w:pPr>
    </w:p>
    <w:p>
      <w:pPr>
        <w:keepNext w:val="0"/>
        <w:keepLines w:val="0"/>
        <w:pageBreakBefore w:val="0"/>
        <w:kinsoku/>
        <w:wordWrap w:val="0"/>
        <w:overflowPunct/>
        <w:topLinePunct w:val="0"/>
        <w:autoSpaceDE/>
        <w:autoSpaceDN/>
        <w:bidi w:val="0"/>
        <w:adjustRightInd/>
        <w:spacing w:line="580" w:lineRule="exact"/>
        <w:jc w:val="right"/>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太仓市养老护理和救助安全生产专业委员会</w:t>
      </w:r>
      <w:r>
        <w:rPr>
          <w:rFonts w:hint="eastAsia" w:ascii="仿宋_GB2312" w:hAnsi="仿宋" w:eastAsia="仿宋_GB2312"/>
          <w:sz w:val="32"/>
          <w:szCs w:val="32"/>
          <w:lang w:val="en-US" w:eastAsia="zh-CN"/>
        </w:rPr>
        <w:t xml:space="preserve">   </w:t>
      </w:r>
    </w:p>
    <w:p>
      <w:pPr>
        <w:keepNext w:val="0"/>
        <w:keepLines w:val="0"/>
        <w:pageBreakBefore w:val="0"/>
        <w:kinsoku/>
        <w:wordWrap w:val="0"/>
        <w:overflowPunct/>
        <w:topLinePunct w:val="0"/>
        <w:autoSpaceDE/>
        <w:autoSpaceDN/>
        <w:bidi w:val="0"/>
        <w:adjustRightInd/>
        <w:spacing w:line="580" w:lineRule="exact"/>
        <w:jc w:val="right"/>
        <w:textAlignment w:val="auto"/>
        <w:rPr>
          <w:rFonts w:hint="default" w:ascii="仿宋_GB2312" w:hAnsi="仿宋" w:eastAsia="仿宋_GB2312" w:cs="ä»¿å®‹"/>
          <w:kern w:val="0"/>
          <w:sz w:val="32"/>
          <w:szCs w:val="32"/>
          <w:lang w:val="en-US" w:eastAsia="zh-CN"/>
        </w:rPr>
      </w:pPr>
      <w:r>
        <w:rPr>
          <w:rFonts w:hint="eastAsia" w:ascii="仿宋_GB2312" w:hAnsi="仿宋" w:eastAsia="仿宋_GB2312" w:cs="ä»¿å®‹"/>
          <w:kern w:val="0"/>
          <w:sz w:val="32"/>
          <w:szCs w:val="32"/>
        </w:rPr>
        <w:t>20</w:t>
      </w:r>
      <w:r>
        <w:rPr>
          <w:rFonts w:hint="eastAsia" w:ascii="仿宋_GB2312" w:hAnsi="仿宋" w:eastAsia="仿宋_GB2312" w:cs="ä»¿å®‹"/>
          <w:kern w:val="0"/>
          <w:sz w:val="32"/>
          <w:szCs w:val="32"/>
          <w:lang w:val="en-US" w:eastAsia="zh-CN"/>
        </w:rPr>
        <w:t>21</w:t>
      </w:r>
      <w:r>
        <w:rPr>
          <w:rFonts w:hint="eastAsia" w:ascii="仿宋_GB2312" w:hAnsi="仿宋" w:eastAsia="仿宋_GB2312" w:cs="ä»¿å®‹"/>
          <w:kern w:val="0"/>
          <w:sz w:val="32"/>
          <w:szCs w:val="32"/>
        </w:rPr>
        <w:t>年</w:t>
      </w:r>
      <w:r>
        <w:rPr>
          <w:rFonts w:hint="eastAsia" w:ascii="仿宋_GB2312" w:hAnsi="仿宋" w:eastAsia="仿宋_GB2312" w:cs="ä»¿å®‹"/>
          <w:kern w:val="0"/>
          <w:sz w:val="32"/>
          <w:szCs w:val="32"/>
          <w:lang w:val="en-US" w:eastAsia="zh-CN"/>
        </w:rPr>
        <w:t>3</w:t>
      </w:r>
      <w:r>
        <w:rPr>
          <w:rFonts w:hint="eastAsia" w:ascii="仿宋_GB2312" w:hAnsi="仿宋" w:eastAsia="仿宋_GB2312" w:cs="ä»¿å®‹"/>
          <w:kern w:val="0"/>
          <w:sz w:val="32"/>
          <w:szCs w:val="32"/>
        </w:rPr>
        <w:t>月</w:t>
      </w:r>
      <w:r>
        <w:rPr>
          <w:rFonts w:hint="eastAsia" w:ascii="仿宋_GB2312" w:hAnsi="仿宋" w:eastAsia="仿宋_GB2312" w:cs="ä»¿å®‹"/>
          <w:kern w:val="0"/>
          <w:sz w:val="32"/>
          <w:szCs w:val="32"/>
          <w:lang w:val="en-US" w:eastAsia="zh-CN"/>
        </w:rPr>
        <w:t>15</w:t>
      </w:r>
      <w:r>
        <w:rPr>
          <w:rFonts w:hint="eastAsia" w:ascii="仿宋_GB2312" w:hAnsi="仿宋" w:eastAsia="仿宋_GB2312" w:cs="ä»¿å®‹"/>
          <w:kern w:val="0"/>
          <w:sz w:val="32"/>
          <w:szCs w:val="32"/>
        </w:rPr>
        <w:t>日</w:t>
      </w:r>
      <w:r>
        <w:rPr>
          <w:rFonts w:hint="eastAsia" w:ascii="仿宋_GB2312" w:hAnsi="仿宋" w:eastAsia="仿宋_GB2312" w:cs="ä»¿å®‹"/>
          <w:kern w:val="0"/>
          <w:sz w:val="32"/>
          <w:szCs w:val="32"/>
          <w:lang w:val="en-US" w:eastAsia="zh-CN"/>
        </w:rPr>
        <w:t xml:space="preserve">            </w:t>
      </w: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p>
    <w:p>
      <w:pPr>
        <w:keepNext w:val="0"/>
        <w:keepLines w:val="0"/>
        <w:pageBreakBefore w:val="0"/>
        <w:tabs>
          <w:tab w:val="left" w:pos="2925"/>
        </w:tabs>
        <w:kinsoku/>
        <w:wordWrap/>
        <w:overflowPunct/>
        <w:topLinePunct w:val="0"/>
        <w:autoSpaceDE/>
        <w:autoSpaceDN/>
        <w:bidi w:val="0"/>
        <w:adjustRightInd/>
        <w:spacing w:line="580" w:lineRule="exact"/>
        <w:textAlignment w:val="auto"/>
        <w:rPr>
          <w:rFonts w:hint="eastAsia" w:ascii="仿宋_GB2312" w:hAnsi="仿宋" w:eastAsia="仿宋_GB2312" w:cs="ä»¿å®‹"/>
          <w:kern w:val="0"/>
          <w:sz w:val="32"/>
          <w:szCs w:val="32"/>
        </w:rPr>
      </w:pPr>
      <w:r>
        <w:rPr>
          <w:rFonts w:hint="eastAsia" w:ascii="仿宋_GB2312" w:hAnsi="仿宋" w:eastAsia="仿宋_GB2312" w:cs="ä»¿å®‹"/>
          <w:kern w:val="0"/>
          <w:sz w:val="32"/>
          <w:szCs w:val="32"/>
        </w:rPr>
        <w:t>（</w:t>
      </w:r>
      <w:r>
        <w:rPr>
          <w:rFonts w:hint="eastAsia" w:ascii="仿宋_GB2312" w:hAnsi="仿宋" w:eastAsia="仿宋_GB2312" w:cs="ä»¿å®‹"/>
          <w:kern w:val="0"/>
          <w:sz w:val="32"/>
          <w:szCs w:val="32"/>
          <w:lang w:eastAsia="zh-CN"/>
        </w:rPr>
        <w:t>此件公开发布</w:t>
      </w:r>
      <w:r>
        <w:rPr>
          <w:rFonts w:hint="eastAsia" w:ascii="仿宋_GB2312" w:hAnsi="仿宋" w:eastAsia="仿宋_GB2312" w:cs="ä»¿å®‹"/>
          <w:kern w:val="0"/>
          <w:sz w:val="32"/>
          <w:szCs w:val="32"/>
        </w:rPr>
        <w:t>）</w:t>
      </w:r>
    </w:p>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ä»¿å®‹">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_GB2312">
    <w:altName w:val="Segoe Print"/>
    <w:panose1 w:val="02010609030101010101"/>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F0259"/>
    <w:rsid w:val="00EA5201"/>
    <w:rsid w:val="0350071A"/>
    <w:rsid w:val="037E262C"/>
    <w:rsid w:val="0A675E78"/>
    <w:rsid w:val="0C253F63"/>
    <w:rsid w:val="11293273"/>
    <w:rsid w:val="12A22C3F"/>
    <w:rsid w:val="13AF6FB7"/>
    <w:rsid w:val="18AA678D"/>
    <w:rsid w:val="1BDC716A"/>
    <w:rsid w:val="1DD22C26"/>
    <w:rsid w:val="23D83915"/>
    <w:rsid w:val="23E027C8"/>
    <w:rsid w:val="245B64BC"/>
    <w:rsid w:val="2644175B"/>
    <w:rsid w:val="2BE42F2D"/>
    <w:rsid w:val="303A2284"/>
    <w:rsid w:val="35EF3668"/>
    <w:rsid w:val="360E76E6"/>
    <w:rsid w:val="36323BA4"/>
    <w:rsid w:val="3ADE0968"/>
    <w:rsid w:val="3D820470"/>
    <w:rsid w:val="4011034C"/>
    <w:rsid w:val="4240000D"/>
    <w:rsid w:val="42AD7994"/>
    <w:rsid w:val="43685860"/>
    <w:rsid w:val="438E3E7B"/>
    <w:rsid w:val="43B815B9"/>
    <w:rsid w:val="43C56522"/>
    <w:rsid w:val="4DB46385"/>
    <w:rsid w:val="4FDA3FC2"/>
    <w:rsid w:val="563749ED"/>
    <w:rsid w:val="584263D1"/>
    <w:rsid w:val="5A226398"/>
    <w:rsid w:val="5AB75DBF"/>
    <w:rsid w:val="5B7F0259"/>
    <w:rsid w:val="60504078"/>
    <w:rsid w:val="60BF1613"/>
    <w:rsid w:val="6295478A"/>
    <w:rsid w:val="64A31E03"/>
    <w:rsid w:val="6CF64426"/>
    <w:rsid w:val="740F1D89"/>
    <w:rsid w:val="75E7535C"/>
    <w:rsid w:val="78090FF1"/>
    <w:rsid w:val="7C132726"/>
    <w:rsid w:val="7E4E6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2021-02-22T05:19:00Z</dcterms:created>
  <dc:creator>Administrator</dc:creator>
  <cp:lastModifiedBy>曹磊</cp:lastModifiedBy>
  <cp:lastPrinted>2021-03-16T01:07:00Z</cp:lastPrinted>
  <dcterms:modified xsi:type="dcterms:W3CDTF">2021-03-16T02:09:29Z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