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ascii="Times New Roman" w:hAnsi="Times New Roman" w:eastAsia="方正小标宋简体" w:cs="方正小标宋简体"/>
          <w:color w:val="auto"/>
          <w:kern w:val="0"/>
          <w:sz w:val="36"/>
          <w:szCs w:val="36"/>
          <w:lang w:val="en-US" w:eastAsia="zh-CN"/>
        </w:rPr>
      </w:pPr>
      <w:r>
        <w:rPr>
          <w:rFonts w:hint="eastAsia" w:ascii="Times New Roman" w:hAnsi="Times New Roman" w:eastAsia="方正小标宋简体" w:cs="方正小标宋简体"/>
          <w:color w:val="auto"/>
          <w:kern w:val="0"/>
          <w:sz w:val="36"/>
          <w:szCs w:val="36"/>
          <w:lang w:val="en-US" w:eastAsia="zh-CN"/>
        </w:rPr>
        <w:t>生活</w:t>
      </w:r>
      <w:r>
        <w:rPr>
          <w:rFonts w:hint="eastAsia" w:ascii="Times New Roman" w:hAnsi="Times New Roman" w:eastAsia="方正小标宋简体" w:cs="方正小标宋简体"/>
          <w:color w:val="auto"/>
          <w:kern w:val="0"/>
          <w:sz w:val="36"/>
          <w:szCs w:val="36"/>
        </w:rPr>
        <w:t>垃圾处理费</w:t>
      </w:r>
      <w:r>
        <w:rPr>
          <w:rFonts w:hint="eastAsia" w:ascii="Times New Roman" w:hAnsi="Times New Roman" w:eastAsia="方正小标宋简体" w:cs="方正小标宋简体"/>
          <w:color w:val="auto"/>
          <w:kern w:val="0"/>
          <w:sz w:val="36"/>
          <w:szCs w:val="36"/>
          <w:lang w:val="en-US" w:eastAsia="zh-CN"/>
        </w:rPr>
        <w:t>调整</w:t>
      </w:r>
      <w:r>
        <w:rPr>
          <w:rFonts w:hint="eastAsia" w:ascii="Times New Roman" w:hAnsi="Times New Roman" w:eastAsia="方正小标宋简体" w:cs="方正小标宋简体"/>
          <w:color w:val="auto"/>
          <w:kern w:val="0"/>
          <w:sz w:val="36"/>
          <w:szCs w:val="36"/>
        </w:rPr>
        <w:t>征收</w:t>
      </w:r>
      <w:r>
        <w:rPr>
          <w:rFonts w:hint="eastAsia" w:ascii="Times New Roman" w:hAnsi="Times New Roman" w:eastAsia="方正小标宋简体" w:cs="方正小标宋简体"/>
          <w:color w:val="auto"/>
          <w:kern w:val="0"/>
          <w:sz w:val="36"/>
          <w:szCs w:val="36"/>
          <w:lang w:val="en-US" w:eastAsia="zh-CN"/>
        </w:rPr>
        <w:t>方式与征收范围的说明</w:t>
      </w:r>
    </w:p>
    <w:p>
      <w:pPr>
        <w:jc w:val="center"/>
        <w:rPr>
          <w:rFonts w:ascii="Times New Roman" w:hAnsi="Times New Roman"/>
          <w:color w:val="auto"/>
          <w:sz w:val="32"/>
          <w:szCs w:val="32"/>
        </w:rPr>
      </w:pPr>
      <w:r>
        <w:rPr>
          <w:rFonts w:hint="eastAsia" w:ascii="Times New Roman" w:hAnsi="Times New Roman" w:eastAsia="方正小标宋简体" w:cs="方正小标宋简体"/>
          <w:color w:val="auto"/>
          <w:kern w:val="0"/>
          <w:sz w:val="36"/>
          <w:szCs w:val="36"/>
          <w:lang w:val="en-US" w:eastAsia="zh-CN"/>
        </w:rPr>
        <w:t>（草案）</w:t>
      </w:r>
    </w:p>
    <w:p>
      <w:pPr>
        <w:numPr>
          <w:ilvl w:val="0"/>
          <w:numId w:val="1"/>
        </w:numPr>
        <w:ind w:left="-10" w:leftChars="0" w:firstLine="640" w:firstLineChars="0"/>
        <w:rPr>
          <w:rFonts w:ascii="Times New Roman" w:hAnsi="Times New Roman" w:eastAsia="黑体" w:cs="黑体"/>
          <w:color w:val="auto"/>
          <w:sz w:val="32"/>
          <w:szCs w:val="32"/>
        </w:rPr>
      </w:pPr>
      <w:r>
        <w:rPr>
          <w:rFonts w:hint="eastAsia" w:ascii="Times New Roman" w:hAnsi="Times New Roman" w:eastAsia="黑体" w:cs="黑体"/>
          <w:color w:val="auto"/>
          <w:sz w:val="32"/>
          <w:szCs w:val="32"/>
          <w:lang w:val="en-US" w:eastAsia="zh-CN"/>
        </w:rPr>
        <w:t>征收的范围</w:t>
      </w:r>
    </w:p>
    <w:p>
      <w:pPr>
        <w:numPr>
          <w:ilvl w:val="0"/>
          <w:numId w:val="0"/>
        </w:numPr>
        <w:rPr>
          <w:rFonts w:hint="default" w:ascii="Times New Roman" w:hAnsi="Times New Roman" w:eastAsia="黑体" w:cs="黑体"/>
          <w:color w:val="auto"/>
          <w:sz w:val="32"/>
          <w:szCs w:val="32"/>
          <w:lang w:val="en-US"/>
        </w:rPr>
      </w:pPr>
      <w:r>
        <w:rPr>
          <w:rFonts w:hint="eastAsia" w:ascii="Times New Roman" w:hAnsi="Times New Roman" w:eastAsia="黑体" w:cs="黑体"/>
          <w:color w:val="auto"/>
          <w:sz w:val="32"/>
          <w:szCs w:val="32"/>
          <w:lang w:val="en-US" w:eastAsia="zh-CN"/>
        </w:rPr>
        <w:t xml:space="preserve">   </w:t>
      </w:r>
      <w:r>
        <w:rPr>
          <w:rFonts w:hint="eastAsia" w:ascii="Times New Roman" w:hAnsi="Times New Roman" w:eastAsia="仿宋_GB2312"/>
          <w:color w:val="auto"/>
          <w:sz w:val="32"/>
          <w:szCs w:val="32"/>
          <w:lang w:val="en-US" w:eastAsia="zh-CN"/>
        </w:rPr>
        <w:t xml:space="preserve"> 太仓全市域（含农村）</w:t>
      </w:r>
    </w:p>
    <w:p>
      <w:pPr>
        <w:numPr>
          <w:ilvl w:val="0"/>
          <w:numId w:val="1"/>
        </w:numPr>
        <w:ind w:left="-10" w:leftChars="0" w:firstLine="640" w:firstLineChars="0"/>
        <w:rPr>
          <w:rFonts w:ascii="Times New Roman" w:hAnsi="Times New Roman" w:eastAsia="黑体" w:cs="黑体"/>
          <w:color w:val="auto"/>
          <w:sz w:val="32"/>
          <w:szCs w:val="32"/>
        </w:rPr>
      </w:pPr>
      <w:r>
        <w:rPr>
          <w:rFonts w:hint="eastAsia" w:ascii="Times New Roman" w:hAnsi="Times New Roman" w:eastAsia="黑体" w:cs="黑体"/>
          <w:color w:val="auto"/>
          <w:sz w:val="32"/>
          <w:szCs w:val="32"/>
          <w:lang w:val="en-US" w:eastAsia="zh-CN"/>
        </w:rPr>
        <w:t>征收</w:t>
      </w:r>
      <w:r>
        <w:rPr>
          <w:rFonts w:hint="eastAsia" w:ascii="Times New Roman" w:hAnsi="Times New Roman" w:eastAsia="黑体" w:cs="黑体"/>
          <w:color w:val="auto"/>
          <w:sz w:val="32"/>
          <w:szCs w:val="32"/>
        </w:rPr>
        <w:t>内容及方</w:t>
      </w:r>
    </w:p>
    <w:p>
      <w:pPr>
        <w:spacing w:line="560" w:lineRule="exact"/>
        <w:ind w:firstLine="640" w:firstLineChars="200"/>
        <w:rPr>
          <w:rFonts w:ascii="Times New Roman" w:hAnsi="Times New Roman" w:eastAsia="楷体_GB2312" w:cs="楷体_GB2312"/>
          <w:color w:val="auto"/>
          <w:sz w:val="32"/>
          <w:szCs w:val="32"/>
        </w:rPr>
      </w:pPr>
      <w:r>
        <w:rPr>
          <w:rFonts w:hint="eastAsia" w:ascii="Times New Roman" w:hAnsi="Times New Roman" w:eastAsia="楷体_GB2312" w:cs="楷体_GB2312"/>
          <w:color w:val="auto"/>
          <w:sz w:val="32"/>
          <w:szCs w:val="32"/>
        </w:rPr>
        <w:t>1.居民个人生活垃圾处理费</w:t>
      </w:r>
    </w:p>
    <w:p>
      <w:pPr>
        <w:spacing w:line="560" w:lineRule="exact"/>
        <w:ind w:firstLine="640" w:firstLineChars="200"/>
        <w:rPr>
          <w:rFonts w:ascii="Times New Roman" w:hAnsi="Times New Roman" w:eastAsia="仿宋_GB2312"/>
          <w:color w:val="auto"/>
          <w:sz w:val="32"/>
          <w:szCs w:val="32"/>
        </w:rPr>
      </w:pPr>
      <w:r>
        <w:rPr>
          <w:rFonts w:hint="eastAsia" w:ascii="Times New Roman" w:hAnsi="Times New Roman" w:eastAsia="仿宋_GB2312"/>
          <w:color w:val="auto"/>
          <w:sz w:val="32"/>
          <w:szCs w:val="32"/>
        </w:rPr>
        <w:t>征收范围由原城市建成区调整为全市范围，征收标准</w:t>
      </w:r>
      <w:bookmarkStart w:id="0" w:name="_GoBack"/>
      <w:bookmarkEnd w:id="0"/>
      <w:r>
        <w:rPr>
          <w:rFonts w:hint="eastAsia" w:ascii="Times New Roman" w:hAnsi="Times New Roman" w:eastAsia="仿宋_GB2312"/>
          <w:color w:val="auto"/>
          <w:sz w:val="32"/>
          <w:szCs w:val="32"/>
        </w:rPr>
        <w:t>为每户每月4元</w:t>
      </w:r>
      <w:r>
        <w:rPr>
          <w:rFonts w:hint="eastAsia" w:ascii="Times New Roman" w:hAnsi="Times New Roman" w:eastAsia="仿宋_GB2312"/>
          <w:color w:val="auto"/>
          <w:sz w:val="32"/>
          <w:szCs w:val="32"/>
          <w:lang w:eastAsia="zh-CN"/>
        </w:rPr>
        <w:t>，</w:t>
      </w:r>
      <w:r>
        <w:rPr>
          <w:rFonts w:hint="eastAsia" w:ascii="Times New Roman" w:hAnsi="Times New Roman" w:eastAsia="仿宋_GB2312"/>
          <w:color w:val="auto"/>
          <w:sz w:val="32"/>
          <w:szCs w:val="32"/>
          <w:lang w:val="en-US" w:eastAsia="zh-CN"/>
        </w:rPr>
        <w:t>48元/年</w:t>
      </w:r>
      <w:r>
        <w:rPr>
          <w:rFonts w:hint="eastAsia" w:ascii="Times New Roman" w:hAnsi="Times New Roman" w:eastAsia="仿宋_GB2312"/>
          <w:color w:val="auto"/>
          <w:sz w:val="32"/>
          <w:szCs w:val="32"/>
        </w:rPr>
        <w:t>。每两个月一次</w:t>
      </w:r>
      <w:r>
        <w:rPr>
          <w:rFonts w:hint="eastAsia" w:ascii="Times New Roman" w:hAnsi="Times New Roman" w:eastAsia="仿宋_GB2312"/>
          <w:color w:val="auto"/>
          <w:sz w:val="32"/>
          <w:szCs w:val="32"/>
          <w:lang w:eastAsia="zh-CN"/>
        </w:rPr>
        <w:t>（</w:t>
      </w:r>
      <w:r>
        <w:rPr>
          <w:rFonts w:hint="eastAsia" w:ascii="Times New Roman" w:hAnsi="Times New Roman" w:eastAsia="仿宋_GB2312"/>
          <w:color w:val="auto"/>
          <w:sz w:val="32"/>
          <w:szCs w:val="32"/>
          <w:lang w:val="en-US" w:eastAsia="zh-CN"/>
        </w:rPr>
        <w:t>8元</w:t>
      </w:r>
      <w:r>
        <w:rPr>
          <w:rFonts w:hint="eastAsia" w:ascii="Times New Roman" w:hAnsi="Times New Roman" w:eastAsia="仿宋_GB2312"/>
          <w:color w:val="auto"/>
          <w:sz w:val="32"/>
          <w:szCs w:val="32"/>
          <w:lang w:eastAsia="zh-CN"/>
        </w:rPr>
        <w:t>）</w:t>
      </w:r>
      <w:r>
        <w:rPr>
          <w:rFonts w:hint="eastAsia" w:ascii="Times New Roman" w:hAnsi="Times New Roman" w:eastAsia="仿宋_GB2312"/>
          <w:color w:val="auto"/>
          <w:sz w:val="32"/>
          <w:szCs w:val="32"/>
        </w:rPr>
        <w:t>与水费收缴时同步征收垃圾处理费，对收费期的2个月用水量不满6立方米（含6立方米）的住户，生活垃圾处理费免于征收。对符合征收居民生活垃圾处理费范围的低保户、特困人群等家庭，实行减免征收，减免对象以市民政局和市总工会登记核实的为准。</w:t>
      </w:r>
    </w:p>
    <w:p>
      <w:pPr>
        <w:spacing w:line="560" w:lineRule="exact"/>
        <w:ind w:firstLine="640" w:firstLineChars="200"/>
        <w:rPr>
          <w:rFonts w:ascii="Times New Roman" w:hAnsi="Times New Roman" w:eastAsia="楷体_GB2312" w:cs="楷体_GB2312"/>
          <w:color w:val="auto"/>
          <w:sz w:val="32"/>
          <w:szCs w:val="32"/>
        </w:rPr>
      </w:pPr>
      <w:r>
        <w:rPr>
          <w:rFonts w:hint="eastAsia" w:ascii="Times New Roman" w:hAnsi="Times New Roman" w:eastAsia="楷体_GB2312" w:cs="楷体_GB2312"/>
          <w:color w:val="auto"/>
          <w:sz w:val="32"/>
          <w:szCs w:val="32"/>
        </w:rPr>
        <w:t>2.机关和事业单位的生活垃圾处理费</w:t>
      </w:r>
    </w:p>
    <w:p>
      <w:pPr>
        <w:spacing w:line="560" w:lineRule="exact"/>
        <w:ind w:firstLine="640" w:firstLineChars="200"/>
        <w:rPr>
          <w:rFonts w:ascii="Times New Roman" w:hAnsi="Times New Roman" w:eastAsia="仿宋_GB2312"/>
          <w:color w:val="auto"/>
          <w:sz w:val="32"/>
          <w:szCs w:val="32"/>
        </w:rPr>
      </w:pPr>
      <w:r>
        <w:rPr>
          <w:rFonts w:hint="eastAsia" w:ascii="Times New Roman" w:hAnsi="Times New Roman" w:eastAsia="仿宋_GB2312" w:cs="仿宋_GB2312"/>
          <w:color w:val="auto"/>
          <w:sz w:val="32"/>
          <w:szCs w:val="32"/>
        </w:rPr>
        <w:t>征收范围为</w:t>
      </w:r>
      <w:r>
        <w:rPr>
          <w:rFonts w:hint="eastAsia" w:ascii="Times New Roman" w:hAnsi="Times New Roman" w:eastAsia="仿宋_GB2312"/>
          <w:color w:val="auto"/>
          <w:sz w:val="32"/>
          <w:szCs w:val="32"/>
        </w:rPr>
        <w:t>本市范围内的机关和事业单位。征收标准按用工人数每人每月3元，由各单位向税务机关申报缴纳。</w:t>
      </w:r>
    </w:p>
    <w:p>
      <w:pPr>
        <w:widowControl/>
        <w:spacing w:line="560" w:lineRule="exact"/>
        <w:ind w:firstLine="640" w:firstLineChars="200"/>
        <w:jc w:val="left"/>
        <w:rPr>
          <w:rFonts w:ascii="Times New Roman" w:hAnsi="Times New Roman" w:eastAsia="黑体" w:cs="黑体"/>
          <w:color w:val="auto"/>
          <w:sz w:val="32"/>
          <w:szCs w:val="32"/>
        </w:rPr>
      </w:pPr>
      <w:r>
        <w:rPr>
          <w:rFonts w:hint="eastAsia" w:ascii="Times New Roman" w:hAnsi="Times New Roman" w:eastAsia="黑体" w:cs="黑体"/>
          <w:color w:val="auto"/>
          <w:sz w:val="32"/>
          <w:szCs w:val="32"/>
          <w:lang w:val="en-US" w:eastAsia="zh-CN"/>
        </w:rPr>
        <w:t>三</w:t>
      </w:r>
      <w:r>
        <w:rPr>
          <w:rFonts w:hint="eastAsia" w:ascii="Times New Roman" w:hAnsi="Times New Roman" w:eastAsia="黑体" w:cs="黑体"/>
          <w:color w:val="auto"/>
          <w:sz w:val="32"/>
          <w:szCs w:val="32"/>
        </w:rPr>
        <w:t>、推行的时间节点</w:t>
      </w:r>
    </w:p>
    <w:p>
      <w:pPr>
        <w:spacing w:line="560" w:lineRule="exact"/>
        <w:ind w:firstLine="640" w:firstLineChars="200"/>
        <w:rPr>
          <w:rFonts w:ascii="Times New Roman" w:hAnsi="Times New Roman" w:eastAsia="仿宋_GB2312" w:cs="仿宋_GB2312"/>
          <w:color w:val="auto"/>
          <w:sz w:val="32"/>
          <w:szCs w:val="32"/>
        </w:rPr>
      </w:pPr>
      <w:r>
        <w:rPr>
          <w:rFonts w:hint="eastAsia" w:ascii="Times New Roman" w:hAnsi="Times New Roman" w:eastAsia="楷体_GB2312" w:cs="楷体_GB2312"/>
          <w:color w:val="auto"/>
          <w:sz w:val="32"/>
          <w:szCs w:val="32"/>
        </w:rPr>
        <w:t>1.居民个人生活垃圾处理费。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</w:rPr>
        <w:t>自2022年1月1日起实施，市水务集团按照2022年1月1日起计水量确定第一次收费时间，按标准在水费收缴时同步征收垃圾处理费。</w:t>
      </w:r>
    </w:p>
    <w:p>
      <w:pPr>
        <w:spacing w:line="560" w:lineRule="exact"/>
        <w:ind w:firstLine="640" w:firstLineChars="200"/>
        <w:rPr>
          <w:rFonts w:ascii="Times New Roman" w:hAnsi="Times New Roman" w:eastAsia="仿宋_GB2312" w:cs="仿宋_GB2312"/>
          <w:color w:val="auto"/>
          <w:sz w:val="32"/>
          <w:szCs w:val="32"/>
        </w:rPr>
      </w:pPr>
      <w:r>
        <w:rPr>
          <w:rFonts w:hint="eastAsia" w:ascii="Times New Roman" w:hAnsi="Times New Roman" w:eastAsia="仿宋_GB2312" w:cs="仿宋_GB2312"/>
          <w:color w:val="auto"/>
          <w:sz w:val="32"/>
          <w:szCs w:val="32"/>
        </w:rPr>
        <w:t>2.</w:t>
      </w:r>
      <w:r>
        <w:rPr>
          <w:rFonts w:hint="eastAsia" w:ascii="Times New Roman" w:hAnsi="Times New Roman" w:eastAsia="楷体_GB2312" w:cs="楷体_GB2312"/>
          <w:color w:val="auto"/>
          <w:sz w:val="32"/>
          <w:szCs w:val="32"/>
        </w:rPr>
        <w:t>机关和事业单位的生活垃圾处理费。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</w:rPr>
        <w:t>自2022年1月1日起实施。</w:t>
      </w:r>
    </w:p>
    <w:p>
      <w:pPr>
        <w:widowControl/>
        <w:spacing w:line="560" w:lineRule="exact"/>
        <w:ind w:firstLine="640" w:firstLineChars="200"/>
        <w:jc w:val="left"/>
        <w:rPr>
          <w:rFonts w:hint="default" w:ascii="Times New Roman" w:hAnsi="Times New Roman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 w:cs="黑体"/>
          <w:color w:val="auto"/>
          <w:sz w:val="32"/>
          <w:szCs w:val="32"/>
          <w:lang w:val="en-US" w:eastAsia="zh-CN"/>
        </w:rPr>
        <w:t>四、其它情况</w:t>
      </w:r>
    </w:p>
    <w:p>
      <w:pPr>
        <w:spacing w:line="560" w:lineRule="exact"/>
        <w:ind w:firstLine="640" w:firstLineChars="200"/>
        <w:rPr>
          <w:rFonts w:hint="default" w:ascii="Times New Roman" w:hAnsi="Times New Roman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楷体_GB2312" w:cs="楷体_GB2312"/>
          <w:color w:val="auto"/>
          <w:sz w:val="32"/>
          <w:szCs w:val="32"/>
        </w:rPr>
        <w:t>各企业、社会团体及个体工商户等</w:t>
      </w:r>
      <w:r>
        <w:rPr>
          <w:rFonts w:hint="eastAsia" w:ascii="Times New Roman" w:hAnsi="Times New Roman" w:eastAsia="楷体_GB2312" w:cs="楷体_GB2312"/>
          <w:color w:val="auto"/>
          <w:sz w:val="32"/>
          <w:szCs w:val="32"/>
          <w:lang w:eastAsia="zh-CN"/>
        </w:rPr>
        <w:t>，</w:t>
      </w:r>
      <w:r>
        <w:rPr>
          <w:rFonts w:hint="eastAsia" w:ascii="Times New Roman" w:hAnsi="Times New Roman" w:eastAsia="仿宋_GB2312"/>
          <w:color w:val="auto"/>
          <w:sz w:val="32"/>
          <w:szCs w:val="32"/>
        </w:rPr>
        <w:t>在生产经营等过程中产生的生活垃圾需要委托环卫作业部门收集、中转运输的，按环卫有偿服务收费办法和标准执行</w:t>
      </w:r>
      <w:r>
        <w:rPr>
          <w:rFonts w:hint="eastAsia" w:ascii="Times New Roman" w:hAnsi="Times New Roman" w:eastAsia="仿宋_GB2312"/>
          <w:color w:val="auto"/>
          <w:sz w:val="32"/>
          <w:szCs w:val="32"/>
          <w:lang w:eastAsia="zh-CN"/>
        </w:rPr>
        <w:t>，</w:t>
      </w:r>
      <w:r>
        <w:rPr>
          <w:rFonts w:hint="eastAsia" w:ascii="Times New Roman" w:hAnsi="Times New Roman" w:eastAsia="仿宋_GB2312"/>
          <w:color w:val="auto"/>
          <w:sz w:val="32"/>
          <w:szCs w:val="32"/>
          <w:lang w:val="en-US" w:eastAsia="zh-CN"/>
        </w:rPr>
        <w:t>常态化开展。</w:t>
      </w:r>
    </w:p>
    <w:p>
      <w:pPr>
        <w:widowControl/>
        <w:numPr>
          <w:ilvl w:val="0"/>
          <w:numId w:val="0"/>
        </w:numPr>
        <w:spacing w:line="560" w:lineRule="exact"/>
        <w:ind w:leftChars="200"/>
        <w:jc w:val="left"/>
        <w:rPr>
          <w:rFonts w:hint="default" w:ascii="Times New Roman" w:hAnsi="Times New Roman" w:eastAsia="仿宋_GB2312" w:cs="仿宋_GB2312"/>
          <w:color w:val="auto"/>
          <w:sz w:val="32"/>
          <w:szCs w:val="32"/>
          <w:lang w:val="en-US" w:eastAsia="zh-CN"/>
        </w:rPr>
      </w:pPr>
    </w:p>
    <w:sectPr>
      <w:footerReference r:id="rId3" w:type="default"/>
      <w:pgSz w:w="11906" w:h="16838"/>
      <w:pgMar w:top="2041" w:right="1474" w:bottom="1928" w:left="1474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粗黑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41A0BFB"/>
    <w:multiLevelType w:val="singleLevel"/>
    <w:tmpl w:val="441A0BFB"/>
    <w:lvl w:ilvl="0" w:tentative="0">
      <w:start w:val="1"/>
      <w:numFmt w:val="chineseCounting"/>
      <w:suff w:val="nothing"/>
      <w:lvlText w:val="%1、"/>
      <w:lvlJc w:val="left"/>
      <w:pPr>
        <w:ind w:left="-1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7EF0F50"/>
    <w:rsid w:val="000020C5"/>
    <w:rsid w:val="0022207E"/>
    <w:rsid w:val="003812CF"/>
    <w:rsid w:val="00396DCD"/>
    <w:rsid w:val="00430174"/>
    <w:rsid w:val="006E0671"/>
    <w:rsid w:val="007D7631"/>
    <w:rsid w:val="007F57A0"/>
    <w:rsid w:val="0080173C"/>
    <w:rsid w:val="008A5561"/>
    <w:rsid w:val="008E73CA"/>
    <w:rsid w:val="00AC4ADA"/>
    <w:rsid w:val="00B15CCB"/>
    <w:rsid w:val="00B70E8F"/>
    <w:rsid w:val="00CE14A4"/>
    <w:rsid w:val="00CF26A4"/>
    <w:rsid w:val="00D6686D"/>
    <w:rsid w:val="00E1349D"/>
    <w:rsid w:val="00E86B0F"/>
    <w:rsid w:val="00EA694A"/>
    <w:rsid w:val="00EC357D"/>
    <w:rsid w:val="00EF1525"/>
    <w:rsid w:val="00F051A3"/>
    <w:rsid w:val="026B63EF"/>
    <w:rsid w:val="028B3969"/>
    <w:rsid w:val="0758669C"/>
    <w:rsid w:val="0CCC0A12"/>
    <w:rsid w:val="0D47198C"/>
    <w:rsid w:val="0DC24B25"/>
    <w:rsid w:val="13257689"/>
    <w:rsid w:val="25C60ACB"/>
    <w:rsid w:val="30E1470F"/>
    <w:rsid w:val="320370A2"/>
    <w:rsid w:val="327337D6"/>
    <w:rsid w:val="3AD62FB7"/>
    <w:rsid w:val="3B536001"/>
    <w:rsid w:val="406F2AC8"/>
    <w:rsid w:val="41E600C3"/>
    <w:rsid w:val="41FC6FBF"/>
    <w:rsid w:val="42DE2DE3"/>
    <w:rsid w:val="442D081E"/>
    <w:rsid w:val="489A0273"/>
    <w:rsid w:val="4FAD60F0"/>
    <w:rsid w:val="54F1151E"/>
    <w:rsid w:val="57EF0F50"/>
    <w:rsid w:val="5C414915"/>
    <w:rsid w:val="60D67B96"/>
    <w:rsid w:val="61E95785"/>
    <w:rsid w:val="621469C4"/>
    <w:rsid w:val="687124A6"/>
    <w:rsid w:val="75105ED8"/>
    <w:rsid w:val="758E6277"/>
    <w:rsid w:val="765E1B57"/>
    <w:rsid w:val="7A037BB6"/>
    <w:rsid w:val="7E5562A9"/>
    <w:rsid w:val="7F1C34C6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2"/>
    <w:qFormat/>
    <w:uiPriority w:val="0"/>
    <w:pPr>
      <w:jc w:val="left"/>
    </w:pPr>
  </w:style>
  <w:style w:type="paragraph" w:styleId="3">
    <w:name w:val="Balloon Text"/>
    <w:basedOn w:val="1"/>
    <w:link w:val="14"/>
    <w:qFormat/>
    <w:uiPriority w:val="0"/>
    <w:rPr>
      <w:sz w:val="18"/>
      <w:szCs w:val="18"/>
    </w:rPr>
  </w:style>
  <w:style w:type="paragraph" w:styleId="4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styleId="5">
    <w:name w:val="header"/>
    <w:basedOn w:val="1"/>
    <w:link w:val="1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7">
    <w:name w:val="annotation subject"/>
    <w:basedOn w:val="2"/>
    <w:next w:val="2"/>
    <w:link w:val="13"/>
    <w:qFormat/>
    <w:uiPriority w:val="0"/>
    <w:rPr>
      <w:b/>
      <w:bCs/>
    </w:rPr>
  </w:style>
  <w:style w:type="character" w:styleId="10">
    <w:name w:val="annotation reference"/>
    <w:basedOn w:val="9"/>
    <w:qFormat/>
    <w:uiPriority w:val="0"/>
    <w:rPr>
      <w:sz w:val="21"/>
      <w:szCs w:val="21"/>
    </w:rPr>
  </w:style>
  <w:style w:type="character" w:customStyle="1" w:styleId="11">
    <w:name w:val="页眉 Char"/>
    <w:basedOn w:val="9"/>
    <w:link w:val="5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2">
    <w:name w:val="批注文字 Char"/>
    <w:basedOn w:val="9"/>
    <w:link w:val="2"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  <w:style w:type="character" w:customStyle="1" w:styleId="13">
    <w:name w:val="批注主题 Char"/>
    <w:basedOn w:val="12"/>
    <w:link w:val="7"/>
    <w:qFormat/>
    <w:uiPriority w:val="0"/>
    <w:rPr>
      <w:rFonts w:asciiTheme="minorHAnsi" w:hAnsiTheme="minorHAnsi" w:eastAsiaTheme="minorEastAsia" w:cstheme="minorBidi"/>
      <w:b/>
      <w:bCs/>
      <w:kern w:val="2"/>
      <w:sz w:val="21"/>
      <w:szCs w:val="24"/>
    </w:rPr>
  </w:style>
  <w:style w:type="character" w:customStyle="1" w:styleId="14">
    <w:name w:val="批注框文本 Char"/>
    <w:basedOn w:val="9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3</Pages>
  <Words>179</Words>
  <Characters>1024</Characters>
  <Lines>8</Lines>
  <Paragraphs>2</Paragraphs>
  <TotalTime>22</TotalTime>
  <ScaleCrop>false</ScaleCrop>
  <LinksUpToDate>false</LinksUpToDate>
  <CharactersWithSpaces>1201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2021-08-05T01:39:00Z</dcterms:created>
  <dc:creator>admin</dc:creator>
  <cp:lastModifiedBy>山色空濛雨亦奇</cp:lastModifiedBy>
  <cp:lastPrinted>2021-08-05T01:47:00Z</cp:lastPrinted>
  <dcterms:modified xsi:type="dcterms:W3CDTF">2021-09-02T06:10:55Z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595BC63EEBFB4916A8A786AA971A2E92</vt:lpwstr>
  </property>
</Properties>
</file>