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580" w:lineRule="atLeast"/>
        <w:ind w:left="0" w:right="0"/>
        <w:jc w:val="center"/>
        <w:rPr>
          <w:rFonts w:ascii="Calibri" w:hAnsi="Calibri" w:cs="Calibri"/>
          <w:sz w:val="36"/>
          <w:szCs w:val="36"/>
        </w:rPr>
      </w:pPr>
      <w:bookmarkStart w:id="0" w:name="_GoBack"/>
      <w:r>
        <w:rPr>
          <w:rFonts w:ascii="方正小标宋_GBK" w:hAnsi="方正小标宋_GBK" w:eastAsia="方正小标宋_GBK" w:cs="方正小标宋_GBK"/>
          <w:i w:val="0"/>
          <w:iCs w:val="0"/>
          <w:caps w:val="0"/>
          <w:color w:val="000000"/>
          <w:spacing w:val="0"/>
          <w:kern w:val="0"/>
          <w:sz w:val="36"/>
          <w:szCs w:val="36"/>
          <w:lang w:val="en-US" w:eastAsia="zh-CN" w:bidi="ar"/>
        </w:rPr>
        <w:t>关于《</w:t>
      </w:r>
      <w:r>
        <w:rPr>
          <w:rFonts w:hint="default" w:ascii="方正小标宋_GBK" w:hAnsi="方正小标宋_GBK" w:eastAsia="方正小标宋_GBK" w:cs="方正小标宋_GBK"/>
          <w:i w:val="0"/>
          <w:iCs w:val="0"/>
          <w:caps w:val="0"/>
          <w:color w:val="000000"/>
          <w:spacing w:val="0"/>
          <w:kern w:val="0"/>
          <w:sz w:val="36"/>
          <w:szCs w:val="36"/>
          <w:lang w:val="en-US" w:eastAsia="zh-CN" w:bidi="ar"/>
        </w:rPr>
        <w:t>太仓市景观照明管理办法（试行）》</w:t>
      </w:r>
      <w:bookmarkEnd w:id="0"/>
    </w:p>
    <w:p>
      <w:pPr>
        <w:keepNext w:val="0"/>
        <w:keepLines w:val="0"/>
        <w:widowControl/>
        <w:suppressLineNumbers w:val="0"/>
        <w:spacing w:before="0" w:beforeAutospacing="0" w:after="0" w:afterAutospacing="0" w:line="580" w:lineRule="atLeast"/>
        <w:ind w:left="0" w:right="0"/>
        <w:jc w:val="center"/>
        <w:rPr>
          <w:rFonts w:hint="default" w:ascii="Calibri" w:hAnsi="Calibri" w:cs="Calibri"/>
          <w:sz w:val="36"/>
          <w:szCs w:val="36"/>
        </w:rPr>
      </w:pPr>
      <w:r>
        <w:rPr>
          <w:rFonts w:hint="default" w:ascii="方正小标宋_GBK" w:hAnsi="方正小标宋_GBK" w:eastAsia="方正小标宋_GBK" w:cs="方正小标宋_GBK"/>
          <w:i w:val="0"/>
          <w:iCs w:val="0"/>
          <w:caps w:val="0"/>
          <w:color w:val="000000"/>
          <w:spacing w:val="0"/>
          <w:kern w:val="0"/>
          <w:sz w:val="36"/>
          <w:szCs w:val="36"/>
          <w:lang w:val="en-US" w:eastAsia="zh-CN" w:bidi="ar"/>
        </w:rPr>
        <w:t>（修订稿）的起草说明</w:t>
      </w:r>
    </w:p>
    <w:p>
      <w:pPr>
        <w:keepNext w:val="0"/>
        <w:keepLines w:val="0"/>
        <w:widowControl/>
        <w:suppressLineNumbers w:val="0"/>
        <w:spacing w:before="0" w:beforeAutospacing="0" w:after="0" w:afterAutospacing="0" w:line="580" w:lineRule="atLeast"/>
        <w:ind w:left="0" w:right="0"/>
        <w:jc w:val="both"/>
        <w:rPr>
          <w:rFonts w:hint="default" w:ascii="Calibri" w:hAnsi="Calibri" w:cs="Calibri"/>
          <w:sz w:val="21"/>
          <w:szCs w:val="21"/>
        </w:rPr>
      </w:pPr>
      <w:r>
        <w:rPr>
          <w:rFonts w:hint="default" w:ascii="Times New Roman" w:hAnsi="Times New Roman" w:cs="Times New Roman" w:eastAsiaTheme="minorEastAsia"/>
          <w:i w:val="0"/>
          <w:iCs w:val="0"/>
          <w:caps w:val="0"/>
          <w:color w:val="000000"/>
          <w:spacing w:val="0"/>
          <w:kern w:val="0"/>
          <w:sz w:val="44"/>
          <w:szCs w:val="44"/>
          <w:lang w:val="en-US" w:eastAsia="zh-CN" w:bidi="ar"/>
        </w:rPr>
        <w:t> </w:t>
      </w:r>
    </w:p>
    <w:p>
      <w:pPr>
        <w:keepNext w:val="0"/>
        <w:keepLines w:val="0"/>
        <w:widowControl/>
        <w:suppressLineNumbers w:val="0"/>
        <w:spacing w:before="0" w:beforeAutospacing="0" w:after="0" w:afterAutospacing="0" w:line="580" w:lineRule="atLeast"/>
        <w:ind w:left="0" w:right="0" w:firstLine="640"/>
        <w:jc w:val="left"/>
        <w:rPr>
          <w:rFonts w:hint="default" w:ascii="Calibri" w:hAnsi="Calibri" w:cs="Calibri"/>
          <w:sz w:val="21"/>
          <w:szCs w:val="21"/>
        </w:rPr>
      </w:pPr>
      <w:r>
        <w:rPr>
          <w:rFonts w:ascii="仿宋_GB2312" w:hAnsi="Calibri" w:eastAsia="仿宋_GB2312" w:cs="仿宋_GB2312"/>
          <w:i w:val="0"/>
          <w:iCs w:val="0"/>
          <w:caps w:val="0"/>
          <w:color w:val="000000"/>
          <w:spacing w:val="0"/>
          <w:kern w:val="0"/>
          <w:sz w:val="32"/>
          <w:szCs w:val="32"/>
          <w:lang w:val="en-US" w:eastAsia="zh-CN" w:bidi="ar"/>
        </w:rPr>
        <w:t>为进一步规范我市景观照明管理，改善城市夜间景观，展示城市风貌，根据《江苏省城市市容和环境卫生管理条例》《江苏省物业管理条例》《苏州市市政设施管理条例》等法规、规范性文件，结合我市实际，对《太仓市景观照明管理办法（试行）》进行修订，制定了《太仓市景观照明管理办法（试行）》（修订稿），现将有关情况说明如下：</w:t>
      </w:r>
    </w:p>
    <w:p>
      <w:pPr>
        <w:keepNext w:val="0"/>
        <w:keepLines w:val="0"/>
        <w:widowControl/>
        <w:suppressLineNumbers w:val="0"/>
        <w:spacing w:before="0" w:beforeAutospacing="0" w:after="0" w:afterAutospacing="0" w:line="580" w:lineRule="atLeast"/>
        <w:ind w:left="0" w:right="0" w:firstLine="640"/>
        <w:jc w:val="both"/>
        <w:rPr>
          <w:rFonts w:hint="default" w:ascii="Calibri" w:hAnsi="Calibri" w:cs="Calibri"/>
          <w:sz w:val="21"/>
          <w:szCs w:val="21"/>
        </w:rPr>
      </w:pPr>
      <w:r>
        <w:rPr>
          <w:rFonts w:ascii="黑体" w:hAnsi="宋体" w:eastAsia="黑体" w:cs="黑体"/>
          <w:i w:val="0"/>
          <w:iCs w:val="0"/>
          <w:caps w:val="0"/>
          <w:color w:val="000000"/>
          <w:spacing w:val="0"/>
          <w:kern w:val="0"/>
          <w:sz w:val="32"/>
          <w:szCs w:val="32"/>
          <w:lang w:val="en-US" w:eastAsia="zh-CN" w:bidi="ar"/>
        </w:rPr>
        <w:t>一、</w:t>
      </w:r>
      <w:r>
        <w:rPr>
          <w:rFonts w:hint="eastAsia" w:ascii="黑体" w:hAnsi="宋体" w:eastAsia="黑体" w:cs="黑体"/>
          <w:i w:val="0"/>
          <w:iCs w:val="0"/>
          <w:caps w:val="0"/>
          <w:color w:val="000000"/>
          <w:spacing w:val="0"/>
          <w:kern w:val="0"/>
          <w:sz w:val="32"/>
          <w:szCs w:val="32"/>
          <w:lang w:val="en-US" w:eastAsia="zh-CN" w:bidi="ar"/>
        </w:rPr>
        <w:t>修订背景</w:t>
      </w:r>
    </w:p>
    <w:p>
      <w:pPr>
        <w:keepNext w:val="0"/>
        <w:keepLines w:val="0"/>
        <w:widowControl/>
        <w:suppressLineNumbers w:val="0"/>
        <w:spacing w:before="0" w:beforeAutospacing="0" w:after="0" w:afterAutospacing="0" w:line="580" w:lineRule="atLeast"/>
        <w:ind w:left="0" w:right="0" w:firstLine="640"/>
        <w:jc w:val="left"/>
        <w:rPr>
          <w:rFonts w:hint="default" w:ascii="Calibri" w:hAnsi="Calibri" w:cs="Calibri"/>
          <w:sz w:val="21"/>
          <w:szCs w:val="21"/>
        </w:rPr>
      </w:pPr>
      <w:r>
        <w:rPr>
          <w:rFonts w:hint="eastAsia" w:ascii="仿宋_GB2312" w:hAnsi="Times New Roman" w:eastAsia="仿宋_GB2312" w:cs="仿宋_GB2312"/>
          <w:i w:val="0"/>
          <w:iCs w:val="0"/>
          <w:caps w:val="0"/>
          <w:color w:val="000000"/>
          <w:spacing w:val="0"/>
          <w:kern w:val="0"/>
          <w:sz w:val="32"/>
          <w:szCs w:val="32"/>
          <w:lang w:val="en-US" w:eastAsia="zh-CN" w:bidi="ar"/>
        </w:rPr>
        <w:t>为解决我市景观照明设施日渐增多，但景观照明的建设和管养责任不清，管理混乱，各方建、管、养责任亟需明确的问题，增强景观照明建设的整体性，推动景观照明管理规范化，城管局牵头起草了《太仓市景观照明管理办法（试行）》（以下简称《办法》），《办法》于今年</w:t>
      </w:r>
      <w:r>
        <w:rPr>
          <w:rFonts w:hint="default" w:ascii="Times New Roman" w:hAnsi="Times New Roman" w:cs="Times New Roman" w:eastAsiaTheme="minorEastAsia"/>
          <w:i w:val="0"/>
          <w:iCs w:val="0"/>
          <w:caps w:val="0"/>
          <w:color w:val="000000"/>
          <w:spacing w:val="0"/>
          <w:kern w:val="0"/>
          <w:sz w:val="32"/>
          <w:szCs w:val="32"/>
          <w:lang w:val="en-US" w:eastAsia="zh-CN" w:bidi="ar"/>
        </w:rPr>
        <w:t>5</w:t>
      </w:r>
      <w:r>
        <w:rPr>
          <w:rFonts w:hint="eastAsia" w:ascii="仿宋_GB2312" w:hAnsi="Times New Roman" w:eastAsia="仿宋_GB2312" w:cs="仿宋_GB2312"/>
          <w:i w:val="0"/>
          <w:iCs w:val="0"/>
          <w:caps w:val="0"/>
          <w:color w:val="000000"/>
          <w:spacing w:val="0"/>
          <w:kern w:val="0"/>
          <w:sz w:val="32"/>
          <w:szCs w:val="32"/>
          <w:lang w:val="en-US" w:eastAsia="zh-CN" w:bidi="ar"/>
        </w:rPr>
        <w:t>月</w:t>
      </w:r>
      <w:r>
        <w:rPr>
          <w:rFonts w:hint="default" w:ascii="Times New Roman" w:hAnsi="Times New Roman" w:cs="Times New Roman" w:eastAsiaTheme="minorEastAsia"/>
          <w:i w:val="0"/>
          <w:iCs w:val="0"/>
          <w:caps w:val="0"/>
          <w:color w:val="000000"/>
          <w:spacing w:val="0"/>
          <w:kern w:val="0"/>
          <w:sz w:val="32"/>
          <w:szCs w:val="32"/>
          <w:lang w:val="en-US" w:eastAsia="zh-CN" w:bidi="ar"/>
        </w:rPr>
        <w:t>14</w:t>
      </w:r>
      <w:r>
        <w:rPr>
          <w:rFonts w:hint="eastAsia" w:ascii="仿宋_GB2312" w:hAnsi="Times New Roman" w:eastAsia="仿宋_GB2312" w:cs="仿宋_GB2312"/>
          <w:i w:val="0"/>
          <w:iCs w:val="0"/>
          <w:caps w:val="0"/>
          <w:color w:val="000000"/>
          <w:spacing w:val="0"/>
          <w:kern w:val="0"/>
          <w:sz w:val="32"/>
          <w:szCs w:val="32"/>
          <w:lang w:val="en-US" w:eastAsia="zh-CN" w:bidi="ar"/>
        </w:rPr>
        <w:t>日公开发布，</w:t>
      </w:r>
      <w:r>
        <w:rPr>
          <w:rFonts w:hint="default" w:ascii="Times New Roman" w:hAnsi="Times New Roman" w:cs="Times New Roman" w:eastAsiaTheme="minorEastAsia"/>
          <w:i w:val="0"/>
          <w:iCs w:val="0"/>
          <w:caps w:val="0"/>
          <w:color w:val="000000"/>
          <w:spacing w:val="0"/>
          <w:kern w:val="0"/>
          <w:sz w:val="32"/>
          <w:szCs w:val="32"/>
          <w:lang w:val="en-US" w:eastAsia="zh-CN" w:bidi="ar"/>
        </w:rPr>
        <w:t>7</w:t>
      </w:r>
      <w:r>
        <w:rPr>
          <w:rFonts w:hint="eastAsia" w:ascii="仿宋_GB2312" w:hAnsi="Times New Roman" w:eastAsia="仿宋_GB2312" w:cs="仿宋_GB2312"/>
          <w:i w:val="0"/>
          <w:iCs w:val="0"/>
          <w:caps w:val="0"/>
          <w:color w:val="000000"/>
          <w:spacing w:val="0"/>
          <w:kern w:val="0"/>
          <w:sz w:val="32"/>
          <w:szCs w:val="32"/>
          <w:lang w:val="en-US" w:eastAsia="zh-CN" w:bidi="ar"/>
        </w:rPr>
        <w:t>月</w:t>
      </w:r>
      <w:r>
        <w:rPr>
          <w:rFonts w:hint="default" w:ascii="Times New Roman" w:hAnsi="Times New Roman" w:cs="Times New Roman" w:eastAsiaTheme="minorEastAsia"/>
          <w:i w:val="0"/>
          <w:iCs w:val="0"/>
          <w:caps w:val="0"/>
          <w:color w:val="000000"/>
          <w:spacing w:val="0"/>
          <w:kern w:val="0"/>
          <w:sz w:val="32"/>
          <w:szCs w:val="32"/>
          <w:lang w:val="en-US" w:eastAsia="zh-CN" w:bidi="ar"/>
        </w:rPr>
        <w:t>1</w:t>
      </w:r>
      <w:r>
        <w:rPr>
          <w:rFonts w:hint="eastAsia" w:ascii="仿宋_GB2312" w:hAnsi="Times New Roman" w:eastAsia="仿宋_GB2312" w:cs="仿宋_GB2312"/>
          <w:i w:val="0"/>
          <w:iCs w:val="0"/>
          <w:caps w:val="0"/>
          <w:color w:val="000000"/>
          <w:spacing w:val="0"/>
          <w:kern w:val="0"/>
          <w:sz w:val="32"/>
          <w:szCs w:val="32"/>
          <w:lang w:val="en-US" w:eastAsia="zh-CN" w:bidi="ar"/>
        </w:rPr>
        <w:t>日施行。《办法》试行半年以来大大规范了全市景观照明管理，但或多或少存在不尽完善之处</w:t>
      </w:r>
      <w:r>
        <w:rPr>
          <w:rFonts w:hint="eastAsia" w:ascii="仿宋_GB2312" w:hAnsi="Calibri" w:eastAsia="仿宋_GB2312" w:cs="仿宋_GB2312"/>
          <w:i w:val="0"/>
          <w:iCs w:val="0"/>
          <w:caps w:val="0"/>
          <w:color w:val="000000"/>
          <w:spacing w:val="0"/>
          <w:kern w:val="0"/>
          <w:sz w:val="32"/>
          <w:szCs w:val="32"/>
          <w:lang w:val="en-US" w:eastAsia="zh-CN" w:bidi="ar"/>
        </w:rPr>
        <w:t>，部分内容表述容易引发歧义。根据国务院办公厅《关于加强行政规范性文件制定和监督管理工作的通知》《江苏省规范性文件制定和备案规定》等有关规定的要求，为进一步提高文件制定质量，经与太仓市司法局沟通研究后，本局结合</w:t>
      </w:r>
      <w:r>
        <w:rPr>
          <w:rFonts w:hint="eastAsia" w:ascii="仿宋_GB2312" w:hAnsi="Times New Roman" w:eastAsia="仿宋_GB2312" w:cs="仿宋_GB2312"/>
          <w:i w:val="0"/>
          <w:iCs w:val="0"/>
          <w:caps w:val="0"/>
          <w:color w:val="000000"/>
          <w:spacing w:val="0"/>
          <w:kern w:val="0"/>
          <w:sz w:val="32"/>
          <w:szCs w:val="32"/>
          <w:lang w:val="en-US" w:eastAsia="zh-CN" w:bidi="ar"/>
        </w:rPr>
        <w:t>我市</w:t>
      </w:r>
      <w:r>
        <w:rPr>
          <w:rFonts w:hint="eastAsia" w:ascii="仿宋_GB2312" w:hAnsi="Calibri" w:eastAsia="仿宋_GB2312" w:cs="仿宋_GB2312"/>
          <w:i w:val="0"/>
          <w:iCs w:val="0"/>
          <w:caps w:val="0"/>
          <w:color w:val="000000"/>
          <w:spacing w:val="0"/>
          <w:kern w:val="0"/>
          <w:sz w:val="32"/>
          <w:szCs w:val="32"/>
          <w:lang w:val="en-US" w:eastAsia="zh-CN" w:bidi="ar"/>
        </w:rPr>
        <w:t>照明</w:t>
      </w:r>
      <w:r>
        <w:rPr>
          <w:rFonts w:hint="eastAsia" w:ascii="仿宋_GB2312" w:hAnsi="Times New Roman" w:eastAsia="仿宋_GB2312" w:cs="仿宋_GB2312"/>
          <w:i w:val="0"/>
          <w:iCs w:val="0"/>
          <w:caps w:val="0"/>
          <w:color w:val="000000"/>
          <w:spacing w:val="0"/>
          <w:kern w:val="0"/>
          <w:sz w:val="32"/>
          <w:szCs w:val="32"/>
          <w:lang w:val="en-US" w:eastAsia="zh-CN" w:bidi="ar"/>
        </w:rPr>
        <w:t>实际情况，对</w:t>
      </w:r>
      <w:r>
        <w:rPr>
          <w:rFonts w:hint="eastAsia" w:ascii="仿宋_GB2312" w:hAnsi="Calibri" w:eastAsia="仿宋_GB2312" w:cs="仿宋_GB2312"/>
          <w:i w:val="0"/>
          <w:iCs w:val="0"/>
          <w:caps w:val="0"/>
          <w:color w:val="000000"/>
          <w:spacing w:val="0"/>
          <w:kern w:val="0"/>
          <w:sz w:val="32"/>
          <w:szCs w:val="32"/>
          <w:lang w:val="en-US" w:eastAsia="zh-CN" w:bidi="ar"/>
        </w:rPr>
        <w:t>《</w:t>
      </w:r>
      <w:r>
        <w:rPr>
          <w:rFonts w:hint="eastAsia" w:ascii="仿宋_GB2312" w:hAnsi="Times New Roman" w:eastAsia="仿宋_GB2312" w:cs="仿宋_GB2312"/>
          <w:i w:val="0"/>
          <w:iCs w:val="0"/>
          <w:caps w:val="0"/>
          <w:color w:val="000000"/>
          <w:spacing w:val="0"/>
          <w:kern w:val="0"/>
          <w:sz w:val="32"/>
          <w:szCs w:val="32"/>
          <w:lang w:val="en-US" w:eastAsia="zh-CN" w:bidi="ar"/>
        </w:rPr>
        <w:t>办法</w:t>
      </w:r>
      <w:r>
        <w:rPr>
          <w:rFonts w:hint="eastAsia" w:ascii="仿宋_GB2312" w:hAnsi="Calibri" w:eastAsia="仿宋_GB2312" w:cs="仿宋_GB2312"/>
          <w:i w:val="0"/>
          <w:iCs w:val="0"/>
          <w:caps w:val="0"/>
          <w:color w:val="000000"/>
          <w:spacing w:val="0"/>
          <w:kern w:val="0"/>
          <w:sz w:val="32"/>
          <w:szCs w:val="32"/>
          <w:lang w:val="en-US" w:eastAsia="zh-CN" w:bidi="ar"/>
        </w:rPr>
        <w:t>》</w:t>
      </w:r>
      <w:r>
        <w:rPr>
          <w:rFonts w:hint="eastAsia" w:ascii="仿宋_GB2312" w:hAnsi="Times New Roman" w:eastAsia="仿宋_GB2312" w:cs="仿宋_GB2312"/>
          <w:i w:val="0"/>
          <w:iCs w:val="0"/>
          <w:caps w:val="0"/>
          <w:color w:val="000000"/>
          <w:spacing w:val="0"/>
          <w:kern w:val="0"/>
          <w:sz w:val="32"/>
          <w:szCs w:val="32"/>
          <w:lang w:val="en-US" w:eastAsia="zh-CN" w:bidi="ar"/>
        </w:rPr>
        <w:t>进行了调整完善，形成了《太仓市景观照明管理办法（试行）》（修订稿）。</w:t>
      </w:r>
    </w:p>
    <w:p>
      <w:pPr>
        <w:keepNext w:val="0"/>
        <w:keepLines w:val="0"/>
        <w:widowControl/>
        <w:suppressLineNumbers w:val="0"/>
        <w:spacing w:before="0" w:beforeAutospacing="0" w:after="0" w:afterAutospacing="0" w:line="580" w:lineRule="atLeast"/>
        <w:ind w:left="0" w:right="0" w:firstLine="640"/>
        <w:jc w:val="both"/>
        <w:rPr>
          <w:rFonts w:hint="default" w:ascii="Calibri" w:hAnsi="Calibri" w:cs="Calibri"/>
          <w:sz w:val="21"/>
          <w:szCs w:val="21"/>
        </w:rPr>
      </w:pPr>
      <w:r>
        <w:rPr>
          <w:rFonts w:hint="eastAsia" w:ascii="黑体" w:hAnsi="宋体" w:eastAsia="黑体" w:cs="黑体"/>
          <w:i w:val="0"/>
          <w:iCs w:val="0"/>
          <w:caps w:val="0"/>
          <w:color w:val="000000"/>
          <w:spacing w:val="0"/>
          <w:kern w:val="0"/>
          <w:sz w:val="32"/>
          <w:szCs w:val="32"/>
          <w:lang w:val="en-US" w:eastAsia="zh-CN" w:bidi="ar"/>
        </w:rPr>
        <w:t>二、主要内容</w:t>
      </w:r>
    </w:p>
    <w:p>
      <w:pPr>
        <w:keepNext w:val="0"/>
        <w:keepLines w:val="0"/>
        <w:widowControl/>
        <w:suppressLineNumbers w:val="0"/>
        <w:spacing w:before="0" w:beforeAutospacing="0" w:after="0" w:afterAutospacing="0" w:line="580" w:lineRule="atLeast"/>
        <w:ind w:left="0" w:right="0" w:firstLine="640"/>
        <w:jc w:val="left"/>
        <w:rPr>
          <w:rFonts w:hint="default" w:ascii="Calibri" w:hAnsi="Calibri" w:cs="Calibri"/>
          <w:sz w:val="21"/>
          <w:szCs w:val="21"/>
        </w:rPr>
      </w:pPr>
      <w:r>
        <w:rPr>
          <w:rFonts w:hint="eastAsia" w:ascii="仿宋_GB2312" w:hAnsi="Calibri" w:eastAsia="仿宋_GB2312" w:cs="仿宋_GB2312"/>
          <w:i w:val="0"/>
          <w:iCs w:val="0"/>
          <w:caps w:val="0"/>
          <w:color w:val="000000"/>
          <w:spacing w:val="0"/>
          <w:kern w:val="0"/>
          <w:sz w:val="32"/>
          <w:szCs w:val="32"/>
          <w:lang w:val="en-US" w:eastAsia="zh-CN" w:bidi="ar"/>
        </w:rPr>
        <w:t>此次《</w:t>
      </w:r>
      <w:r>
        <w:rPr>
          <w:rFonts w:hint="eastAsia" w:ascii="仿宋_GB2312" w:hAnsi="Times New Roman" w:eastAsia="仿宋_GB2312" w:cs="仿宋_GB2312"/>
          <w:i w:val="0"/>
          <w:iCs w:val="0"/>
          <w:caps w:val="0"/>
          <w:color w:val="000000"/>
          <w:spacing w:val="0"/>
          <w:kern w:val="0"/>
          <w:sz w:val="32"/>
          <w:szCs w:val="32"/>
          <w:lang w:val="en-US" w:eastAsia="zh-CN" w:bidi="ar"/>
        </w:rPr>
        <w:t>办法</w:t>
      </w:r>
      <w:r>
        <w:rPr>
          <w:rFonts w:hint="eastAsia" w:ascii="仿宋_GB2312" w:hAnsi="Calibri" w:eastAsia="仿宋_GB2312" w:cs="仿宋_GB2312"/>
          <w:i w:val="0"/>
          <w:iCs w:val="0"/>
          <w:caps w:val="0"/>
          <w:color w:val="000000"/>
          <w:spacing w:val="0"/>
          <w:kern w:val="0"/>
          <w:sz w:val="32"/>
          <w:szCs w:val="32"/>
          <w:lang w:val="en-US" w:eastAsia="zh-CN" w:bidi="ar"/>
        </w:rPr>
        <w:t>》的修订主要是对文件中涉及部门职责的条款在</w:t>
      </w:r>
      <w:r>
        <w:rPr>
          <w:rFonts w:hint="eastAsia" w:ascii="仿宋_GB2312" w:hAnsi="Times New Roman" w:eastAsia="仿宋_GB2312" w:cs="仿宋_GB2312"/>
          <w:i w:val="0"/>
          <w:iCs w:val="0"/>
          <w:caps w:val="0"/>
          <w:color w:val="000000"/>
          <w:spacing w:val="0"/>
          <w:kern w:val="0"/>
          <w:sz w:val="32"/>
          <w:szCs w:val="32"/>
          <w:lang w:val="en-US" w:eastAsia="zh-CN" w:bidi="ar"/>
        </w:rPr>
        <w:t>文字表述</w:t>
      </w:r>
      <w:r>
        <w:rPr>
          <w:rFonts w:hint="eastAsia" w:ascii="仿宋_GB2312" w:hAnsi="Calibri" w:eastAsia="仿宋_GB2312" w:cs="仿宋_GB2312"/>
          <w:i w:val="0"/>
          <w:iCs w:val="0"/>
          <w:caps w:val="0"/>
          <w:color w:val="000000"/>
          <w:spacing w:val="0"/>
          <w:kern w:val="0"/>
          <w:sz w:val="32"/>
          <w:szCs w:val="32"/>
          <w:lang w:val="en-US" w:eastAsia="zh-CN" w:bidi="ar"/>
        </w:rPr>
        <w:t>上进行了调整，措辞上更加严谨，以免引</w:t>
      </w:r>
      <w:r>
        <w:rPr>
          <w:rFonts w:hint="eastAsia" w:ascii="仿宋_GB2312" w:hAnsi="Times New Roman" w:eastAsia="仿宋_GB2312" w:cs="仿宋_GB2312"/>
          <w:i w:val="0"/>
          <w:iCs w:val="0"/>
          <w:caps w:val="0"/>
          <w:color w:val="000000"/>
          <w:spacing w:val="0"/>
          <w:kern w:val="0"/>
          <w:sz w:val="32"/>
          <w:szCs w:val="32"/>
          <w:lang w:val="en-US" w:eastAsia="zh-CN" w:bidi="ar"/>
        </w:rPr>
        <w:t>起歧义</w:t>
      </w:r>
      <w:r>
        <w:rPr>
          <w:rFonts w:hint="eastAsia" w:ascii="仿宋_GB2312" w:hAnsi="Calibri" w:eastAsia="仿宋_GB2312" w:cs="仿宋_GB2312"/>
          <w:i w:val="0"/>
          <w:iCs w:val="0"/>
          <w:caps w:val="0"/>
          <w:color w:val="000000"/>
          <w:spacing w:val="0"/>
          <w:kern w:val="0"/>
          <w:sz w:val="32"/>
          <w:szCs w:val="32"/>
          <w:lang w:val="en-US" w:eastAsia="zh-CN" w:bidi="ar"/>
        </w:rPr>
        <w:t>。整个《</w:t>
      </w:r>
      <w:r>
        <w:rPr>
          <w:rFonts w:hint="eastAsia" w:ascii="仿宋_GB2312" w:hAnsi="Times New Roman" w:eastAsia="仿宋_GB2312" w:cs="仿宋_GB2312"/>
          <w:i w:val="0"/>
          <w:iCs w:val="0"/>
          <w:caps w:val="0"/>
          <w:color w:val="000000"/>
          <w:spacing w:val="0"/>
          <w:kern w:val="0"/>
          <w:sz w:val="32"/>
          <w:szCs w:val="32"/>
          <w:lang w:val="en-US" w:eastAsia="zh-CN" w:bidi="ar"/>
        </w:rPr>
        <w:t>办法</w:t>
      </w:r>
      <w:r>
        <w:rPr>
          <w:rFonts w:hint="eastAsia" w:ascii="仿宋_GB2312" w:hAnsi="Calibri" w:eastAsia="仿宋_GB2312" w:cs="仿宋_GB2312"/>
          <w:i w:val="0"/>
          <w:iCs w:val="0"/>
          <w:caps w:val="0"/>
          <w:color w:val="000000"/>
          <w:spacing w:val="0"/>
          <w:kern w:val="0"/>
          <w:sz w:val="32"/>
          <w:szCs w:val="32"/>
          <w:lang w:val="en-US" w:eastAsia="zh-CN" w:bidi="ar"/>
        </w:rPr>
        <w:t>》</w:t>
      </w:r>
      <w:r>
        <w:rPr>
          <w:rFonts w:hint="eastAsia" w:ascii="仿宋_GB2312" w:hAnsi="Times New Roman" w:eastAsia="仿宋_GB2312" w:cs="仿宋_GB2312"/>
          <w:i w:val="0"/>
          <w:iCs w:val="0"/>
          <w:caps w:val="0"/>
          <w:color w:val="000000"/>
          <w:spacing w:val="0"/>
          <w:kern w:val="0"/>
          <w:sz w:val="32"/>
          <w:szCs w:val="32"/>
          <w:lang w:val="en-US" w:eastAsia="zh-CN" w:bidi="ar"/>
        </w:rPr>
        <w:t>共</w:t>
      </w:r>
      <w:r>
        <w:rPr>
          <w:rFonts w:hint="default" w:ascii="Times New Roman" w:hAnsi="Times New Roman" w:cs="Times New Roman" w:eastAsiaTheme="minorEastAsia"/>
          <w:i w:val="0"/>
          <w:iCs w:val="0"/>
          <w:caps w:val="0"/>
          <w:color w:val="000000"/>
          <w:spacing w:val="0"/>
          <w:kern w:val="0"/>
          <w:sz w:val="32"/>
          <w:szCs w:val="32"/>
          <w:lang w:val="en-US" w:eastAsia="zh-CN" w:bidi="ar"/>
        </w:rPr>
        <w:t>26</w:t>
      </w:r>
      <w:r>
        <w:rPr>
          <w:rFonts w:hint="eastAsia" w:ascii="仿宋_GB2312" w:hAnsi="Times New Roman" w:eastAsia="仿宋_GB2312" w:cs="仿宋_GB2312"/>
          <w:i w:val="0"/>
          <w:iCs w:val="0"/>
          <w:caps w:val="0"/>
          <w:color w:val="000000"/>
          <w:spacing w:val="0"/>
          <w:kern w:val="0"/>
          <w:sz w:val="32"/>
          <w:szCs w:val="32"/>
          <w:lang w:val="en-US" w:eastAsia="zh-CN" w:bidi="ar"/>
        </w:rPr>
        <w:t>条，可分为四个部分。</w:t>
      </w:r>
      <w:r>
        <w:rPr>
          <w:rFonts w:hint="eastAsia" w:ascii="仿宋_GB2312" w:hAnsi="Calibri" w:eastAsia="仿宋_GB2312" w:cs="仿宋_GB2312"/>
          <w:i w:val="0"/>
          <w:iCs w:val="0"/>
          <w:caps w:val="0"/>
          <w:color w:val="000000"/>
          <w:spacing w:val="0"/>
          <w:kern w:val="0"/>
          <w:sz w:val="32"/>
          <w:szCs w:val="32"/>
          <w:lang w:val="en-US" w:eastAsia="zh-CN" w:bidi="ar"/>
        </w:rPr>
        <w:t>主要内容如下：</w:t>
      </w:r>
      <w:r>
        <w:rPr>
          <w:rFonts w:hint="eastAsia" w:ascii="仿宋_GB2312" w:hAnsi="Times New Roman" w:eastAsia="仿宋_GB2312" w:cs="仿宋_GB2312"/>
          <w:i w:val="0"/>
          <w:iCs w:val="0"/>
          <w:caps w:val="0"/>
          <w:color w:val="000000"/>
          <w:spacing w:val="0"/>
          <w:kern w:val="0"/>
          <w:sz w:val="32"/>
          <w:szCs w:val="32"/>
          <w:lang w:val="en-US" w:eastAsia="zh-CN" w:bidi="ar"/>
        </w:rPr>
        <w:t>第一部分，总则。明确了制订办法的目的和依据，办法适用范围，景观照明定义、管理原则和管理部门、提出节约能源要求。第二部分，照明规划及规划方案编制要求。</w:t>
      </w:r>
      <w:r>
        <w:rPr>
          <w:rFonts w:hint="eastAsia" w:ascii="仿宋_GB2312" w:hAnsi="Calibri" w:eastAsia="仿宋_GB2312" w:cs="仿宋_GB2312"/>
          <w:i w:val="0"/>
          <w:iCs w:val="0"/>
          <w:caps w:val="0"/>
          <w:color w:val="000000"/>
          <w:spacing w:val="0"/>
          <w:kern w:val="0"/>
          <w:sz w:val="32"/>
          <w:szCs w:val="32"/>
          <w:lang w:val="en-US" w:eastAsia="zh-CN" w:bidi="ar"/>
        </w:rPr>
        <w:t>明确了</w:t>
      </w:r>
      <w:r>
        <w:rPr>
          <w:rFonts w:hint="eastAsia" w:ascii="仿宋_GB2312" w:hAnsi="Times New Roman" w:eastAsia="仿宋_GB2312" w:cs="仿宋_GB2312"/>
          <w:i w:val="0"/>
          <w:iCs w:val="0"/>
          <w:caps w:val="0"/>
          <w:color w:val="000000"/>
          <w:spacing w:val="0"/>
          <w:kern w:val="0"/>
          <w:sz w:val="32"/>
          <w:szCs w:val="32"/>
          <w:lang w:val="en-US" w:eastAsia="zh-CN" w:bidi="ar"/>
        </w:rPr>
        <w:t>景观照明规划编制要求、规划实施方案编制要求、征求意见要求。划拨或出让景观照明规划范围内地块时，资源规划部门应在建设工程规划设计要求中将景观照明的方案审批列入城市设计引导中。第三部分，景观照明设施投、建、管要求。</w:t>
      </w:r>
      <w:r>
        <w:rPr>
          <w:rFonts w:hint="eastAsia" w:ascii="仿宋_GB2312" w:hAnsi="Calibri" w:eastAsia="仿宋_GB2312" w:cs="仿宋_GB2312"/>
          <w:i w:val="0"/>
          <w:iCs w:val="0"/>
          <w:caps w:val="0"/>
          <w:color w:val="000000"/>
          <w:spacing w:val="0"/>
          <w:kern w:val="0"/>
          <w:sz w:val="32"/>
          <w:szCs w:val="32"/>
          <w:lang w:val="en-US" w:eastAsia="zh-CN" w:bidi="ar"/>
        </w:rPr>
        <w:t>明确了</w:t>
      </w:r>
      <w:r>
        <w:rPr>
          <w:rFonts w:hint="eastAsia" w:ascii="仿宋_GB2312" w:hAnsi="Times New Roman" w:eastAsia="仿宋_GB2312" w:cs="仿宋_GB2312"/>
          <w:i w:val="0"/>
          <w:iCs w:val="0"/>
          <w:caps w:val="0"/>
          <w:color w:val="000000"/>
          <w:spacing w:val="0"/>
          <w:kern w:val="0"/>
          <w:sz w:val="32"/>
          <w:szCs w:val="32"/>
          <w:lang w:val="en-US" w:eastAsia="zh-CN" w:bidi="ar"/>
        </w:rPr>
        <w:t>景观照明设置要求、新改扩建和既有设施增设要求；建设前备案要求、施工要求、验收要求；景观照明纳入集中控制验收要求、集中控制要求；管养责任主体、安全管理、利用景观照明发布广告、拆除改建、监督检查等要求。将景观照明设施分为由市财政出资、市城管局建设，各镇（区、街道）投资建设和非政府投资建设三类，明确管养责任主体</w:t>
      </w:r>
      <w:r>
        <w:rPr>
          <w:rFonts w:hint="eastAsia" w:ascii="仿宋_GB2312" w:hAnsi="Calibri" w:eastAsia="仿宋_GB2312" w:cs="仿宋_GB2312"/>
          <w:i w:val="0"/>
          <w:iCs w:val="0"/>
          <w:caps w:val="0"/>
          <w:color w:val="000000"/>
          <w:spacing w:val="0"/>
          <w:kern w:val="0"/>
          <w:sz w:val="32"/>
          <w:szCs w:val="32"/>
          <w:lang w:val="en-US" w:eastAsia="zh-CN" w:bidi="ar"/>
        </w:rPr>
        <w:t>。</w:t>
      </w:r>
      <w:r>
        <w:rPr>
          <w:rFonts w:hint="eastAsia" w:ascii="仿宋_GB2312" w:hAnsi="Times New Roman" w:eastAsia="仿宋_GB2312" w:cs="仿宋_GB2312"/>
          <w:i w:val="0"/>
          <w:iCs w:val="0"/>
          <w:caps w:val="0"/>
          <w:color w:val="000000"/>
          <w:spacing w:val="0"/>
          <w:kern w:val="0"/>
          <w:sz w:val="32"/>
          <w:szCs w:val="32"/>
          <w:lang w:val="en-US" w:eastAsia="zh-CN" w:bidi="ar"/>
        </w:rPr>
        <w:t>第四部分，法律责任要求。</w:t>
      </w:r>
      <w:r>
        <w:rPr>
          <w:rFonts w:hint="eastAsia" w:ascii="仿宋_GB2312" w:hAnsi="Calibri" w:eastAsia="仿宋_GB2312" w:cs="仿宋_GB2312"/>
          <w:i w:val="0"/>
          <w:iCs w:val="0"/>
          <w:caps w:val="0"/>
          <w:color w:val="000000"/>
          <w:spacing w:val="0"/>
          <w:kern w:val="0"/>
          <w:sz w:val="32"/>
          <w:szCs w:val="32"/>
          <w:lang w:val="en-US" w:eastAsia="zh-CN" w:bidi="ar"/>
        </w:rPr>
        <w:t>明确了</w:t>
      </w:r>
      <w:r>
        <w:rPr>
          <w:rFonts w:hint="eastAsia" w:ascii="仿宋_GB2312" w:hAnsi="Times New Roman" w:eastAsia="仿宋_GB2312" w:cs="仿宋_GB2312"/>
          <w:i w:val="0"/>
          <w:iCs w:val="0"/>
          <w:caps w:val="0"/>
          <w:color w:val="000000"/>
          <w:spacing w:val="0"/>
          <w:kern w:val="0"/>
          <w:sz w:val="32"/>
          <w:szCs w:val="32"/>
          <w:lang w:val="en-US" w:eastAsia="zh-CN" w:bidi="ar"/>
        </w:rPr>
        <w:t>擅自停用、移建、拆除景观照明设施造成损失的</w:t>
      </w:r>
      <w:r>
        <w:rPr>
          <w:rFonts w:hint="eastAsia" w:ascii="仿宋_GB2312" w:hAnsi="Calibri" w:eastAsia="仿宋_GB2312" w:cs="仿宋_GB2312"/>
          <w:i w:val="0"/>
          <w:iCs w:val="0"/>
          <w:caps w:val="0"/>
          <w:color w:val="000000"/>
          <w:spacing w:val="0"/>
          <w:kern w:val="0"/>
          <w:sz w:val="32"/>
          <w:szCs w:val="32"/>
          <w:lang w:val="en-US" w:eastAsia="zh-CN" w:bidi="ar"/>
        </w:rPr>
        <w:t>相关法律责任</w:t>
      </w:r>
      <w:r>
        <w:rPr>
          <w:rFonts w:hint="eastAsia" w:ascii="仿宋_GB2312" w:hAnsi="Times New Roman" w:eastAsia="仿宋_GB2312" w:cs="仿宋_GB2312"/>
          <w:i w:val="0"/>
          <w:iCs w:val="0"/>
          <w:caps w:val="0"/>
          <w:color w:val="000000"/>
          <w:spacing w:val="0"/>
          <w:kern w:val="0"/>
          <w:sz w:val="32"/>
          <w:szCs w:val="32"/>
          <w:lang w:val="en-US" w:eastAsia="zh-CN" w:bidi="ar"/>
        </w:rPr>
        <w:t>。</w:t>
      </w:r>
    </w:p>
    <w:p>
      <w:pPr>
        <w:keepNext w:val="0"/>
        <w:keepLines w:val="0"/>
        <w:widowControl/>
        <w:suppressLineNumbers w:val="0"/>
        <w:spacing w:before="0" w:beforeAutospacing="0" w:after="0" w:afterAutospacing="0" w:line="580" w:lineRule="atLeast"/>
        <w:ind w:left="0" w:right="0"/>
        <w:jc w:val="both"/>
        <w:rPr>
          <w:rFonts w:hint="default" w:ascii="Calibri" w:hAnsi="Calibri" w:cs="Calibri"/>
          <w:sz w:val="21"/>
          <w:szCs w:val="21"/>
        </w:rPr>
      </w:pPr>
      <w:r>
        <w:rPr>
          <w:rFonts w:hint="default" w:ascii="Times New Roman" w:hAnsi="Times New Roman" w:cs="Times New Roman" w:eastAsiaTheme="minorEastAsia"/>
          <w:i w:val="0"/>
          <w:iCs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line="580" w:lineRule="atLeast"/>
        <w:ind w:left="0" w:right="0" w:firstLine="640"/>
        <w:jc w:val="both"/>
        <w:rPr>
          <w:rFonts w:hint="default" w:ascii="Calibri" w:hAnsi="Calibri" w:cs="Calibri"/>
          <w:sz w:val="21"/>
          <w:szCs w:val="21"/>
        </w:rPr>
      </w:pPr>
      <w:r>
        <w:rPr>
          <w:rFonts w:hint="default" w:ascii="Times New Roman" w:hAnsi="Times New Roman" w:cs="Times New Roman" w:eastAsiaTheme="minorEastAsia"/>
          <w:i w:val="0"/>
          <w:iCs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line="580" w:lineRule="atLeast"/>
        <w:ind w:left="0" w:right="0" w:firstLine="5600"/>
        <w:jc w:val="both"/>
        <w:rPr>
          <w:rFonts w:hint="default" w:ascii="Calibri" w:hAnsi="Calibri" w:cs="Calibri"/>
          <w:sz w:val="21"/>
          <w:szCs w:val="21"/>
        </w:rPr>
      </w:pPr>
      <w:r>
        <w:rPr>
          <w:rFonts w:hint="eastAsia" w:ascii="仿宋_GB2312" w:hAnsi="Times New Roman" w:eastAsia="仿宋_GB2312" w:cs="仿宋_GB2312"/>
          <w:i w:val="0"/>
          <w:iCs w:val="0"/>
          <w:caps w:val="0"/>
          <w:color w:val="000000"/>
          <w:spacing w:val="0"/>
          <w:kern w:val="0"/>
          <w:sz w:val="32"/>
          <w:szCs w:val="32"/>
          <w:lang w:val="en-US" w:eastAsia="zh-CN" w:bidi="ar"/>
        </w:rPr>
        <w:t>太仓市</w:t>
      </w:r>
      <w:r>
        <w:rPr>
          <w:rFonts w:hint="eastAsia" w:ascii="仿宋_GB2312" w:hAnsi="Calibri" w:eastAsia="仿宋_GB2312" w:cs="仿宋_GB2312"/>
          <w:i w:val="0"/>
          <w:iCs w:val="0"/>
          <w:caps w:val="0"/>
          <w:color w:val="000000"/>
          <w:spacing w:val="0"/>
          <w:kern w:val="0"/>
          <w:sz w:val="32"/>
          <w:szCs w:val="32"/>
          <w:lang w:val="en-US" w:eastAsia="zh-CN" w:bidi="ar"/>
        </w:rPr>
        <w:t>城市管理局</w:t>
      </w:r>
    </w:p>
    <w:p>
      <w:pPr>
        <w:keepNext w:val="0"/>
        <w:keepLines w:val="0"/>
        <w:widowControl/>
        <w:suppressLineNumbers w:val="0"/>
        <w:spacing w:before="0" w:beforeAutospacing="0" w:after="0" w:afterAutospacing="0" w:line="580" w:lineRule="atLeast"/>
        <w:ind w:left="0" w:right="0" w:firstLine="5760"/>
        <w:jc w:val="both"/>
        <w:rPr>
          <w:rFonts w:hint="default" w:ascii="Calibri" w:hAnsi="Calibri" w:cs="Calibri"/>
          <w:sz w:val="21"/>
          <w:szCs w:val="21"/>
        </w:rPr>
      </w:pPr>
      <w:r>
        <w:rPr>
          <w:rFonts w:hint="default" w:ascii="Times New Roman" w:hAnsi="Times New Roman" w:cs="Times New Roman" w:eastAsiaTheme="minorEastAsia"/>
          <w:i w:val="0"/>
          <w:iCs w:val="0"/>
          <w:caps w:val="0"/>
          <w:color w:val="000000"/>
          <w:spacing w:val="0"/>
          <w:kern w:val="0"/>
          <w:sz w:val="32"/>
          <w:szCs w:val="32"/>
          <w:lang w:val="en-US" w:eastAsia="zh-CN" w:bidi="ar"/>
        </w:rPr>
        <w:t>2021</w:t>
      </w:r>
      <w:r>
        <w:rPr>
          <w:rFonts w:hint="eastAsia" w:ascii="仿宋_GB2312" w:hAnsi="Times New Roman" w:eastAsia="仿宋_GB2312" w:cs="仿宋_GB2312"/>
          <w:i w:val="0"/>
          <w:iCs w:val="0"/>
          <w:caps w:val="0"/>
          <w:color w:val="000000"/>
          <w:spacing w:val="0"/>
          <w:kern w:val="0"/>
          <w:sz w:val="32"/>
          <w:szCs w:val="32"/>
          <w:lang w:val="en-US" w:eastAsia="zh-CN" w:bidi="ar"/>
        </w:rPr>
        <w:t>年</w:t>
      </w:r>
      <w:r>
        <w:rPr>
          <w:rFonts w:hint="eastAsia" w:ascii="仿宋_GB2312" w:hAnsi="Calibri" w:eastAsia="仿宋_GB2312" w:cs="仿宋_GB2312"/>
          <w:i w:val="0"/>
          <w:iCs w:val="0"/>
          <w:caps w:val="0"/>
          <w:color w:val="000000"/>
          <w:spacing w:val="0"/>
          <w:kern w:val="0"/>
          <w:sz w:val="32"/>
          <w:szCs w:val="32"/>
          <w:lang w:val="en-US" w:eastAsia="zh-CN" w:bidi="ar"/>
        </w:rPr>
        <w:t>10</w:t>
      </w:r>
      <w:r>
        <w:rPr>
          <w:rFonts w:hint="eastAsia" w:ascii="仿宋_GB2312" w:hAnsi="Times New Roman" w:eastAsia="仿宋_GB2312" w:cs="仿宋_GB2312"/>
          <w:i w:val="0"/>
          <w:iCs w:val="0"/>
          <w:caps w:val="0"/>
          <w:color w:val="000000"/>
          <w:spacing w:val="0"/>
          <w:kern w:val="0"/>
          <w:sz w:val="32"/>
          <w:szCs w:val="32"/>
          <w:lang w:val="en-US" w:eastAsia="zh-CN" w:bidi="ar"/>
        </w:rPr>
        <w:t>月</w:t>
      </w:r>
      <w:r>
        <w:rPr>
          <w:rFonts w:hint="eastAsia" w:ascii="仿宋_GB2312" w:hAnsi="Calibri" w:eastAsia="仿宋_GB2312" w:cs="仿宋_GB2312"/>
          <w:i w:val="0"/>
          <w:iCs w:val="0"/>
          <w:caps w:val="0"/>
          <w:color w:val="000000"/>
          <w:spacing w:val="0"/>
          <w:kern w:val="0"/>
          <w:sz w:val="32"/>
          <w:szCs w:val="32"/>
          <w:lang w:val="en-US" w:eastAsia="zh-CN" w:bidi="ar"/>
        </w:rPr>
        <w:t>29</w:t>
      </w:r>
      <w:r>
        <w:rPr>
          <w:rFonts w:hint="eastAsia" w:ascii="仿宋_GB2312" w:hAnsi="Times New Roman" w:eastAsia="仿宋_GB2312" w:cs="仿宋_GB2312"/>
          <w:i w:val="0"/>
          <w:iCs w:val="0"/>
          <w:caps w:val="0"/>
          <w:color w:val="000000"/>
          <w:spacing w:val="0"/>
          <w:kern w:val="0"/>
          <w:sz w:val="32"/>
          <w:szCs w:val="32"/>
          <w:lang w:val="en-US" w:eastAsia="zh-CN" w:bidi="ar"/>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B430B9"/>
    <w:rsid w:val="55B430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2021-12-30T03:04:00Z</dcterms:created>
  <dc:creator>庄伯阳</dc:creator>
  <cp:lastModifiedBy>庄伯阳</cp:lastModifiedBy>
  <dcterms:modified xsi:type="dcterms:W3CDTF">2021-12-30T03:05:01Z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30A7E3CA1CE749DE85B138733CA21D80</vt:lpwstr>
  </property>
</Properties>
</file>