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Times New Roman" w:hAnsi="Times New Roman" w:eastAsia="方正小标宋_GBK"/>
          <w:sz w:val="44"/>
          <w:szCs w:val="44"/>
        </w:rPr>
      </w:pPr>
      <w:bookmarkStart w:id="0" w:name="_Hlk143616866"/>
      <w:r>
        <w:rPr>
          <w:rFonts w:ascii="Times New Roman" w:hAnsi="Times New Roman" w:eastAsia="方正小标宋_GBK"/>
          <w:sz w:val="44"/>
          <w:szCs w:val="44"/>
        </w:rPr>
        <w:t>关于《太仓市见义勇为称号评定实施办法》</w:t>
      </w:r>
    </w:p>
    <w:p>
      <w:pPr>
        <w:spacing w:line="600" w:lineRule="exact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ascii="Times New Roman" w:hAnsi="Times New Roman" w:eastAsia="方正小标宋_GBK"/>
          <w:sz w:val="44"/>
          <w:szCs w:val="44"/>
        </w:rPr>
        <w:t>的起草说明</w:t>
      </w:r>
    </w:p>
    <w:p>
      <w:pPr>
        <w:spacing w:line="600" w:lineRule="exact"/>
        <w:rPr>
          <w:rFonts w:ascii="Times New Roman" w:hAnsi="Times New Roman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eastAsia" w:ascii="方正黑体_GBK" w:hAnsi="Times New Roman" w:eastAsia="方正黑体_GBK"/>
          <w:sz w:val="32"/>
          <w:szCs w:val="32"/>
        </w:rPr>
      </w:pPr>
      <w:r>
        <w:rPr>
          <w:rFonts w:hint="eastAsia" w:ascii="方正黑体_GBK" w:hAnsi="Times New Roman" w:eastAsia="方正黑体_GBK"/>
          <w:sz w:val="32"/>
          <w:szCs w:val="32"/>
        </w:rPr>
        <w:t>一、起草</w:t>
      </w:r>
      <w:r>
        <w:rPr>
          <w:rFonts w:hint="eastAsia" w:ascii="方正黑体_GBK" w:hAnsi="黑体" w:eastAsia="方正黑体_GBK"/>
          <w:sz w:val="32"/>
          <w:szCs w:val="32"/>
        </w:rPr>
        <w:t>的背景和意义</w:t>
      </w:r>
    </w:p>
    <w:p>
      <w:pPr>
        <w:spacing w:line="550" w:lineRule="exact"/>
        <w:ind w:firstLine="640" w:firstLineChars="200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见义勇为是中华民族的传统美德，是彰显社会正义的善行义举。</w:t>
      </w:r>
      <w:r>
        <w:rPr>
          <w:rFonts w:hint="eastAsia" w:ascii="方正仿宋_GBK" w:hAnsi="Times New Roman" w:eastAsia="方正仿宋_GBK"/>
          <w:sz w:val="32"/>
          <w:szCs w:val="32"/>
        </w:rPr>
        <w:t>2019年1月1日起实施的《江苏省奖励和保护见义勇为人员条例》（以下简称省《条例》）明确了见义勇为人员表彰奖励类型，其中授予见义勇为称号包括“见义勇为英雄”“见义勇为模范”和“见义勇为先进个人”。其中，</w:t>
      </w:r>
      <w:r>
        <w:rPr>
          <w:rFonts w:hint="eastAsia" w:ascii="方正仿宋_GBK" w:eastAsia="方正仿宋_GBK"/>
          <w:sz w:val="32"/>
          <w:szCs w:val="32"/>
        </w:rPr>
        <w:t>“见义勇为先进个人”称号县（市、区）人民政府可以授予。2020年6月1日，省政府制定实施《江苏省见义勇为称号评定实施办法》（以下简称省《办法》），2022年8月11日，市政府制定实施《苏州市见义勇为称号评定实施办法》（以下简称市《办法》），</w:t>
      </w:r>
      <w:r>
        <w:rPr>
          <w:rFonts w:hint="eastAsia" w:ascii="方正仿宋_GBK" w:hAnsi="Times New Roman" w:eastAsia="方正仿宋_GBK"/>
          <w:sz w:val="32"/>
          <w:szCs w:val="32"/>
        </w:rPr>
        <w:t>明确了“见义勇为模范”和“见义勇为先进个人”的奖励数额、奖金标准、审批程序</w:t>
      </w:r>
      <w:r>
        <w:rPr>
          <w:rFonts w:hint="eastAsia" w:ascii="方正仿宋_GBK" w:eastAsia="方正仿宋_GBK"/>
          <w:sz w:val="32"/>
          <w:szCs w:val="32"/>
        </w:rPr>
        <w:t>。根据省《条例》、省、市《办法》要求，需要市人民政府出台文件，确定我市见义勇为称号评定的评审程序、奖励名额、奖金标准，让见义勇为评选表彰工作更加制度化、规范化。</w:t>
      </w:r>
    </w:p>
    <w:p>
      <w:pPr>
        <w:spacing w:line="600" w:lineRule="exact"/>
        <w:ind w:firstLine="640" w:firstLineChars="200"/>
        <w:rPr>
          <w:rFonts w:hint="eastAsia" w:ascii="方正黑体_GBK" w:hAnsi="Times New Roman" w:eastAsia="方正黑体_GBK"/>
          <w:sz w:val="32"/>
          <w:szCs w:val="32"/>
        </w:rPr>
      </w:pPr>
      <w:r>
        <w:rPr>
          <w:rFonts w:hint="eastAsia" w:ascii="方正黑体_GBK" w:hAnsi="Times New Roman" w:eastAsia="方正黑体_GBK"/>
          <w:sz w:val="32"/>
          <w:szCs w:val="32"/>
        </w:rPr>
        <w:t>二、起草过程</w:t>
      </w:r>
    </w:p>
    <w:p>
      <w:pPr>
        <w:adjustRightInd w:val="0"/>
        <w:snapToGrid w:val="0"/>
        <w:spacing w:line="550" w:lineRule="exact"/>
        <w:ind w:firstLine="640" w:firstLineChars="200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hAnsi="Times New Roman" w:eastAsia="方正仿宋_GBK"/>
          <w:sz w:val="32"/>
          <w:szCs w:val="32"/>
        </w:rPr>
        <w:t>2020年以来，我市深入贯彻省《条例》和省《办法》，成立了太仓市见义勇为奖励和保护工作委员会（委员会办公室设在市公安局），制定出台《太仓市见义勇为人员奖励和保护工作委员会成员单位工作职责》。</w:t>
      </w:r>
      <w:r>
        <w:rPr>
          <w:rFonts w:hint="eastAsia" w:ascii="方正仿宋_GBK" w:eastAsia="方正仿宋_GBK"/>
          <w:sz w:val="32"/>
          <w:szCs w:val="32"/>
        </w:rPr>
        <w:t>2024年2月以来，委员会办公室对照省、市相关文件要求，深入开展调研，认真梳理我市历年来见义勇为表彰奖励情况，参考省、市称号评定工作办法，结合本地实际，</w:t>
      </w:r>
      <w:r>
        <w:rPr>
          <w:rFonts w:hint="eastAsia" w:ascii="方正仿宋_GBK" w:hAnsi="Times New Roman" w:eastAsia="方正仿宋_GBK"/>
          <w:sz w:val="32"/>
          <w:szCs w:val="32"/>
        </w:rPr>
        <w:t>起草形成《太仓市见义勇为称号评定实施办法（征求意见稿）》</w:t>
      </w:r>
      <w:r>
        <w:rPr>
          <w:rFonts w:hint="eastAsia" w:ascii="方正仿宋_GBK" w:eastAsia="方正仿宋_GBK"/>
          <w:sz w:val="32"/>
          <w:szCs w:val="32"/>
        </w:rPr>
        <w:t>，并发文至见义勇为人员奖励和保护工作委员会成员单位征求意见，均无反馈意见，最终形成讨论稿。</w:t>
      </w:r>
    </w:p>
    <w:p>
      <w:pPr>
        <w:spacing w:line="600" w:lineRule="exact"/>
        <w:ind w:firstLine="640" w:firstLineChars="200"/>
        <w:rPr>
          <w:rFonts w:hint="eastAsia" w:ascii="方正黑体_GBK" w:hAnsi="Times New Roman" w:eastAsia="方正黑体_GBK"/>
          <w:sz w:val="32"/>
          <w:szCs w:val="32"/>
        </w:rPr>
      </w:pPr>
      <w:r>
        <w:rPr>
          <w:rFonts w:hint="eastAsia" w:ascii="方正黑体_GBK" w:hAnsi="Times New Roman" w:eastAsia="方正黑体_GBK"/>
          <w:sz w:val="32"/>
          <w:szCs w:val="32"/>
        </w:rPr>
        <w:t>三、主要条款和依据</w:t>
      </w:r>
    </w:p>
    <w:p>
      <w:pPr>
        <w:spacing w:line="600" w:lineRule="exact"/>
        <w:ind w:firstLine="640" w:firstLineChars="200"/>
        <w:rPr>
          <w:rFonts w:hint="eastAsia" w:ascii="方正仿宋_GBK" w:hAnsi="Times New Roman" w:eastAsia="方正仿宋_GBK"/>
          <w:sz w:val="32"/>
          <w:szCs w:val="32"/>
        </w:rPr>
      </w:pPr>
      <w:r>
        <w:rPr>
          <w:rFonts w:hint="eastAsia" w:ascii="方正仿宋_GBK" w:hAnsi="Times New Roman" w:eastAsia="方正仿宋_GBK"/>
          <w:sz w:val="32"/>
          <w:szCs w:val="32"/>
        </w:rPr>
        <w:t>《办法》全文共十六条，明确了我市见义勇为称号评定的宗旨依据、适用范围、职能分工、审批程序、材料要求、表彰数量、奖励标准等具体内容：</w:t>
      </w:r>
    </w:p>
    <w:p>
      <w:pPr>
        <w:spacing w:line="600" w:lineRule="exact"/>
        <w:ind w:firstLine="640" w:firstLineChars="200"/>
        <w:rPr>
          <w:rFonts w:hint="eastAsia" w:ascii="方正仿宋_GBK" w:hAnsi="Times New Roman" w:eastAsia="方正仿宋_GBK"/>
          <w:sz w:val="32"/>
          <w:szCs w:val="32"/>
        </w:rPr>
      </w:pPr>
      <w:r>
        <w:rPr>
          <w:rFonts w:hint="eastAsia" w:ascii="方正仿宋_GBK" w:hAnsi="Times New Roman" w:eastAsia="方正仿宋_GBK"/>
          <w:sz w:val="32"/>
          <w:szCs w:val="32"/>
        </w:rPr>
        <w:t>第一条规定了称号评定实施办法的宗旨和依据。</w:t>
      </w:r>
    </w:p>
    <w:p>
      <w:pPr>
        <w:spacing w:line="600" w:lineRule="exact"/>
        <w:ind w:firstLine="640" w:firstLineChars="200"/>
        <w:rPr>
          <w:rFonts w:hint="eastAsia" w:ascii="方正仿宋_GBK" w:hAnsi="Times New Roman" w:eastAsia="方正仿宋_GBK"/>
          <w:sz w:val="32"/>
          <w:szCs w:val="32"/>
        </w:rPr>
      </w:pPr>
      <w:r>
        <w:rPr>
          <w:rFonts w:hint="eastAsia" w:ascii="方正仿宋_GBK" w:hAnsi="Times New Roman" w:eastAsia="方正仿宋_GBK"/>
          <w:sz w:val="32"/>
          <w:szCs w:val="32"/>
        </w:rPr>
        <w:t>第二条规定了称号评定的适用范围。</w:t>
      </w:r>
    </w:p>
    <w:p>
      <w:pPr>
        <w:spacing w:line="600" w:lineRule="exact"/>
        <w:ind w:firstLine="640" w:firstLineChars="200"/>
        <w:rPr>
          <w:rFonts w:hint="eastAsia" w:ascii="方正仿宋_GBK" w:hAnsi="Times New Roman" w:eastAsia="方正仿宋_GBK"/>
          <w:sz w:val="32"/>
          <w:szCs w:val="32"/>
        </w:rPr>
      </w:pPr>
      <w:r>
        <w:rPr>
          <w:rFonts w:hint="eastAsia" w:ascii="方正仿宋_GBK" w:hAnsi="Times New Roman" w:eastAsia="方正仿宋_GBK"/>
          <w:sz w:val="32"/>
          <w:szCs w:val="32"/>
        </w:rPr>
        <w:t>第三条规定了称号评定的原则。</w:t>
      </w:r>
    </w:p>
    <w:p>
      <w:pPr>
        <w:spacing w:line="600" w:lineRule="exact"/>
        <w:ind w:firstLine="640" w:firstLineChars="200"/>
        <w:rPr>
          <w:rFonts w:hint="eastAsia" w:ascii="方正仿宋_GBK" w:hAnsi="Times New Roman" w:eastAsia="方正仿宋_GBK"/>
          <w:sz w:val="32"/>
          <w:szCs w:val="32"/>
        </w:rPr>
      </w:pPr>
      <w:r>
        <w:rPr>
          <w:rFonts w:hint="eastAsia" w:ascii="方正仿宋_GBK" w:hAnsi="Times New Roman" w:eastAsia="方正仿宋_GBK"/>
          <w:sz w:val="32"/>
          <w:szCs w:val="32"/>
        </w:rPr>
        <w:t>第四条至第六条规定了称号评定工作的主体责任和职能分工。</w:t>
      </w:r>
    </w:p>
    <w:p>
      <w:pPr>
        <w:spacing w:line="600" w:lineRule="exact"/>
        <w:ind w:firstLine="640" w:firstLineChars="200"/>
        <w:rPr>
          <w:rFonts w:hint="eastAsia" w:ascii="方正仿宋_GBK" w:hAnsi="Times New Roman" w:eastAsia="方正仿宋_GBK"/>
          <w:sz w:val="32"/>
          <w:szCs w:val="32"/>
        </w:rPr>
      </w:pPr>
      <w:r>
        <w:rPr>
          <w:rFonts w:hint="eastAsia" w:ascii="方正仿宋_GBK" w:hAnsi="Times New Roman" w:eastAsia="方正仿宋_GBK"/>
          <w:sz w:val="32"/>
          <w:szCs w:val="32"/>
        </w:rPr>
        <w:t>第七条至第八条规定了申报见义勇为称号的条件和情形。</w:t>
      </w:r>
    </w:p>
    <w:p>
      <w:pPr>
        <w:spacing w:line="600" w:lineRule="exact"/>
        <w:ind w:firstLine="640" w:firstLineChars="200"/>
        <w:rPr>
          <w:rFonts w:hint="eastAsia" w:ascii="方正仿宋_GBK" w:hAnsi="Times New Roman" w:eastAsia="方正仿宋_GBK"/>
          <w:sz w:val="32"/>
          <w:szCs w:val="32"/>
        </w:rPr>
      </w:pPr>
      <w:r>
        <w:rPr>
          <w:rFonts w:hint="eastAsia" w:ascii="方正仿宋_GBK" w:hAnsi="Times New Roman" w:eastAsia="方正仿宋_GBK"/>
          <w:sz w:val="32"/>
          <w:szCs w:val="32"/>
        </w:rPr>
        <w:t>第九条至十四条规定了称号评定周期、名额、申报程序、所需申报材料及奖励标准。</w:t>
      </w:r>
    </w:p>
    <w:p>
      <w:pPr>
        <w:spacing w:line="600" w:lineRule="exact"/>
        <w:ind w:firstLine="640" w:firstLineChars="200"/>
        <w:rPr>
          <w:rFonts w:hint="eastAsia" w:ascii="方正仿宋_GBK" w:hAnsi="Times New Roman" w:eastAsia="方正仿宋_GBK"/>
          <w:sz w:val="32"/>
          <w:szCs w:val="32"/>
        </w:rPr>
      </w:pPr>
      <w:r>
        <w:rPr>
          <w:rFonts w:hint="eastAsia" w:ascii="方正仿宋_GBK" w:hAnsi="Times New Roman" w:eastAsia="方正仿宋_GBK"/>
          <w:sz w:val="32"/>
          <w:szCs w:val="32"/>
        </w:rPr>
        <w:t>第十五条规定了相关法律责任。</w:t>
      </w:r>
    </w:p>
    <w:p>
      <w:pPr>
        <w:spacing w:line="600" w:lineRule="exact"/>
        <w:ind w:firstLine="640" w:firstLineChars="200"/>
        <w:rPr>
          <w:rFonts w:hint="eastAsia" w:ascii="方正仿宋_GBK" w:hAnsi="Times New Roman" w:eastAsia="方正仿宋_GBK"/>
          <w:sz w:val="32"/>
          <w:szCs w:val="32"/>
        </w:rPr>
      </w:pPr>
      <w:r>
        <w:rPr>
          <w:rFonts w:hint="eastAsia" w:ascii="方正仿宋_GBK" w:hAnsi="Times New Roman" w:eastAsia="方正仿宋_GBK"/>
          <w:sz w:val="32"/>
          <w:szCs w:val="32"/>
        </w:rPr>
        <w:t>第十六条规定了办法的施行时间。</w:t>
      </w:r>
    </w:p>
    <w:p>
      <w:pPr>
        <w:spacing w:line="600" w:lineRule="exact"/>
        <w:ind w:firstLine="640" w:firstLineChars="200"/>
        <w:rPr>
          <w:rFonts w:hint="eastAsia" w:ascii="方正黑体_GBK" w:hAnsi="Times New Roman" w:eastAsia="方正黑体_GBK"/>
          <w:sz w:val="32"/>
          <w:szCs w:val="32"/>
        </w:rPr>
      </w:pPr>
      <w:r>
        <w:rPr>
          <w:rFonts w:hint="eastAsia" w:ascii="方正黑体_GBK" w:hAnsi="Times New Roman" w:eastAsia="方正黑体_GBK"/>
          <w:sz w:val="32"/>
          <w:szCs w:val="32"/>
        </w:rPr>
        <w:t>四、主要说明事项</w:t>
      </w:r>
    </w:p>
    <w:p>
      <w:pPr>
        <w:spacing w:line="550" w:lineRule="exact"/>
        <w:ind w:firstLine="640" w:firstLineChars="200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hAnsi="Times New Roman" w:eastAsia="方正仿宋_GBK"/>
          <w:sz w:val="32"/>
          <w:szCs w:val="20"/>
        </w:rPr>
        <w:t>太仓市《办法》参照省《办法》和市《办法》相关做法，</w:t>
      </w:r>
      <w:r>
        <w:rPr>
          <w:rFonts w:hint="eastAsia" w:ascii="方正仿宋_GBK" w:eastAsia="方正仿宋_GBK"/>
          <w:sz w:val="32"/>
          <w:szCs w:val="32"/>
        </w:rPr>
        <w:t>主要进一步明确了以下三个方面</w:t>
      </w:r>
      <w:r>
        <w:rPr>
          <w:rFonts w:hint="eastAsia" w:ascii="方正仿宋_GBK" w:hAnsi="Times New Roman" w:eastAsia="方正仿宋_GBK"/>
          <w:sz w:val="32"/>
          <w:szCs w:val="32"/>
        </w:rPr>
        <w:t>。</w:t>
      </w:r>
    </w:p>
    <w:p>
      <w:pPr>
        <w:spacing w:line="600" w:lineRule="exact"/>
        <w:ind w:firstLine="640"/>
        <w:rPr>
          <w:rFonts w:hint="eastAsia" w:ascii="方正仿宋_GBK" w:hAnsi="Times New Roman" w:eastAsia="方正仿宋_GBK"/>
          <w:sz w:val="32"/>
          <w:szCs w:val="32"/>
        </w:rPr>
      </w:pPr>
      <w:r>
        <w:rPr>
          <w:rFonts w:hint="eastAsia" w:ascii="方正楷体_GBK" w:hAnsi="Times New Roman" w:eastAsia="方正楷体_GBK"/>
          <w:b/>
          <w:bCs/>
          <w:sz w:val="32"/>
          <w:szCs w:val="20"/>
        </w:rPr>
        <w:t>一是确定审批程序。</w:t>
      </w:r>
      <w:r>
        <w:rPr>
          <w:rFonts w:hint="eastAsia" w:ascii="方正仿宋_GBK" w:hAnsi="Times New Roman" w:eastAsia="方正仿宋_GBK"/>
          <w:sz w:val="32"/>
          <w:szCs w:val="20"/>
        </w:rPr>
        <w:t>成立见义勇为称号评定工作小组，由市见义勇为人员奖励和保护工作委员会相关成员单位组成，承担见义勇为称号评定的推荐、评审等工作，公安机关根据见义勇为称号评定工作小组意见，负责落实见义勇为</w:t>
      </w:r>
      <w:r>
        <w:rPr>
          <w:rFonts w:hint="eastAsia" w:ascii="方正仿宋_GBK" w:hAnsi="Times New Roman" w:eastAsia="方正仿宋_GBK"/>
          <w:sz w:val="32"/>
          <w:szCs w:val="32"/>
        </w:rPr>
        <w:t>称号申报工作。申报上一级人民政府授予称号的，须经本级人民政府同意。</w:t>
      </w:r>
    </w:p>
    <w:p>
      <w:pPr>
        <w:spacing w:line="600" w:lineRule="exact"/>
        <w:ind w:firstLine="643" w:firstLineChars="200"/>
        <w:rPr>
          <w:rFonts w:hint="eastAsia" w:ascii="方正仿宋_GBK" w:hAnsi="Times New Roman" w:eastAsia="方正仿宋_GBK"/>
          <w:sz w:val="32"/>
          <w:szCs w:val="20"/>
        </w:rPr>
      </w:pPr>
      <w:r>
        <w:rPr>
          <w:rFonts w:hint="eastAsia" w:ascii="方正楷体_GBK" w:hAnsi="Times New Roman" w:eastAsia="方正楷体_GBK"/>
          <w:b/>
          <w:bCs/>
          <w:sz w:val="32"/>
          <w:szCs w:val="20"/>
        </w:rPr>
        <w:t>二是确定表彰名额。</w:t>
      </w:r>
      <w:r>
        <w:rPr>
          <w:rFonts w:hint="eastAsia" w:ascii="方正仿宋_GBK" w:hAnsi="Times New Roman" w:eastAsia="方正仿宋_GBK"/>
          <w:sz w:val="32"/>
          <w:szCs w:val="20"/>
        </w:rPr>
        <w:t>市级见义勇为称号每3年要集中评定一次，每届评定见义勇为称号总名额不超过15名（含见义勇为群体）。同时评选表彰市见义勇为工作先进单位5个和市见义勇为先进工作者5名。</w:t>
      </w:r>
    </w:p>
    <w:p>
      <w:pPr>
        <w:spacing w:line="600" w:lineRule="exact"/>
        <w:ind w:firstLine="640"/>
        <w:rPr>
          <w:rFonts w:ascii="Times New Roman" w:hAnsi="Times New Roman" w:eastAsia="仿宋_GB2312"/>
          <w:color w:val="000000" w:themeColor="text1"/>
          <w:sz w:val="32"/>
          <w:szCs w:val="32"/>
        </w:rPr>
      </w:pPr>
      <w:r>
        <w:rPr>
          <w:rFonts w:hint="eastAsia" w:ascii="方正楷体_GBK" w:hAnsi="Times New Roman" w:eastAsia="方正楷体_GBK"/>
          <w:b/>
          <w:bCs/>
          <w:sz w:val="32"/>
          <w:szCs w:val="20"/>
        </w:rPr>
        <w:t>三是确定奖励标准。</w:t>
      </w:r>
      <w:r>
        <w:rPr>
          <w:rFonts w:hint="eastAsia" w:ascii="方正仿宋_GBK" w:hAnsi="Times New Roman" w:eastAsia="方正仿宋_GBK"/>
          <w:sz w:val="32"/>
          <w:szCs w:val="20"/>
        </w:rPr>
        <w:t>获得市“见义勇为先进个人”称号的个人，奖励人民币1万元；获得市“见义勇为先进群体”称号的，奖励人民币2-5万元。</w:t>
      </w:r>
      <w:bookmarkStart w:id="1" w:name="_GoBack"/>
      <w:bookmarkEnd w:id="1"/>
    </w:p>
    <w:p>
      <w:pPr>
        <w:spacing w:line="600" w:lineRule="exact"/>
        <w:jc w:val="left"/>
        <w:rPr>
          <w:rFonts w:ascii="Times New Roman" w:hAnsi="Times New Roman" w:eastAsia="仿宋_GB2312"/>
          <w:bCs/>
          <w:color w:val="000000" w:themeColor="text1"/>
          <w:sz w:val="32"/>
          <w:szCs w:val="32"/>
        </w:rPr>
      </w:pPr>
    </w:p>
    <w:p>
      <w:pPr>
        <w:spacing w:line="600" w:lineRule="exact"/>
        <w:jc w:val="left"/>
        <w:rPr>
          <w:rFonts w:ascii="Times New Roman" w:hAnsi="Times New Roman" w:eastAsia="仿宋_GB2312"/>
          <w:bCs/>
          <w:color w:val="000000" w:themeColor="text1"/>
          <w:sz w:val="32"/>
          <w:szCs w:val="32"/>
        </w:rPr>
      </w:pPr>
    </w:p>
    <w:p>
      <w:pPr>
        <w:spacing w:line="600" w:lineRule="exact"/>
        <w:jc w:val="left"/>
        <w:rPr>
          <w:rFonts w:ascii="Times New Roman" w:hAnsi="Times New Roman" w:eastAsia="仿宋_GB2312"/>
          <w:bCs/>
          <w:color w:val="000000" w:themeColor="text1"/>
          <w:sz w:val="32"/>
          <w:szCs w:val="32"/>
        </w:rPr>
      </w:pPr>
    </w:p>
    <w:p>
      <w:pPr>
        <w:spacing w:line="600" w:lineRule="exact"/>
        <w:jc w:val="left"/>
        <w:rPr>
          <w:rFonts w:ascii="Times New Roman" w:hAnsi="Times New Roman" w:eastAsia="仿宋_GB2312"/>
          <w:bCs/>
          <w:color w:val="000000" w:themeColor="text1"/>
          <w:sz w:val="32"/>
          <w:szCs w:val="32"/>
        </w:rPr>
      </w:pPr>
    </w:p>
    <w:p>
      <w:pPr>
        <w:spacing w:line="600" w:lineRule="exact"/>
        <w:jc w:val="left"/>
        <w:rPr>
          <w:rFonts w:ascii="Times New Roman" w:hAnsi="Times New Roman" w:eastAsia="仿宋_GB2312"/>
          <w:bCs/>
          <w:color w:val="000000" w:themeColor="text1"/>
          <w:sz w:val="32"/>
          <w:szCs w:val="32"/>
        </w:rPr>
      </w:pPr>
    </w:p>
    <w:bookmarkEnd w:id="0"/>
    <w:p>
      <w:pPr>
        <w:spacing w:line="600" w:lineRule="exact"/>
        <w:jc w:val="both"/>
        <w:rPr>
          <w:rFonts w:ascii="Times New Roman" w:hAnsi="Times New Roman" w:eastAsia="方正黑体_GBK"/>
          <w:bCs/>
          <w:sz w:val="32"/>
          <w:szCs w:val="32"/>
        </w:rPr>
      </w:pPr>
    </w:p>
    <w:sectPr>
      <w:footerReference r:id="rId3" w:type="default"/>
      <w:pgSz w:w="11910" w:h="16840"/>
      <w:pgMar w:top="2098" w:right="1361" w:bottom="1417" w:left="1587" w:header="680" w:footer="1247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page" w:x="5546" w:y="1"/>
      <w:tabs>
        <w:tab w:val="center" w:pos="4153"/>
        <w:tab w:val="right" w:pos="8306"/>
      </w:tabs>
      <w:snapToGrid w:val="0"/>
      <w:jc w:val="left"/>
      <w:rPr>
        <w:rFonts w:ascii="Times New Roman" w:hAnsi="Times New Roman"/>
        <w:sz w:val="28"/>
        <w:lang w:val="zh-CN"/>
      </w:rPr>
    </w:pPr>
    <w:r>
      <w:rPr>
        <w:rFonts w:hint="eastAsia" w:ascii="Times New Roman" w:hAnsi="Times New Roman"/>
        <w:sz w:val="28"/>
        <w:lang w:val="zh-CN"/>
      </w:rPr>
      <w:t>—</w:t>
    </w:r>
    <w:r>
      <w:rPr>
        <w:rFonts w:ascii="Times New Roman" w:hAnsi="Times New Roman"/>
        <w:sz w:val="28"/>
        <w:lang w:val="zh-CN"/>
      </w:rPr>
      <w:fldChar w:fldCharType="begin"/>
    </w:r>
    <w:r>
      <w:rPr>
        <w:rFonts w:ascii="Times New Roman" w:hAnsi="Times New Roman"/>
        <w:sz w:val="28"/>
        <w:lang w:val="zh-CN"/>
      </w:rPr>
      <w:instrText xml:space="preserve">PAGE  </w:instrText>
    </w:r>
    <w:r>
      <w:rPr>
        <w:rFonts w:ascii="Times New Roman" w:hAnsi="Times New Roman"/>
        <w:sz w:val="28"/>
        <w:lang w:val="zh-CN"/>
      </w:rPr>
      <w:fldChar w:fldCharType="separate"/>
    </w:r>
    <w:r>
      <w:rPr>
        <w:rFonts w:ascii="Times New Roman" w:hAnsi="Times New Roman"/>
        <w:sz w:val="28"/>
        <w:lang w:val="zh-CN"/>
      </w:rPr>
      <w:t>2</w:t>
    </w:r>
    <w:r>
      <w:rPr>
        <w:rFonts w:ascii="Times New Roman" w:hAnsi="Times New Roman"/>
        <w:sz w:val="28"/>
        <w:lang w:val="zh-CN"/>
      </w:rPr>
      <w:fldChar w:fldCharType="end"/>
    </w:r>
    <w:r>
      <w:rPr>
        <w:rFonts w:hint="eastAsia" w:ascii="Times New Roman" w:hAnsi="Times New Roman"/>
        <w:sz w:val="28"/>
        <w:lang w:val="zh-CN"/>
      </w:rPr>
      <w:t>—</w:t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EwYzkwNzk0MWQ1NTE0NWVkOWQyYjlkY2RhOWFiOTQifQ=="/>
  </w:docVars>
  <w:rsids>
    <w:rsidRoot w:val="007711CA"/>
    <w:rsid w:val="0000754B"/>
    <w:rsid w:val="00026CEF"/>
    <w:rsid w:val="0006314E"/>
    <w:rsid w:val="00067D15"/>
    <w:rsid w:val="00080113"/>
    <w:rsid w:val="00081CB2"/>
    <w:rsid w:val="0009709F"/>
    <w:rsid w:val="000A65DC"/>
    <w:rsid w:val="000C00A1"/>
    <w:rsid w:val="000F4ACD"/>
    <w:rsid w:val="00104711"/>
    <w:rsid w:val="001050A3"/>
    <w:rsid w:val="00116874"/>
    <w:rsid w:val="00153FA5"/>
    <w:rsid w:val="00155377"/>
    <w:rsid w:val="00164E57"/>
    <w:rsid w:val="0018577F"/>
    <w:rsid w:val="001C38A6"/>
    <w:rsid w:val="001D60C3"/>
    <w:rsid w:val="001E73C5"/>
    <w:rsid w:val="001F29AA"/>
    <w:rsid w:val="00206E85"/>
    <w:rsid w:val="00212313"/>
    <w:rsid w:val="00223083"/>
    <w:rsid w:val="002345C7"/>
    <w:rsid w:val="002739A0"/>
    <w:rsid w:val="002A1DB8"/>
    <w:rsid w:val="002A7EAC"/>
    <w:rsid w:val="002E7801"/>
    <w:rsid w:val="002F484C"/>
    <w:rsid w:val="003059F2"/>
    <w:rsid w:val="00320332"/>
    <w:rsid w:val="00324345"/>
    <w:rsid w:val="00364706"/>
    <w:rsid w:val="0038260B"/>
    <w:rsid w:val="003E6ABD"/>
    <w:rsid w:val="003E7AC5"/>
    <w:rsid w:val="003F6EDC"/>
    <w:rsid w:val="00413AF4"/>
    <w:rsid w:val="00467ABD"/>
    <w:rsid w:val="004B046F"/>
    <w:rsid w:val="004F6C57"/>
    <w:rsid w:val="00503E9F"/>
    <w:rsid w:val="00525C80"/>
    <w:rsid w:val="005309FE"/>
    <w:rsid w:val="00557443"/>
    <w:rsid w:val="00561794"/>
    <w:rsid w:val="005A64CD"/>
    <w:rsid w:val="005C4511"/>
    <w:rsid w:val="005D2E6B"/>
    <w:rsid w:val="005D3EAF"/>
    <w:rsid w:val="005D6C1A"/>
    <w:rsid w:val="00611235"/>
    <w:rsid w:val="00634512"/>
    <w:rsid w:val="006464AD"/>
    <w:rsid w:val="00676E54"/>
    <w:rsid w:val="006832DF"/>
    <w:rsid w:val="006C1BA1"/>
    <w:rsid w:val="006C55F4"/>
    <w:rsid w:val="006D21D4"/>
    <w:rsid w:val="006E48B3"/>
    <w:rsid w:val="0070182F"/>
    <w:rsid w:val="00760230"/>
    <w:rsid w:val="00761155"/>
    <w:rsid w:val="00761416"/>
    <w:rsid w:val="007711CA"/>
    <w:rsid w:val="0079411B"/>
    <w:rsid w:val="00796619"/>
    <w:rsid w:val="007A68C6"/>
    <w:rsid w:val="007B6041"/>
    <w:rsid w:val="007F214F"/>
    <w:rsid w:val="007F4E4B"/>
    <w:rsid w:val="00832788"/>
    <w:rsid w:val="008352E4"/>
    <w:rsid w:val="00844D84"/>
    <w:rsid w:val="0085257F"/>
    <w:rsid w:val="008563A1"/>
    <w:rsid w:val="00862719"/>
    <w:rsid w:val="008A04EA"/>
    <w:rsid w:val="008D6851"/>
    <w:rsid w:val="008D6EBE"/>
    <w:rsid w:val="008E0BC2"/>
    <w:rsid w:val="008F0720"/>
    <w:rsid w:val="009034C2"/>
    <w:rsid w:val="009074A7"/>
    <w:rsid w:val="00914E1E"/>
    <w:rsid w:val="0092433B"/>
    <w:rsid w:val="009618C9"/>
    <w:rsid w:val="00994410"/>
    <w:rsid w:val="009A1A4C"/>
    <w:rsid w:val="009B2DFB"/>
    <w:rsid w:val="009B5B46"/>
    <w:rsid w:val="009C4A61"/>
    <w:rsid w:val="009C7B2D"/>
    <w:rsid w:val="009F3129"/>
    <w:rsid w:val="00A24A68"/>
    <w:rsid w:val="00A25B15"/>
    <w:rsid w:val="00A42FD4"/>
    <w:rsid w:val="00A52F68"/>
    <w:rsid w:val="00A53D6E"/>
    <w:rsid w:val="00A55CD7"/>
    <w:rsid w:val="00A6400D"/>
    <w:rsid w:val="00A643DA"/>
    <w:rsid w:val="00A747DD"/>
    <w:rsid w:val="00A86405"/>
    <w:rsid w:val="00A925FE"/>
    <w:rsid w:val="00A93E6E"/>
    <w:rsid w:val="00AA056F"/>
    <w:rsid w:val="00AB22B3"/>
    <w:rsid w:val="00B145E7"/>
    <w:rsid w:val="00B269AF"/>
    <w:rsid w:val="00B616EA"/>
    <w:rsid w:val="00B63CFB"/>
    <w:rsid w:val="00B72BFD"/>
    <w:rsid w:val="00B76F72"/>
    <w:rsid w:val="00B77475"/>
    <w:rsid w:val="00B97AF0"/>
    <w:rsid w:val="00BA509D"/>
    <w:rsid w:val="00BE3075"/>
    <w:rsid w:val="00BE637B"/>
    <w:rsid w:val="00BF4A99"/>
    <w:rsid w:val="00C05428"/>
    <w:rsid w:val="00C271B5"/>
    <w:rsid w:val="00C47FCD"/>
    <w:rsid w:val="00C66298"/>
    <w:rsid w:val="00C7576D"/>
    <w:rsid w:val="00CB3888"/>
    <w:rsid w:val="00CC2210"/>
    <w:rsid w:val="00CC7961"/>
    <w:rsid w:val="00D12EDF"/>
    <w:rsid w:val="00D14C3C"/>
    <w:rsid w:val="00D31F10"/>
    <w:rsid w:val="00D44C7D"/>
    <w:rsid w:val="00D45E64"/>
    <w:rsid w:val="00D5264F"/>
    <w:rsid w:val="00D749B7"/>
    <w:rsid w:val="00D82CC3"/>
    <w:rsid w:val="00D92FD6"/>
    <w:rsid w:val="00DE6E19"/>
    <w:rsid w:val="00DF4D8D"/>
    <w:rsid w:val="00E26803"/>
    <w:rsid w:val="00E31066"/>
    <w:rsid w:val="00E80D5C"/>
    <w:rsid w:val="00E90B62"/>
    <w:rsid w:val="00ED35D4"/>
    <w:rsid w:val="00EE76F5"/>
    <w:rsid w:val="00F01797"/>
    <w:rsid w:val="00F024D1"/>
    <w:rsid w:val="00F1210C"/>
    <w:rsid w:val="00F33F6A"/>
    <w:rsid w:val="00F9602D"/>
    <w:rsid w:val="00FD7CB2"/>
    <w:rsid w:val="00FE1468"/>
    <w:rsid w:val="00FE194F"/>
    <w:rsid w:val="00FE1E7A"/>
    <w:rsid w:val="030C3038"/>
    <w:rsid w:val="0A61244B"/>
    <w:rsid w:val="182B7B73"/>
    <w:rsid w:val="39B80557"/>
    <w:rsid w:val="3E7C7C7B"/>
    <w:rsid w:val="5E390664"/>
    <w:rsid w:val="78704AC1"/>
    <w:rsid w:val="7E041F9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9">
    <w:name w:val="页眉 字符"/>
    <w:basedOn w:val="8"/>
    <w:link w:val="6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1">
    <w:name w:val="日期 字符"/>
    <w:basedOn w:val="8"/>
    <w:link w:val="3"/>
    <w:autoRedefine/>
    <w:semiHidden/>
    <w:qFormat/>
    <w:uiPriority w:val="99"/>
    <w:rPr>
      <w:rFonts w:ascii="Calibri" w:hAnsi="Calibri" w:eastAsia="宋体" w:cs="Times New Roman"/>
    </w:rPr>
  </w:style>
  <w:style w:type="character" w:customStyle="1" w:styleId="12">
    <w:name w:val="标题 1 字符"/>
    <w:basedOn w:val="8"/>
    <w:link w:val="2"/>
    <w:autoRedefine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13">
    <w:name w:val="批注框文本 字符"/>
    <w:basedOn w:val="8"/>
    <w:link w:val="4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NormalCharacter"/>
    <w:autoRedefine/>
    <w:qFormat/>
    <w:uiPriority w:val="0"/>
  </w:style>
  <w:style w:type="paragraph" w:customStyle="1" w:styleId="15">
    <w:name w:val="Revision"/>
    <w:autoRedefine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0D508-16A2-4C1E-8481-FD549F388C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6</Pages>
  <Words>380</Words>
  <Characters>2171</Characters>
  <Lines>18</Lines>
  <Paragraphs>5</Paragraphs>
  <TotalTime>468</TotalTime>
  <ScaleCrop>false</ScaleCrop>
  <LinksUpToDate>false</LinksUpToDate>
  <CharactersWithSpaces>2546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2023-08-15T08:06:00Z</dcterms:created>
  <dc:creator>马梦婷</dc:creator>
  <cp:lastModifiedBy>boby</cp:lastModifiedBy>
  <cp:lastPrinted>2023-09-05T04:46:00Z</cp:lastPrinted>
  <dcterms:modified xsi:type="dcterms:W3CDTF">2024-03-29T06:24:19Z</dcterms:modified>
  <cp:revision>111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ADB4BC11E6FB49BFABE2510283D89CDE</vt:lpwstr>
  </property>
</Properties>
</file>