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788"/>
        </w:tabs>
        <w:overflowPunct w:val="0"/>
        <w:adjustRightInd w:val="0"/>
        <w:snapToGrid w:val="0"/>
        <w:spacing w:line="376" w:lineRule="exact"/>
        <w:rPr>
          <w:rFonts w:hint="default" w:eastAsia="黑体"/>
          <w:snapToGrid w:val="0"/>
          <w:spacing w:val="-4"/>
          <w:sz w:val="32"/>
          <w:szCs w:val="32"/>
          <w:highlight w:val="none"/>
          <w:lang w:val="en-US" w:eastAsia="zh-CN"/>
        </w:rPr>
      </w:pPr>
      <w:r>
        <w:rPr>
          <w:rFonts w:hint="eastAsia" w:eastAsia="黑体"/>
          <w:snapToGrid w:val="0"/>
          <w:spacing w:val="-4"/>
          <w:sz w:val="32"/>
          <w:szCs w:val="32"/>
          <w:highlight w:val="none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center"/>
        <w:rPr>
          <w:rFonts w:ascii="宋体" w:hAnsi="宋体" w:eastAsia="宋体" w:cs="宋体"/>
          <w:b/>
          <w:bCs/>
          <w:sz w:val="40"/>
          <w:szCs w:val="40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0"/>
          <w:szCs w:val="40"/>
          <w:lang w:val="en-US" w:eastAsia="zh-CN"/>
        </w:rPr>
        <w:t>太仓</w:t>
      </w:r>
      <w:r>
        <w:rPr>
          <w:rFonts w:hint="eastAsia" w:asciiTheme="majorEastAsia" w:hAnsiTheme="majorEastAsia" w:eastAsiaTheme="majorEastAsia" w:cstheme="majorEastAsia"/>
          <w:b/>
          <w:bCs/>
          <w:sz w:val="40"/>
          <w:szCs w:val="40"/>
          <w:lang w:eastAsia="zh-CN"/>
        </w:rPr>
        <w:t>市市级政府购买服务指导性目录</w:t>
      </w:r>
      <w:bookmarkStart w:id="0" w:name="_GoBack"/>
      <w:bookmarkEnd w:id="0"/>
    </w:p>
    <w:tbl>
      <w:tblPr>
        <w:tblStyle w:val="8"/>
        <w:tblpPr w:leftFromText="180" w:rightFromText="180" w:vertAnchor="text" w:horzAnchor="margin" w:tblpX="1" w:tblpY="68"/>
        <w:tblW w:w="906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3"/>
        <w:gridCol w:w="1978"/>
        <w:gridCol w:w="2693"/>
        <w:gridCol w:w="31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1273" w:type="dxa"/>
            <w:vMerge w:val="restart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代码</w:t>
            </w:r>
          </w:p>
        </w:tc>
        <w:tc>
          <w:tcPr>
            <w:tcW w:w="1978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一级目录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二级目录</w:t>
            </w:r>
          </w:p>
        </w:tc>
        <w:tc>
          <w:tcPr>
            <w:tcW w:w="312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三级目录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1273" w:type="dxa"/>
            <w:vMerge w:val="continue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1978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（2项）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（30项）</w:t>
            </w:r>
          </w:p>
        </w:tc>
        <w:tc>
          <w:tcPr>
            <w:tcW w:w="312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（157项）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</w:t>
            </w:r>
          </w:p>
        </w:tc>
        <w:tc>
          <w:tcPr>
            <w:tcW w:w="1978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公共服务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A01</w:t>
            </w:r>
          </w:p>
        </w:tc>
        <w:tc>
          <w:tcPr>
            <w:tcW w:w="1978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公共安全服务</w:t>
            </w:r>
          </w:p>
        </w:tc>
        <w:tc>
          <w:tcPr>
            <w:tcW w:w="312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A0101</w:t>
            </w:r>
          </w:p>
        </w:tc>
        <w:tc>
          <w:tcPr>
            <w:tcW w:w="1978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公共安全隐患排查治理服务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A0102</w:t>
            </w:r>
          </w:p>
        </w:tc>
        <w:tc>
          <w:tcPr>
            <w:tcW w:w="1978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公共安全情况监测服务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A0103</w:t>
            </w:r>
          </w:p>
        </w:tc>
        <w:tc>
          <w:tcPr>
            <w:tcW w:w="1978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安全生产事故调查服务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A0104</w:t>
            </w:r>
          </w:p>
        </w:tc>
        <w:tc>
          <w:tcPr>
            <w:tcW w:w="1978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安全生产应急救援服务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A02</w:t>
            </w:r>
          </w:p>
        </w:tc>
        <w:tc>
          <w:tcPr>
            <w:tcW w:w="1978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教育公共服务</w:t>
            </w:r>
          </w:p>
        </w:tc>
        <w:tc>
          <w:tcPr>
            <w:tcW w:w="312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A0201</w:t>
            </w:r>
          </w:p>
        </w:tc>
        <w:tc>
          <w:tcPr>
            <w:tcW w:w="1978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课程研究与开发服务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A0202</w:t>
            </w:r>
          </w:p>
        </w:tc>
        <w:tc>
          <w:tcPr>
            <w:tcW w:w="1978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学生体育活动组织实施服务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A0203</w:t>
            </w:r>
          </w:p>
        </w:tc>
        <w:tc>
          <w:tcPr>
            <w:tcW w:w="1978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校园艺术活动组织实施服务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A0204</w:t>
            </w:r>
          </w:p>
        </w:tc>
        <w:tc>
          <w:tcPr>
            <w:tcW w:w="1978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教学成果推广应用服务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A0205</w:t>
            </w:r>
          </w:p>
        </w:tc>
        <w:tc>
          <w:tcPr>
            <w:tcW w:w="1978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国防教育服务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A0206</w:t>
            </w:r>
          </w:p>
        </w:tc>
        <w:tc>
          <w:tcPr>
            <w:tcW w:w="1978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特殊教育服务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A0207</w:t>
            </w:r>
          </w:p>
        </w:tc>
        <w:tc>
          <w:tcPr>
            <w:tcW w:w="1978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学前教育服务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A0208</w:t>
            </w:r>
          </w:p>
        </w:tc>
        <w:tc>
          <w:tcPr>
            <w:tcW w:w="1978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购买学位服务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127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A0209</w:t>
            </w:r>
          </w:p>
        </w:tc>
        <w:tc>
          <w:tcPr>
            <w:tcW w:w="1978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线上教育服务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127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A0210</w:t>
            </w:r>
          </w:p>
        </w:tc>
        <w:tc>
          <w:tcPr>
            <w:tcW w:w="1978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专业技能培训服务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127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A0211</w:t>
            </w:r>
          </w:p>
        </w:tc>
        <w:tc>
          <w:tcPr>
            <w:tcW w:w="1978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思政育人组织实施服务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27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A0212</w:t>
            </w:r>
          </w:p>
        </w:tc>
        <w:tc>
          <w:tcPr>
            <w:tcW w:w="1978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教育研究和质量监测服务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27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A0213</w:t>
            </w:r>
          </w:p>
        </w:tc>
        <w:tc>
          <w:tcPr>
            <w:tcW w:w="1978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技能竞赛组织实施服务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127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A0214</w:t>
            </w:r>
          </w:p>
        </w:tc>
        <w:tc>
          <w:tcPr>
            <w:tcW w:w="1978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家庭教育指导服务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A03</w:t>
            </w:r>
          </w:p>
        </w:tc>
        <w:tc>
          <w:tcPr>
            <w:tcW w:w="1978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就业公共服务</w:t>
            </w:r>
          </w:p>
        </w:tc>
        <w:tc>
          <w:tcPr>
            <w:tcW w:w="312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A0301</w:t>
            </w:r>
          </w:p>
        </w:tc>
        <w:tc>
          <w:tcPr>
            <w:tcW w:w="1978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就业指导服务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A0302</w:t>
            </w:r>
          </w:p>
        </w:tc>
        <w:tc>
          <w:tcPr>
            <w:tcW w:w="1978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职业技能培训服务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A0303</w:t>
            </w:r>
          </w:p>
        </w:tc>
        <w:tc>
          <w:tcPr>
            <w:tcW w:w="1978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创业指导服务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A0304</w:t>
            </w:r>
          </w:p>
        </w:tc>
        <w:tc>
          <w:tcPr>
            <w:tcW w:w="1978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人才服务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A0305</w:t>
            </w:r>
          </w:p>
        </w:tc>
        <w:tc>
          <w:tcPr>
            <w:tcW w:w="1978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公益性人力资源服务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A04</w:t>
            </w:r>
          </w:p>
        </w:tc>
        <w:tc>
          <w:tcPr>
            <w:tcW w:w="1978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社会保障服务</w:t>
            </w:r>
          </w:p>
        </w:tc>
        <w:tc>
          <w:tcPr>
            <w:tcW w:w="312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A0401</w:t>
            </w:r>
          </w:p>
        </w:tc>
        <w:tc>
          <w:tcPr>
            <w:tcW w:w="1978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儿童福利服务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A0402</w:t>
            </w:r>
          </w:p>
        </w:tc>
        <w:tc>
          <w:tcPr>
            <w:tcW w:w="197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基本养老服务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A0403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社会救助服务</w:t>
            </w:r>
          </w:p>
        </w:tc>
      </w:tr>
    </w:tbl>
    <w:tbl>
      <w:tblPr>
        <w:tblStyle w:val="8"/>
        <w:tblW w:w="906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3"/>
        <w:gridCol w:w="1978"/>
        <w:gridCol w:w="2693"/>
        <w:gridCol w:w="31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A0404</w:t>
            </w:r>
          </w:p>
        </w:tc>
        <w:tc>
          <w:tcPr>
            <w:tcW w:w="1978" w:type="dxa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扶贫济困服务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A0405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优抚安置服务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A0406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法律援助服务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A05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卫生健康公共服务</w:t>
            </w: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A0501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传染病防控服务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A0502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地方病防控服务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A0503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应急救治服务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A0504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食品药品安全服务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A0505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特殊群体卫生健康服务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A06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生态保护和环境治理服务</w:t>
            </w: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A0601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生态资源调查与监测服务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A0602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野生动物疫源疫病监测服务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A0603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碳汇监测与评估服务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A0604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废弃物处理服务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A0605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环境保护舆情监控服务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A0606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环境保护成果交流与管理服务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A0607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环境治理与修复服务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A0608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环保信息系统服务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A07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科技公共服务</w:t>
            </w: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A0701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科技研发与推广服务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A0702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科技成果转化与推广服务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A0703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科技交流 、普及与推广服务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A0704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区域科技发展服务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A0705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技术创新服务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A08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文化公共服务</w:t>
            </w: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A0801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文化艺术创作、表演及交流服务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A0802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群众文化活动服务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A0803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文物和文化保护服务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A0804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文物保护科技创新和社会服务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A09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体育公共服务</w:t>
            </w: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A0901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体育组织服务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A0902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社会体育指导员服务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A0903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体育场馆服务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A0904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青少年足球发展服务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A10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社会治理服务</w:t>
            </w: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A1001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社区治理服务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A1002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社会组织建设与管理服务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A1003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社会工作服务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A1004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人民调解服务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A1005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志愿服务活动管理服务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A1006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未成年人关爱服务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A11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城乡维护服务</w:t>
            </w: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A1101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公共设施管理服务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A1102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无障碍设施改造服务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A12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农业、林业和水利公共服务</w:t>
            </w: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A1201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农业绿色发展和可持续发展服务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A1202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农业资源与环境保护服务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A1203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农作物病虫害防治服务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A1204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外来入侵生物综合防治服务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A1205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动物疫病防治服务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A1206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品种保存和改良服务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A1207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公益性农机作业服务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A1208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农产品质量安全服务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A1209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渔业船舶检验监管服务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A1210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森林经营与管理服务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A1211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林区管理服务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A1212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水利公共产品供给技术支持服务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A1213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水利工程设施维修养护、运行管护服务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A1214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水利工程 、产品质量检测服务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A1215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水资源管理服务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A13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交通运输公共服务</w:t>
            </w: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A1301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交通运输保障服务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A1302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交通运输社会监督服务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A1303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交通应急演练服务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A1304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运输船舶检验服务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A14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灾害防治及应急管理服务</w:t>
            </w: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A1401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防灾减灾预警、预报服务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A1402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防灾救灾技术指导服务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A1403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防灾救灾物资储备 、供应服务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A1404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灾害救援救助服务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A1405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灾后防疫服务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A1406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灾情调查评估服务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A1407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灾害风险普查服务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A15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公共信息与宣传服务</w:t>
            </w: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A1501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公共信息服务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none" w:color="auto" w:sz="0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A1502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公共公益宣传服务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none" w:color="auto" w:sz="0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A1503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公共公益展览服务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none" w:color="auto" w:sz="0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A1504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公共信息系统开发与维护服务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none" w:color="auto" w:sz="0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A16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行业管理服务</w:t>
            </w: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none" w:color="auto" w:sz="0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A1601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行业规划服务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none" w:color="auto" w:sz="0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A1602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行业调查与处置服务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none" w:color="auto" w:sz="0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A1603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行业统计分析服务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none" w:color="auto" w:sz="0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A1604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行业职业资格准入和水平评价管理服务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none" w:color="auto" w:sz="0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A1605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行业规范服务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none" w:color="auto" w:sz="0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A1606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行业标准制修订服务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none" w:color="auto" w:sz="0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A1607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行业投诉处理服务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none" w:color="auto" w:sz="0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A1608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行业咨询服务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none" w:color="auto" w:sz="0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A1609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行业人才培养服务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none" w:color="auto" w:sz="0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A17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技术性公共服务</w:t>
            </w: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none" w:color="auto" w:sz="0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A1701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技术评审鉴定评估服务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none" w:color="auto" w:sz="0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A1702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检验检疫检测及认证服务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none" w:color="auto" w:sz="0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A1703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监测服务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none" w:color="auto" w:sz="0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A1704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气象服务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none" w:color="auto" w:sz="0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A1705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标准管理服务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none" w:color="auto" w:sz="0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A18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其他公共服务</w:t>
            </w: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none" w:color="auto" w:sz="0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A1801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对外合作与交流服务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none" w:color="auto" w:sz="0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A1802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农村金融发展服务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none" w:color="auto" w:sz="0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A1803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城市规划和设计服务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none" w:color="auto" w:sz="0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A1804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值班律师法律帮助服务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none" w:color="auto" w:sz="0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A1805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村（社区） 法律顾问服务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none" w:color="auto" w:sz="0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A1806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公共法律服务热线 、网络、实体平台法律咨询 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none" w:color="auto" w:sz="0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A1807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公益性律师调解、律师代理申诉、律师化解涉 法涉诉信访案件服务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none" w:color="auto" w:sz="0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A1808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公益性公证、司法鉴定服务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none" w:color="auto" w:sz="0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A1809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仲裁委员会参与基层纠纷解决服务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none" w:color="auto" w:sz="0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A1899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其他适合通过市场化方式提供的公共服务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none" w:color="auto" w:sz="0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B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政府履职辅助性服务</w:t>
            </w: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none" w:color="auto" w:sz="0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B01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法律服务</w:t>
            </w: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none" w:color="auto" w:sz="0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B0101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法律顾问服务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none" w:color="auto" w:sz="0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B0102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法律咨询服务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none" w:color="auto" w:sz="0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B0103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法律诉讼及其他争端解决服务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B0104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见证及公证服务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B0105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法律助理服务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B02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课题研究和社会调查服务</w:t>
            </w: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B0201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课题研究服务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B0202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社会调查服务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B03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会计审计服务</w:t>
            </w: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B0301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会计服务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B0302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审计服务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B04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会议服务</w:t>
            </w: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B0401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会议服务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B05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监督检查辅助服务</w:t>
            </w: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B0501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监督检查辅助服务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B06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工程服务</w:t>
            </w: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B0601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工程造价咨询服务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B0602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工程监理服务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B07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评审、评估和评价服务</w:t>
            </w: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B0701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评审服务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B0702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评估和评价服务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B08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咨询服务</w:t>
            </w: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B0801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咨询服务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B09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机关工作人员培训服务</w:t>
            </w: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B0901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机关工作人员技术业务培训服务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B10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信息化服务</w:t>
            </w: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B1001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机关信息系统开发与维护服务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B1002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数据处理服务(含数据分析)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B1003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网络接入服务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B11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后勤服务</w:t>
            </w: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B1101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维修保养服务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B1102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物业管理服务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B1103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安全服务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B1104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印刷和出版服务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B1105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餐饮服务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B1106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租赁服务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B1107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消防安全培训服务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B1108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简易消防设施安装及运维服务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B1109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建筑消防设施联网监测服务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B12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其他辅助性服务</w:t>
            </w: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B1201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翻译服务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B1202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档案管理服务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B1203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外事服务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B1204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考古服务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B1205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采购代理服务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B1206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宣传、布展服务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B1207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不可移动文物保护管理服务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B1208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博物馆管理服务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B1209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可移动文物保护管理服务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12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B1210</w:t>
            </w:r>
          </w:p>
        </w:tc>
        <w:tc>
          <w:tcPr>
            <w:tcW w:w="197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公平竞争审查服务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1273" w:type="dxa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B1299</w:t>
            </w:r>
          </w:p>
        </w:tc>
        <w:tc>
          <w:tcPr>
            <w:tcW w:w="1978" w:type="dxa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3123" w:type="dxa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其他适合通过市场化方式提供的辅助履职服务</w:t>
            </w:r>
          </w:p>
        </w:tc>
      </w:tr>
    </w:tbl>
    <w:p/>
    <w:p>
      <w:pPr>
        <w:overflowPunct w:val="0"/>
        <w:adjustRightInd w:val="0"/>
        <w:snapToGrid w:val="0"/>
        <w:spacing w:line="360" w:lineRule="auto"/>
        <w:ind w:right="420" w:rightChars="200"/>
        <w:jc w:val="both"/>
        <w:rPr>
          <w:rFonts w:hint="eastAsia" w:ascii="仿宋" w:hAnsi="仿宋" w:eastAsia="仿宋" w:cs="仿宋"/>
          <w:snapToGrid w:val="0"/>
          <w:spacing w:val="-4"/>
          <w:sz w:val="32"/>
          <w:szCs w:val="32"/>
          <w:lang w:val="sq-AL"/>
        </w:rPr>
      </w:pPr>
    </w:p>
    <w:p>
      <w:pPr>
        <w:overflowPunct w:val="0"/>
        <w:adjustRightInd w:val="0"/>
        <w:snapToGrid w:val="0"/>
        <w:spacing w:line="360" w:lineRule="auto"/>
        <w:ind w:right="420" w:rightChars="200" w:firstLine="624" w:firstLineChars="200"/>
        <w:jc w:val="right"/>
        <w:rPr>
          <w:rFonts w:hint="eastAsia" w:ascii="仿宋" w:hAnsi="仿宋" w:eastAsia="仿宋" w:cs="仿宋"/>
          <w:snapToGrid w:val="0"/>
          <w:spacing w:val="-4"/>
          <w:sz w:val="32"/>
          <w:szCs w:val="32"/>
          <w:lang w:val="sq-AL"/>
        </w:rPr>
      </w:pPr>
    </w:p>
    <w:p>
      <w:pPr>
        <w:overflowPunct w:val="0"/>
        <w:adjustRightInd w:val="0"/>
        <w:snapToGrid w:val="0"/>
        <w:spacing w:line="360" w:lineRule="auto"/>
        <w:ind w:right="420" w:rightChars="200" w:firstLine="624" w:firstLineChars="200"/>
        <w:jc w:val="right"/>
        <w:rPr>
          <w:rFonts w:hint="eastAsia" w:ascii="仿宋" w:hAnsi="仿宋" w:eastAsia="仿宋" w:cs="仿宋"/>
          <w:snapToGrid w:val="0"/>
          <w:spacing w:val="-4"/>
          <w:sz w:val="32"/>
          <w:szCs w:val="32"/>
          <w:lang w:val="sq-AL"/>
        </w:rPr>
      </w:pPr>
    </w:p>
    <w:p>
      <w:pPr>
        <w:overflowPunct w:val="0"/>
        <w:adjustRightInd w:val="0"/>
        <w:snapToGrid w:val="0"/>
        <w:spacing w:line="376" w:lineRule="exact"/>
        <w:ind w:right="420" w:rightChars="200" w:firstLine="464" w:firstLineChars="200"/>
        <w:jc w:val="right"/>
        <w:rPr>
          <w:rFonts w:hint="eastAsia"/>
          <w:snapToGrid w:val="0"/>
          <w:spacing w:val="-4"/>
          <w:sz w:val="24"/>
          <w:lang w:val="sq-AL"/>
        </w:rPr>
      </w:pPr>
    </w:p>
    <w:p>
      <w:pPr>
        <w:overflowPunct w:val="0"/>
        <w:adjustRightInd w:val="0"/>
        <w:snapToGrid w:val="0"/>
        <w:spacing w:line="376" w:lineRule="exact"/>
        <w:ind w:right="420" w:rightChars="200" w:firstLine="464" w:firstLineChars="200"/>
        <w:jc w:val="right"/>
        <w:rPr>
          <w:rFonts w:hint="eastAsia"/>
          <w:snapToGrid w:val="0"/>
          <w:spacing w:val="-4"/>
          <w:sz w:val="24"/>
          <w:lang w:val="sq-AL"/>
        </w:rPr>
      </w:pPr>
    </w:p>
    <w:p>
      <w:pPr>
        <w:overflowPunct w:val="0"/>
        <w:adjustRightInd w:val="0"/>
        <w:snapToGrid w:val="0"/>
        <w:spacing w:line="376" w:lineRule="exact"/>
        <w:ind w:right="420" w:rightChars="200" w:firstLine="464" w:firstLineChars="200"/>
        <w:jc w:val="right"/>
        <w:rPr>
          <w:rFonts w:hint="eastAsia"/>
          <w:snapToGrid w:val="0"/>
          <w:spacing w:val="-4"/>
          <w:sz w:val="24"/>
          <w:lang w:val="sq-AL"/>
        </w:rPr>
      </w:pPr>
    </w:p>
    <w:p>
      <w:pPr>
        <w:overflowPunct w:val="0"/>
        <w:adjustRightInd w:val="0"/>
        <w:snapToGrid w:val="0"/>
        <w:spacing w:line="376" w:lineRule="exact"/>
        <w:ind w:right="420" w:rightChars="200" w:firstLine="464" w:firstLineChars="200"/>
        <w:jc w:val="right"/>
        <w:rPr>
          <w:rFonts w:hint="eastAsia"/>
          <w:snapToGrid w:val="0"/>
          <w:spacing w:val="-4"/>
          <w:sz w:val="24"/>
          <w:lang w:val="sq-AL"/>
        </w:rPr>
      </w:pPr>
    </w:p>
    <w:p>
      <w:pPr>
        <w:overflowPunct w:val="0"/>
        <w:adjustRightInd w:val="0"/>
        <w:snapToGrid w:val="0"/>
        <w:spacing w:line="376" w:lineRule="exact"/>
        <w:ind w:right="420" w:rightChars="200" w:firstLine="464" w:firstLineChars="200"/>
        <w:jc w:val="right"/>
        <w:rPr>
          <w:rFonts w:hint="eastAsia"/>
          <w:snapToGrid w:val="0"/>
          <w:spacing w:val="-4"/>
          <w:sz w:val="24"/>
          <w:lang w:val="sq-AL"/>
        </w:rPr>
      </w:pPr>
    </w:p>
    <w:p>
      <w:pPr>
        <w:overflowPunct w:val="0"/>
        <w:adjustRightInd w:val="0"/>
        <w:snapToGrid w:val="0"/>
        <w:spacing w:line="376" w:lineRule="exact"/>
        <w:ind w:right="420" w:rightChars="200" w:firstLine="464" w:firstLineChars="200"/>
        <w:jc w:val="right"/>
        <w:rPr>
          <w:rFonts w:hint="eastAsia"/>
          <w:snapToGrid w:val="0"/>
          <w:spacing w:val="-4"/>
          <w:sz w:val="24"/>
          <w:lang w:val="sq-AL"/>
        </w:rPr>
      </w:pPr>
    </w:p>
    <w:p>
      <w:pPr>
        <w:overflowPunct w:val="0"/>
        <w:adjustRightInd w:val="0"/>
        <w:snapToGrid w:val="0"/>
        <w:spacing w:line="376" w:lineRule="exact"/>
        <w:ind w:right="420" w:rightChars="200" w:firstLine="464" w:firstLineChars="200"/>
        <w:jc w:val="right"/>
        <w:rPr>
          <w:rFonts w:hint="eastAsia"/>
          <w:snapToGrid w:val="0"/>
          <w:spacing w:val="-4"/>
          <w:sz w:val="24"/>
          <w:lang w:val="sq-AL"/>
        </w:rPr>
      </w:pPr>
    </w:p>
    <w:p>
      <w:pPr>
        <w:overflowPunct w:val="0"/>
        <w:adjustRightInd w:val="0"/>
        <w:snapToGrid w:val="0"/>
        <w:spacing w:line="376" w:lineRule="exact"/>
        <w:ind w:right="420" w:rightChars="200" w:firstLine="464" w:firstLineChars="200"/>
        <w:jc w:val="right"/>
        <w:rPr>
          <w:rFonts w:hint="eastAsia"/>
          <w:snapToGrid w:val="0"/>
          <w:spacing w:val="-4"/>
          <w:sz w:val="24"/>
          <w:lang w:val="sq-AL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95A0B02-855C-4FE2-A39A-7FBBF0A6D64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554DEDCC-68A4-4166-A704-82D3438AB866}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6056EC6-CF92-42D1-BFBA-C9805E852769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mN2I1M2Y3ZWRkNDZmNWJmOWMzMTZhMWY2ZGNiZTcifQ=="/>
  </w:docVars>
  <w:rsids>
    <w:rsidRoot w:val="50405ECC"/>
    <w:rsid w:val="00041D0E"/>
    <w:rsid w:val="00080E5F"/>
    <w:rsid w:val="0438644D"/>
    <w:rsid w:val="09E90FA2"/>
    <w:rsid w:val="0AC027C4"/>
    <w:rsid w:val="12BC78AF"/>
    <w:rsid w:val="14A80541"/>
    <w:rsid w:val="15A928C8"/>
    <w:rsid w:val="162E461F"/>
    <w:rsid w:val="16D40E77"/>
    <w:rsid w:val="17772470"/>
    <w:rsid w:val="196B16E7"/>
    <w:rsid w:val="20004D60"/>
    <w:rsid w:val="2029700E"/>
    <w:rsid w:val="223E208E"/>
    <w:rsid w:val="25DD571A"/>
    <w:rsid w:val="26C07516"/>
    <w:rsid w:val="26D905D7"/>
    <w:rsid w:val="286C3A08"/>
    <w:rsid w:val="288204DC"/>
    <w:rsid w:val="29012939"/>
    <w:rsid w:val="2B3F0BD0"/>
    <w:rsid w:val="2E07434D"/>
    <w:rsid w:val="2E330957"/>
    <w:rsid w:val="33C13A31"/>
    <w:rsid w:val="36E075CD"/>
    <w:rsid w:val="38130EE3"/>
    <w:rsid w:val="3A113556"/>
    <w:rsid w:val="3AFF438E"/>
    <w:rsid w:val="3F6C5CC8"/>
    <w:rsid w:val="3FB672B0"/>
    <w:rsid w:val="40460634"/>
    <w:rsid w:val="405C1C05"/>
    <w:rsid w:val="43C57AC2"/>
    <w:rsid w:val="48C85BBD"/>
    <w:rsid w:val="49C209D4"/>
    <w:rsid w:val="4B771FE9"/>
    <w:rsid w:val="4C2114CB"/>
    <w:rsid w:val="4D5E4CC3"/>
    <w:rsid w:val="50405ECC"/>
    <w:rsid w:val="51520EA9"/>
    <w:rsid w:val="51A61A69"/>
    <w:rsid w:val="52BA4F74"/>
    <w:rsid w:val="56796926"/>
    <w:rsid w:val="5E1C432A"/>
    <w:rsid w:val="61105501"/>
    <w:rsid w:val="634C7460"/>
    <w:rsid w:val="640E7035"/>
    <w:rsid w:val="641974B6"/>
    <w:rsid w:val="661C2B72"/>
    <w:rsid w:val="69112CDD"/>
    <w:rsid w:val="6D0E02ED"/>
    <w:rsid w:val="6E5972F9"/>
    <w:rsid w:val="6FFD43BC"/>
    <w:rsid w:val="74C55523"/>
    <w:rsid w:val="79BE2849"/>
    <w:rsid w:val="7AEC7106"/>
    <w:rsid w:val="7B92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spacing w:beforeAutospacing="1" w:afterAutospacing="1"/>
      <w:jc w:val="left"/>
    </w:pPr>
    <w:rPr>
      <w:rFonts w:ascii="Calibri" w:hAnsi="Calibri" w:eastAsia="宋体"/>
      <w:kern w:val="0"/>
      <w:sz w:val="24"/>
    </w:rPr>
  </w:style>
  <w:style w:type="character" w:customStyle="1" w:styleId="5">
    <w:name w:val="font51"/>
    <w:basedOn w:val="4"/>
    <w:qFormat/>
    <w:uiPriority w:val="0"/>
    <w:rPr>
      <w:rFonts w:hint="default" w:ascii="方正仿宋_GBK" w:hAnsi="方正仿宋_GBK" w:eastAsia="方正仿宋_GBK" w:cs="方正仿宋_GBK"/>
      <w:color w:val="000000"/>
      <w:sz w:val="16"/>
      <w:szCs w:val="16"/>
      <w:u w:val="none"/>
    </w:rPr>
  </w:style>
  <w:style w:type="character" w:customStyle="1" w:styleId="6">
    <w:name w:val="font91"/>
    <w:basedOn w:val="4"/>
    <w:qFormat/>
    <w:uiPriority w:val="0"/>
    <w:rPr>
      <w:rFonts w:hint="default" w:ascii="方正仿宋_GBK" w:hAnsi="方正仿宋_GBK" w:eastAsia="方正仿宋_GBK" w:cs="方正仿宋_GBK"/>
      <w:color w:val="000000"/>
      <w:sz w:val="16"/>
      <w:szCs w:val="16"/>
      <w:u w:val="none"/>
    </w:r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1270</Words>
  <Characters>1749</Characters>
  <Lines>0</Lines>
  <Paragraphs>0</Paragraphs>
  <TotalTime>2</TotalTime>
  <ScaleCrop>false</ScaleCrop>
  <LinksUpToDate>false</LinksUpToDate>
  <CharactersWithSpaces>1752</CharactersWithSpaces>
  <Application>WPS Office_11.8.2.12086_F1E327BC-269C-435d-A152-05C5408002CA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2023-08-02T06:16:00Z</dcterms:created>
  <dc:creator>WPS_1591317287</dc:creator>
  <cp:lastModifiedBy>薛沁</cp:lastModifiedBy>
  <cp:lastPrinted>2024-10-31T08:03:17Z</cp:lastPrinted>
  <dcterms:modified xsi:type="dcterms:W3CDTF">2024-10-31T08:17:29Z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2052-11.8.2.12086</vt:lpwstr>
  </property>
  <property fmtid="{D5CDD505-2E9C-101B-9397-08002B2CF9AE}" pid="3" name="ICV">
    <vt:lpwstr>61807D4C5633407F95129A8072E2EF7D_13</vt:lpwstr>
  </property>
</Properties>
</file>