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E9A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val="0"/>
          <w:color w:val="auto"/>
          <w:sz w:val="32"/>
          <w:szCs w:val="32"/>
          <w:highlight w:val="none"/>
          <w:lang w:eastAsia="zh-CN"/>
        </w:rPr>
      </w:pPr>
      <w:bookmarkStart w:id="0" w:name="_GoBack"/>
      <w:bookmarkEnd w:id="0"/>
      <w:r>
        <w:rPr>
          <w:rFonts w:hint="default" w:ascii="Times New Roman" w:hAnsi="Times New Roman" w:eastAsia="黑体" w:cs="Times New Roman"/>
          <w:b w:val="0"/>
          <w:bCs w:val="0"/>
          <w:color w:val="auto"/>
          <w:sz w:val="32"/>
          <w:szCs w:val="32"/>
          <w:highlight w:val="none"/>
        </w:rPr>
        <w:t>附件</w:t>
      </w:r>
      <w:r>
        <w:rPr>
          <w:rFonts w:hint="default" w:ascii="Times New Roman" w:hAnsi="Times New Roman" w:eastAsia="黑体" w:cs="Times New Roman"/>
          <w:b w:val="0"/>
          <w:bCs w:val="0"/>
          <w:color w:val="auto"/>
          <w:sz w:val="32"/>
          <w:szCs w:val="32"/>
          <w:highlight w:val="none"/>
          <w:lang w:val="en-US" w:eastAsia="zh-CN"/>
        </w:rPr>
        <w:t>5</w:t>
      </w:r>
    </w:p>
    <w:p w14:paraId="4A8E5F5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highlight w:val="none"/>
        </w:rPr>
      </w:pPr>
    </w:p>
    <w:p w14:paraId="0491918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方正小标宋简体" w:cs="Times New Roman"/>
          <w:b w:val="0"/>
          <w:bCs w:val="0"/>
          <w:color w:val="auto"/>
          <w:sz w:val="44"/>
          <w:szCs w:val="44"/>
          <w:highlight w:val="none"/>
        </w:rPr>
        <w:t>项目经费预算编制说明</w:t>
      </w:r>
    </w:p>
    <w:p w14:paraId="6636AE5D">
      <w:pPr>
        <w:pStyle w:val="9"/>
        <w:keepNext w:val="0"/>
        <w:keepLines w:val="0"/>
        <w:pageBreakBefore w:val="0"/>
        <w:widowControl w:val="0"/>
        <w:kinsoku/>
        <w:wordWrap/>
        <w:overflowPunct/>
        <w:topLinePunct w:val="0"/>
        <w:autoSpaceDE/>
        <w:autoSpaceDN/>
        <w:bidi w:val="0"/>
        <w:spacing w:line="560" w:lineRule="exact"/>
        <w:textAlignment w:val="auto"/>
        <w:rPr>
          <w:rFonts w:hint="default" w:ascii="Times New Roman" w:hAnsi="Times New Roman" w:eastAsia="黑体" w:cs="Times New Roman"/>
          <w:b w:val="0"/>
          <w:bCs w:val="0"/>
          <w:color w:val="000000"/>
          <w:sz w:val="31"/>
          <w:szCs w:val="31"/>
        </w:rPr>
      </w:pPr>
    </w:p>
    <w:p w14:paraId="384A74CD">
      <w:pPr>
        <w:pStyle w:val="9"/>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color w:val="000000"/>
          <w:sz w:val="31"/>
          <w:szCs w:val="31"/>
        </w:rPr>
      </w:pPr>
      <w:r>
        <w:rPr>
          <w:rFonts w:hint="default" w:ascii="Times New Roman" w:hAnsi="Times New Roman" w:eastAsia="黑体" w:cs="Times New Roman"/>
          <w:b w:val="0"/>
          <w:bCs w:val="0"/>
          <w:color w:val="000000"/>
          <w:sz w:val="31"/>
          <w:szCs w:val="31"/>
        </w:rPr>
        <w:t>项目新增经费预算编制要求</w:t>
      </w:r>
    </w:p>
    <w:p w14:paraId="61206B94">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仿宋_GB2312" w:cs="Times New Roman"/>
          <w:b w:val="0"/>
          <w:bCs w:val="0"/>
          <w:color w:val="000000"/>
          <w:sz w:val="31"/>
          <w:szCs w:val="31"/>
        </w:rPr>
        <w:t>项目经费由直接费用和间接费用组成，编制科目预算时只需测算总额。</w:t>
      </w:r>
    </w:p>
    <w:p w14:paraId="71835332">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cs="Times New Roman"/>
          <w:lang w:val="en-US" w:eastAsia="zh-CN"/>
        </w:rPr>
      </w:pPr>
      <w:r>
        <w:rPr>
          <w:rFonts w:hint="default" w:ascii="Times New Roman" w:hAnsi="Times New Roman" w:eastAsia="楷体_GB2312" w:cs="Times New Roman"/>
          <w:b w:val="0"/>
          <w:bCs w:val="0"/>
          <w:color w:val="000000"/>
          <w:sz w:val="31"/>
          <w:szCs w:val="31"/>
          <w:lang w:val="en-US" w:eastAsia="zh-CN"/>
        </w:rPr>
        <w:t>1.</w:t>
      </w:r>
      <w:r>
        <w:rPr>
          <w:rFonts w:hint="default" w:ascii="Times New Roman" w:hAnsi="Times New Roman" w:eastAsia="楷体_GB2312" w:cs="Times New Roman"/>
          <w:b w:val="0"/>
          <w:bCs w:val="0"/>
          <w:color w:val="000000"/>
          <w:sz w:val="31"/>
          <w:szCs w:val="31"/>
        </w:rPr>
        <w:t>直接费用是指在项目实施过程中发生的与之直接相关的费用。</w:t>
      </w:r>
      <w:r>
        <w:rPr>
          <w:rFonts w:hint="default" w:ascii="Times New Roman" w:hAnsi="Times New Roman" w:eastAsia="仿宋_GB2312" w:cs="Times New Roman"/>
          <w:b w:val="0"/>
          <w:bCs w:val="0"/>
          <w:color w:val="000000"/>
          <w:sz w:val="31"/>
          <w:szCs w:val="31"/>
        </w:rPr>
        <w:t>主要包括：</w:t>
      </w:r>
    </w:p>
    <w:p w14:paraId="5EB79660">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仿宋_GB2312" w:cs="Times New Roman"/>
          <w:b/>
          <w:bCs/>
          <w:color w:val="000000"/>
          <w:sz w:val="31"/>
          <w:szCs w:val="31"/>
        </w:rPr>
        <w:t>（1）设备费。</w:t>
      </w:r>
      <w:r>
        <w:rPr>
          <w:rFonts w:hint="default" w:ascii="Times New Roman" w:hAnsi="Times New Roman" w:eastAsia="仿宋_GB2312" w:cs="Times New Roman"/>
          <w:b w:val="0"/>
          <w:bCs w:val="0"/>
          <w:color w:val="000000"/>
          <w:sz w:val="31"/>
          <w:szCs w:val="31"/>
        </w:rPr>
        <w:t xml:space="preserve">主要列支项目实施过程中购置或试制专用仪器设备，对现有仪器设备进行升级改造，以及租赁外单位仪器设备而发生的费用。计算类仪器设备和软件工具可在设备费科目列支。 </w:t>
      </w:r>
    </w:p>
    <w:p w14:paraId="3CFF28C0">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仿宋_GB2312" w:cs="Times New Roman"/>
          <w:b/>
          <w:bCs/>
          <w:color w:val="000000"/>
          <w:sz w:val="31"/>
          <w:szCs w:val="31"/>
        </w:rPr>
        <w:t>（2）业务费。</w:t>
      </w:r>
      <w:r>
        <w:rPr>
          <w:rFonts w:hint="default" w:ascii="Times New Roman" w:hAnsi="Times New Roman" w:eastAsia="仿宋_GB2312" w:cs="Times New Roman"/>
          <w:b w:val="0"/>
          <w:bCs w:val="0"/>
          <w:color w:val="000000"/>
          <w:sz w:val="31"/>
          <w:szCs w:val="31"/>
        </w:rPr>
        <w:t>主要列支项目实施过程中消耗的各种材料、辅助材料等低值易耗品的采购、运输、装卸、整理等费用，发生的测试化验加工、燃料动力、出版</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文献</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信息传播</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知识产权事务、会议</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差旅</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国际合作交流等费用，以及其他相关支出。</w:t>
      </w:r>
    </w:p>
    <w:p w14:paraId="6F0EC7F6">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仿宋_GB2312" w:cs="Times New Roman"/>
          <w:b/>
          <w:bCs/>
          <w:color w:val="000000"/>
          <w:sz w:val="31"/>
          <w:szCs w:val="31"/>
        </w:rPr>
        <w:t>（3）劳务费。</w:t>
      </w:r>
      <w:r>
        <w:rPr>
          <w:rFonts w:hint="default" w:ascii="Times New Roman" w:hAnsi="Times New Roman" w:eastAsia="仿宋_GB2312" w:cs="Times New Roman"/>
          <w:b w:val="0"/>
          <w:bCs w:val="0"/>
          <w:color w:val="000000"/>
          <w:sz w:val="31"/>
          <w:szCs w:val="31"/>
        </w:rPr>
        <w:t>主要列支项目实施过程中支付给参与项目的研究生、博士后、访问学者和项目聘用的研究人员、科研辅助人员等的劳务性费用；以及支付给临时聘请的咨询专家的费用等。</w:t>
      </w:r>
    </w:p>
    <w:p w14:paraId="54EADCD4">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楷体_GB2312" w:cs="Times New Roman"/>
          <w:b w:val="0"/>
          <w:bCs w:val="0"/>
          <w:color w:val="000000"/>
          <w:sz w:val="31"/>
          <w:szCs w:val="31"/>
        </w:rPr>
      </w:pPr>
      <w:r>
        <w:rPr>
          <w:rFonts w:hint="default" w:ascii="Times New Roman" w:hAnsi="Times New Roman" w:eastAsia="TimesNewRomanPSMT" w:cs="Times New Roman"/>
          <w:b w:val="0"/>
          <w:bCs w:val="0"/>
          <w:color w:val="000000"/>
          <w:sz w:val="31"/>
          <w:szCs w:val="31"/>
        </w:rPr>
        <w:t>2.</w:t>
      </w:r>
      <w:r>
        <w:rPr>
          <w:rFonts w:hint="default" w:ascii="Times New Roman" w:hAnsi="Times New Roman" w:eastAsia="楷体_GB2312" w:cs="Times New Roman"/>
          <w:b w:val="0"/>
          <w:bCs w:val="0"/>
          <w:color w:val="000000"/>
          <w:sz w:val="31"/>
          <w:szCs w:val="31"/>
        </w:rPr>
        <w:t>间接费用是指项目实施单位在组织实施项目过程中发生的无法在直接费用中列支的相关费用，包括有关管理费和绩效支出等。</w:t>
      </w:r>
    </w:p>
    <w:p w14:paraId="35048FB4">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仿宋_GB2312" w:cs="Times New Roman"/>
          <w:b w:val="0"/>
          <w:bCs w:val="0"/>
          <w:color w:val="000000"/>
          <w:sz w:val="31"/>
          <w:szCs w:val="31"/>
        </w:rPr>
        <w:t>提高项目间接费用比例，按照不超过直接费用扣除设备费后的一定比例核定，具体比例为：</w:t>
      </w:r>
      <w:r>
        <w:rPr>
          <w:rFonts w:hint="default" w:ascii="Times New Roman" w:hAnsi="Times New Roman" w:eastAsia="TimesNewRomanPSMT" w:cs="Times New Roman"/>
          <w:b w:val="0"/>
          <w:bCs w:val="0"/>
          <w:color w:val="000000"/>
          <w:sz w:val="31"/>
          <w:szCs w:val="31"/>
        </w:rPr>
        <w:t>500</w:t>
      </w:r>
      <w:r>
        <w:rPr>
          <w:rFonts w:hint="default" w:ascii="Times New Roman" w:hAnsi="Times New Roman" w:eastAsia="仿宋_GB2312" w:cs="Times New Roman"/>
          <w:b w:val="0"/>
          <w:bCs w:val="0"/>
          <w:color w:val="000000"/>
          <w:sz w:val="31"/>
          <w:szCs w:val="31"/>
        </w:rPr>
        <w:t>万元以下部分不超过</w:t>
      </w:r>
      <w:r>
        <w:rPr>
          <w:rFonts w:hint="default" w:ascii="Times New Roman" w:hAnsi="Times New Roman" w:eastAsia="TimesNewRomanPSMT" w:cs="Times New Roman"/>
          <w:b w:val="0"/>
          <w:bCs w:val="0"/>
          <w:color w:val="000000"/>
          <w:sz w:val="31"/>
          <w:szCs w:val="31"/>
        </w:rPr>
        <w:t>30%</w:t>
      </w:r>
      <w:r>
        <w:rPr>
          <w:rFonts w:hint="default" w:ascii="Times New Roman" w:hAnsi="Times New Roman" w:eastAsia="仿宋_GB2312" w:cs="Times New Roman"/>
          <w:b w:val="0"/>
          <w:bCs w:val="0"/>
          <w:color w:val="000000"/>
          <w:sz w:val="31"/>
          <w:szCs w:val="31"/>
        </w:rPr>
        <w:t>，</w:t>
      </w:r>
      <w:r>
        <w:rPr>
          <w:rFonts w:hint="default" w:ascii="Times New Roman" w:hAnsi="Times New Roman" w:eastAsia="TimesNewRomanPSMT" w:cs="Times New Roman"/>
          <w:b w:val="0"/>
          <w:bCs w:val="0"/>
          <w:color w:val="000000"/>
          <w:sz w:val="31"/>
          <w:szCs w:val="31"/>
        </w:rPr>
        <w:t>500</w:t>
      </w:r>
      <w:r>
        <w:rPr>
          <w:rFonts w:hint="default" w:ascii="Times New Roman" w:hAnsi="Times New Roman" w:eastAsia="仿宋_GB2312" w:cs="Times New Roman"/>
          <w:b w:val="0"/>
          <w:bCs w:val="0"/>
          <w:color w:val="000000"/>
          <w:sz w:val="31"/>
          <w:szCs w:val="31"/>
        </w:rPr>
        <w:t>万元至</w:t>
      </w:r>
      <w:r>
        <w:rPr>
          <w:rFonts w:hint="default" w:ascii="Times New Roman" w:hAnsi="Times New Roman" w:eastAsia="TimesNewRomanPSMT" w:cs="Times New Roman"/>
          <w:b w:val="0"/>
          <w:bCs w:val="0"/>
          <w:color w:val="000000"/>
          <w:sz w:val="31"/>
          <w:szCs w:val="31"/>
        </w:rPr>
        <w:t>1000</w:t>
      </w:r>
      <w:r>
        <w:rPr>
          <w:rFonts w:hint="default" w:ascii="Times New Roman" w:hAnsi="Times New Roman" w:eastAsia="仿宋_GB2312" w:cs="Times New Roman"/>
          <w:b w:val="0"/>
          <w:bCs w:val="0"/>
          <w:color w:val="000000"/>
          <w:sz w:val="31"/>
          <w:szCs w:val="31"/>
        </w:rPr>
        <w:t>万元的部分不超过</w:t>
      </w:r>
      <w:r>
        <w:rPr>
          <w:rFonts w:hint="default" w:ascii="Times New Roman" w:hAnsi="Times New Roman" w:eastAsia="TimesNewRomanPSMT" w:cs="Times New Roman"/>
          <w:b w:val="0"/>
          <w:bCs w:val="0"/>
          <w:color w:val="000000"/>
          <w:sz w:val="31"/>
          <w:szCs w:val="31"/>
        </w:rPr>
        <w:t>25%</w:t>
      </w:r>
      <w:r>
        <w:rPr>
          <w:rFonts w:hint="default" w:ascii="Times New Roman" w:hAnsi="Times New Roman" w:eastAsia="仿宋_GB2312" w:cs="Times New Roman"/>
          <w:b w:val="0"/>
          <w:bCs w:val="0"/>
          <w:color w:val="000000"/>
          <w:sz w:val="31"/>
          <w:szCs w:val="31"/>
        </w:rPr>
        <w:t>，</w:t>
      </w:r>
      <w:r>
        <w:rPr>
          <w:rFonts w:hint="default" w:ascii="Times New Roman" w:hAnsi="Times New Roman" w:eastAsia="TimesNewRomanPSMT" w:cs="Times New Roman"/>
          <w:b w:val="0"/>
          <w:bCs w:val="0"/>
          <w:color w:val="000000"/>
          <w:sz w:val="31"/>
          <w:szCs w:val="31"/>
        </w:rPr>
        <w:t>1000</w:t>
      </w:r>
      <w:r>
        <w:rPr>
          <w:rFonts w:hint="default" w:ascii="Times New Roman" w:hAnsi="Times New Roman" w:eastAsia="仿宋_GB2312" w:cs="Times New Roman"/>
          <w:b w:val="0"/>
          <w:bCs w:val="0"/>
          <w:color w:val="000000"/>
          <w:sz w:val="31"/>
          <w:szCs w:val="31"/>
        </w:rPr>
        <w:t>万元以上的部分不超过</w:t>
      </w:r>
      <w:r>
        <w:rPr>
          <w:rFonts w:hint="default" w:ascii="Times New Roman" w:hAnsi="Times New Roman" w:eastAsia="TimesNewRomanPSMT" w:cs="Times New Roman"/>
          <w:b w:val="0"/>
          <w:bCs w:val="0"/>
          <w:color w:val="000000"/>
          <w:sz w:val="31"/>
          <w:szCs w:val="31"/>
        </w:rPr>
        <w:t>20%</w:t>
      </w:r>
      <w:r>
        <w:rPr>
          <w:rFonts w:hint="default" w:ascii="Times New Roman" w:hAnsi="Times New Roman" w:eastAsia="仿宋_GB2312" w:cs="Times New Roman"/>
          <w:b w:val="0"/>
          <w:bCs w:val="0"/>
          <w:color w:val="000000"/>
          <w:sz w:val="31"/>
          <w:szCs w:val="31"/>
        </w:rPr>
        <w:t>。间接费用由实施单位统筹安排使用。实施单位应当建立健全间接费用的内部管理办法，公开透明、合规合理使用间接费用，处理好分摊间接成本和对科研人员激励的关系。绩效支出安排应当与科研人员在项目工作中的实际贡献挂钩。绩效支出不设比例限制。间接费用的绩效支出不计入项目承担单位绩效工资总额基数，纳入项目承担单位绩效工资总量管理。</w:t>
      </w:r>
    </w:p>
    <w:p w14:paraId="13F152E0">
      <w:pPr>
        <w:pStyle w:val="9"/>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20" w:firstLineChars="200"/>
        <w:textAlignment w:val="auto"/>
        <w:rPr>
          <w:rFonts w:hint="default" w:ascii="Times New Roman" w:hAnsi="Times New Roman" w:eastAsia="黑体" w:cs="Times New Roman"/>
          <w:b w:val="0"/>
          <w:bCs w:val="0"/>
          <w:color w:val="000000"/>
          <w:sz w:val="31"/>
          <w:szCs w:val="31"/>
        </w:rPr>
      </w:pPr>
      <w:r>
        <w:rPr>
          <w:rFonts w:hint="default" w:ascii="Times New Roman" w:hAnsi="Times New Roman" w:eastAsia="黑体" w:cs="Times New Roman"/>
          <w:b w:val="0"/>
          <w:bCs w:val="0"/>
          <w:color w:val="000000"/>
          <w:sz w:val="31"/>
          <w:szCs w:val="31"/>
        </w:rPr>
        <w:t>项目经费管理要求</w:t>
      </w:r>
    </w:p>
    <w:p w14:paraId="0C5151CD">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楷体_GB2312" w:cs="Times New Roman"/>
          <w:b w:val="0"/>
          <w:bCs w:val="0"/>
          <w:color w:val="000000"/>
          <w:sz w:val="31"/>
          <w:szCs w:val="31"/>
          <w:lang w:val="en-US" w:eastAsia="zh-CN"/>
        </w:rPr>
        <w:t>1.</w:t>
      </w:r>
      <w:r>
        <w:rPr>
          <w:rFonts w:hint="default" w:ascii="Times New Roman" w:hAnsi="Times New Roman" w:eastAsia="楷体_GB2312" w:cs="Times New Roman"/>
          <w:b w:val="0"/>
          <w:bCs w:val="0"/>
          <w:color w:val="000000"/>
          <w:sz w:val="31"/>
          <w:szCs w:val="31"/>
        </w:rPr>
        <w:t>扩大预算调剂权和经费使用自主权。</w:t>
      </w:r>
      <w:r>
        <w:rPr>
          <w:rFonts w:hint="default" w:ascii="Times New Roman" w:hAnsi="Times New Roman" w:eastAsia="仿宋_GB2312" w:cs="Times New Roman"/>
          <w:b w:val="0"/>
          <w:bCs w:val="0"/>
          <w:color w:val="000000"/>
          <w:sz w:val="31"/>
          <w:szCs w:val="31"/>
        </w:rPr>
        <w:t>在项目总预算不变的情况下，项目负责人可根据科研活动实际需要自主调整直接费用全部科目的经费支出，不受比例限制，由项目承担单位办理调剂手续。项目承担单位应统筹现有设备配置情况和科研项目实际需求，从严控制设备购置，鼓励开放共享、自主研制、租赁专用仪器设备以及对现有仪器设备进行升级改造，避免重复购置。</w:t>
      </w:r>
      <w:r>
        <w:rPr>
          <w:rFonts w:hint="eastAsia" w:ascii="Times New Roman" w:hAnsi="Times New Roman" w:eastAsia="仿宋_GB2312" w:cs="Times New Roman"/>
          <w:b w:val="0"/>
          <w:bCs w:val="0"/>
          <w:color w:val="000000"/>
          <w:sz w:val="31"/>
          <w:szCs w:val="31"/>
          <w:lang w:val="en-US" w:eastAsia="zh-CN"/>
        </w:rPr>
        <w:t>其中，</w:t>
      </w:r>
      <w:r>
        <w:rPr>
          <w:rFonts w:hint="default" w:ascii="Times New Roman" w:hAnsi="Times New Roman" w:eastAsia="仿宋_GB2312" w:cs="Times New Roman"/>
          <w:b w:val="0"/>
          <w:bCs w:val="0"/>
          <w:color w:val="000000"/>
          <w:sz w:val="31"/>
          <w:szCs w:val="31"/>
        </w:rPr>
        <w:t>基础研究计划按照《太仓市科技计划项目经费使用“包干制”实施方案》规定，开展经费使用“包干制”改革，只编报项目经费预算总额，无需编制项目支出预算科目。</w:t>
      </w:r>
    </w:p>
    <w:p w14:paraId="11F8FBAE">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楷体_GB2312" w:cs="Times New Roman"/>
          <w:b w:val="0"/>
          <w:bCs w:val="0"/>
          <w:color w:val="000000"/>
          <w:sz w:val="31"/>
          <w:szCs w:val="31"/>
          <w:lang w:val="en-US" w:eastAsia="zh-CN"/>
        </w:rPr>
        <w:t>2.</w:t>
      </w:r>
      <w:r>
        <w:rPr>
          <w:rFonts w:hint="default" w:ascii="Times New Roman" w:hAnsi="Times New Roman" w:eastAsia="楷体_GB2312" w:cs="Times New Roman"/>
          <w:b w:val="0"/>
          <w:bCs w:val="0"/>
          <w:color w:val="000000"/>
          <w:sz w:val="31"/>
          <w:szCs w:val="31"/>
        </w:rPr>
        <w:t>拓宽项目直接费用列支范围。</w:t>
      </w:r>
      <w:r>
        <w:rPr>
          <w:rFonts w:hint="default" w:ascii="Times New Roman" w:hAnsi="Times New Roman" w:eastAsia="仿宋_GB2312" w:cs="Times New Roman"/>
          <w:b w:val="0"/>
          <w:bCs w:val="0"/>
          <w:color w:val="000000"/>
          <w:sz w:val="31"/>
          <w:szCs w:val="31"/>
        </w:rPr>
        <w:t>与科研院所、高等学校等事业单位签订劳动合同的编制外人员工资性支出、参与科研项目的退休返聘人员费用可在科研项目劳务费中列支。由项目承担单位缴纳的项目聘用人员社会保险补助、住房公积金等可纳入劳务费科目列支。</w:t>
      </w:r>
    </w:p>
    <w:p w14:paraId="49266037">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auto"/>
          <w:sz w:val="31"/>
          <w:szCs w:val="31"/>
        </w:rPr>
      </w:pPr>
      <w:r>
        <w:rPr>
          <w:rFonts w:hint="default" w:ascii="Times New Roman" w:hAnsi="Times New Roman" w:eastAsia="楷体_GB2312" w:cs="Times New Roman"/>
          <w:b w:val="0"/>
          <w:bCs w:val="0"/>
          <w:color w:val="auto"/>
          <w:sz w:val="31"/>
          <w:szCs w:val="31"/>
          <w:lang w:val="en-US" w:eastAsia="zh-CN"/>
        </w:rPr>
        <w:t>3.</w:t>
      </w:r>
      <w:r>
        <w:rPr>
          <w:rFonts w:hint="default" w:ascii="Times New Roman" w:hAnsi="Times New Roman" w:eastAsia="楷体_GB2312" w:cs="Times New Roman"/>
          <w:b w:val="0"/>
          <w:bCs w:val="0"/>
          <w:color w:val="auto"/>
          <w:sz w:val="31"/>
          <w:szCs w:val="31"/>
        </w:rPr>
        <w:t>改进项目资金留用处理方式。</w:t>
      </w:r>
      <w:r>
        <w:rPr>
          <w:rFonts w:hint="default" w:ascii="Times New Roman" w:hAnsi="Times New Roman" w:eastAsia="仿宋_GB2312" w:cs="Times New Roman"/>
          <w:b w:val="0"/>
          <w:bCs w:val="0"/>
          <w:color w:val="auto"/>
          <w:sz w:val="31"/>
          <w:szCs w:val="31"/>
        </w:rPr>
        <w:t>完成合同书任务并通过验收的项目，结余资金可留归项目组用于后续科研活动直接支出或由项目承担单位统筹用于科研活动直接支出。撤销立项、总结结题、终止的项目结余资金</w:t>
      </w:r>
      <w:r>
        <w:rPr>
          <w:rFonts w:hint="default" w:ascii="Times New Roman" w:hAnsi="Times New Roman" w:eastAsia="仿宋_GB2312" w:cs="Times New Roman"/>
          <w:b w:val="0"/>
          <w:bCs w:val="0"/>
          <w:color w:val="auto"/>
          <w:sz w:val="31"/>
          <w:szCs w:val="31"/>
          <w:lang w:eastAsia="zh-CN"/>
        </w:rPr>
        <w:t>，</w:t>
      </w:r>
      <w:r>
        <w:rPr>
          <w:rFonts w:hint="default" w:ascii="Times New Roman" w:hAnsi="Times New Roman" w:eastAsia="仿宋_GB2312" w:cs="Times New Roman"/>
          <w:b w:val="0"/>
          <w:bCs w:val="0"/>
          <w:color w:val="auto"/>
          <w:sz w:val="31"/>
          <w:szCs w:val="31"/>
        </w:rPr>
        <w:t>根据审计报告或经费决算表确定结余资金按原拨付渠道收回。</w:t>
      </w:r>
    </w:p>
    <w:p w14:paraId="67BFACB4">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仿宋_GB2312" w:cs="Times New Roman"/>
          <w:b w:val="0"/>
          <w:bCs w:val="0"/>
          <w:color w:val="000000"/>
          <w:sz w:val="31"/>
          <w:szCs w:val="31"/>
        </w:rPr>
      </w:pPr>
      <w:r>
        <w:rPr>
          <w:rFonts w:hint="default" w:ascii="Times New Roman" w:hAnsi="Times New Roman" w:eastAsia="楷体_GB2312" w:cs="Times New Roman"/>
          <w:b w:val="0"/>
          <w:bCs w:val="0"/>
          <w:color w:val="000000"/>
          <w:sz w:val="31"/>
          <w:szCs w:val="31"/>
          <w:lang w:val="en-US" w:eastAsia="zh-CN"/>
        </w:rPr>
        <w:t>4.</w:t>
      </w:r>
      <w:r>
        <w:rPr>
          <w:rFonts w:hint="default" w:ascii="Times New Roman" w:hAnsi="Times New Roman" w:eastAsia="楷体_GB2312" w:cs="Times New Roman"/>
          <w:b w:val="0"/>
          <w:bCs w:val="0"/>
          <w:color w:val="000000"/>
          <w:sz w:val="31"/>
          <w:szCs w:val="31"/>
        </w:rPr>
        <w:t>项目承担单位要及时落实项目自筹经费，保障项目顺利实施。</w:t>
      </w:r>
      <w:r>
        <w:rPr>
          <w:rFonts w:hint="default" w:ascii="Times New Roman" w:hAnsi="Times New Roman" w:eastAsia="仿宋_GB2312" w:cs="Times New Roman"/>
          <w:b w:val="0"/>
          <w:bCs w:val="0"/>
          <w:color w:val="000000"/>
          <w:sz w:val="31"/>
          <w:szCs w:val="31"/>
        </w:rPr>
        <w:t>对项目经费单独建账、专项核算、专款专用，在单位会计核算系统中单独设置会计科目或设辅助明细账。不能作为</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单独核算</w:t>
      </w:r>
      <w:r>
        <w:rPr>
          <w:rFonts w:hint="default" w:ascii="Times New Roman" w:hAnsi="Times New Roman" w:eastAsia="TimesNewRomanPSMT" w:cs="Times New Roman"/>
          <w:b w:val="0"/>
          <w:bCs w:val="0"/>
          <w:color w:val="000000"/>
          <w:sz w:val="31"/>
          <w:szCs w:val="31"/>
        </w:rPr>
        <w:t>”</w:t>
      </w:r>
      <w:r>
        <w:rPr>
          <w:rFonts w:hint="default" w:ascii="Times New Roman" w:hAnsi="Times New Roman" w:eastAsia="仿宋_GB2312" w:cs="Times New Roman"/>
          <w:b w:val="0"/>
          <w:bCs w:val="0"/>
          <w:color w:val="000000"/>
          <w:sz w:val="31"/>
          <w:szCs w:val="31"/>
        </w:rPr>
        <w:t>的方式主要包括：台账登记、电子表格登记、项目经费本登记、记账凭证加标注。</w:t>
      </w:r>
    </w:p>
    <w:p w14:paraId="7A35EC99">
      <w:pPr>
        <w:numPr>
          <w:ilvl w:val="0"/>
          <w:numId w:val="0"/>
        </w:numPr>
        <w:spacing w:line="560" w:lineRule="exact"/>
        <w:ind w:firstLine="620" w:firstLineChars="200"/>
        <w:rPr>
          <w:rFonts w:hint="default" w:ascii="Times New Roman" w:hAnsi="Times New Roman" w:eastAsia="仿宋_GB2312" w:cs="Times New Roman"/>
          <w:b w:val="0"/>
          <w:bCs w:val="0"/>
          <w:i w:val="0"/>
          <w:iCs w:val="0"/>
          <w:caps w:val="0"/>
          <w:spacing w:val="0"/>
          <w:sz w:val="32"/>
          <w:szCs w:val="32"/>
          <w:shd w:val="clear" w:fill="auto"/>
          <w:lang w:val="en-US" w:eastAsia="zh-CN" w:bidi="ar"/>
        </w:rPr>
      </w:pPr>
      <w:r>
        <w:rPr>
          <w:rFonts w:hint="default" w:ascii="Times New Roman" w:hAnsi="Times New Roman" w:eastAsia="楷体_GB2312" w:cs="Times New Roman"/>
          <w:b w:val="0"/>
          <w:bCs w:val="0"/>
          <w:color w:val="000000"/>
          <w:sz w:val="31"/>
          <w:szCs w:val="31"/>
          <w:lang w:val="en-US" w:eastAsia="zh-CN"/>
        </w:rPr>
        <w:t>5.</w:t>
      </w:r>
      <w:r>
        <w:rPr>
          <w:rFonts w:hint="default" w:ascii="Times New Roman" w:hAnsi="Times New Roman" w:eastAsia="楷体_GB2312" w:cs="Times New Roman"/>
          <w:b w:val="0"/>
          <w:bCs w:val="0"/>
          <w:color w:val="000000"/>
          <w:sz w:val="31"/>
          <w:szCs w:val="31"/>
        </w:rPr>
        <w:t>项目经费不得用于支付各种罚款、捐款、赞助、投资等支出，不得用于国家规定禁止列入的其他支出</w:t>
      </w:r>
      <w:r>
        <w:rPr>
          <w:rFonts w:hint="default" w:ascii="Times New Roman" w:hAnsi="Times New Roman" w:eastAsia="楷体_GB2312" w:cs="Times New Roman"/>
          <w:b w:val="0"/>
          <w:bCs w:val="0"/>
          <w:color w:val="000000"/>
          <w:sz w:val="31"/>
          <w:szCs w:val="31"/>
          <w:lang w:eastAsia="zh-CN"/>
        </w:rPr>
        <w:t>。</w:t>
      </w:r>
    </w:p>
    <w:sectPr>
      <w:footerReference r:id="rId3" w:type="default"/>
      <w:pgSz w:w="11906" w:h="16838"/>
      <w:pgMar w:top="1814" w:right="1474" w:bottom="1701" w:left="1474"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17D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C8952"/>
    <w:multiLevelType w:val="singleLevel"/>
    <w:tmpl w:val="A81C89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7A89"/>
    <w:rsid w:val="013D40D8"/>
    <w:rsid w:val="0170404F"/>
    <w:rsid w:val="01D63896"/>
    <w:rsid w:val="01FF0DD2"/>
    <w:rsid w:val="020A29E6"/>
    <w:rsid w:val="022B40C3"/>
    <w:rsid w:val="02316129"/>
    <w:rsid w:val="0319180E"/>
    <w:rsid w:val="036D482C"/>
    <w:rsid w:val="03D21FD2"/>
    <w:rsid w:val="04953D64"/>
    <w:rsid w:val="04CD1839"/>
    <w:rsid w:val="05F94CFC"/>
    <w:rsid w:val="060D6A73"/>
    <w:rsid w:val="064321EB"/>
    <w:rsid w:val="07746E01"/>
    <w:rsid w:val="07802062"/>
    <w:rsid w:val="07FF37CD"/>
    <w:rsid w:val="087F4E85"/>
    <w:rsid w:val="08B639B0"/>
    <w:rsid w:val="095E1B17"/>
    <w:rsid w:val="09E07C7B"/>
    <w:rsid w:val="0ADF2164"/>
    <w:rsid w:val="0AEC6126"/>
    <w:rsid w:val="0B434C20"/>
    <w:rsid w:val="0BBF03D1"/>
    <w:rsid w:val="0C016267"/>
    <w:rsid w:val="0DBA3094"/>
    <w:rsid w:val="0DCA16FB"/>
    <w:rsid w:val="0E9616CE"/>
    <w:rsid w:val="0EEF0710"/>
    <w:rsid w:val="0F0F11BE"/>
    <w:rsid w:val="0F394008"/>
    <w:rsid w:val="10511251"/>
    <w:rsid w:val="10537FD8"/>
    <w:rsid w:val="10994EC9"/>
    <w:rsid w:val="10A10E9D"/>
    <w:rsid w:val="120F683F"/>
    <w:rsid w:val="12117034"/>
    <w:rsid w:val="12E642C5"/>
    <w:rsid w:val="138C7281"/>
    <w:rsid w:val="139129A8"/>
    <w:rsid w:val="139C67BB"/>
    <w:rsid w:val="14C36CD2"/>
    <w:rsid w:val="14C74A4D"/>
    <w:rsid w:val="151C7F30"/>
    <w:rsid w:val="155032B7"/>
    <w:rsid w:val="16636836"/>
    <w:rsid w:val="1793537B"/>
    <w:rsid w:val="18294330"/>
    <w:rsid w:val="182E3C10"/>
    <w:rsid w:val="18345F44"/>
    <w:rsid w:val="183D6854"/>
    <w:rsid w:val="188A6953"/>
    <w:rsid w:val="18E759E8"/>
    <w:rsid w:val="1979128B"/>
    <w:rsid w:val="1AFD66F4"/>
    <w:rsid w:val="1B0424DF"/>
    <w:rsid w:val="1B835D4B"/>
    <w:rsid w:val="1B854DF9"/>
    <w:rsid w:val="1BF2725A"/>
    <w:rsid w:val="1C016C3F"/>
    <w:rsid w:val="1C543106"/>
    <w:rsid w:val="1D456AFB"/>
    <w:rsid w:val="1D4A019B"/>
    <w:rsid w:val="1D4A7116"/>
    <w:rsid w:val="1D683CF9"/>
    <w:rsid w:val="1DAA72BB"/>
    <w:rsid w:val="1E146D3B"/>
    <w:rsid w:val="1E3358A4"/>
    <w:rsid w:val="1EE6343F"/>
    <w:rsid w:val="1FAB1C67"/>
    <w:rsid w:val="20267ED1"/>
    <w:rsid w:val="20627919"/>
    <w:rsid w:val="20724974"/>
    <w:rsid w:val="23E0490E"/>
    <w:rsid w:val="24093437"/>
    <w:rsid w:val="24F05029"/>
    <w:rsid w:val="257858B7"/>
    <w:rsid w:val="258A7BD4"/>
    <w:rsid w:val="25E021C0"/>
    <w:rsid w:val="26574FB2"/>
    <w:rsid w:val="26BD0F66"/>
    <w:rsid w:val="272720A5"/>
    <w:rsid w:val="272A709A"/>
    <w:rsid w:val="27537CDD"/>
    <w:rsid w:val="27BE60C1"/>
    <w:rsid w:val="27E32A7D"/>
    <w:rsid w:val="28075F54"/>
    <w:rsid w:val="28662792"/>
    <w:rsid w:val="286C74DE"/>
    <w:rsid w:val="291C3C70"/>
    <w:rsid w:val="29BE6E8B"/>
    <w:rsid w:val="29E83790"/>
    <w:rsid w:val="2A132E42"/>
    <w:rsid w:val="2A2E0C3A"/>
    <w:rsid w:val="2A4D0B0D"/>
    <w:rsid w:val="2A790107"/>
    <w:rsid w:val="2CF37669"/>
    <w:rsid w:val="2D4C4ADE"/>
    <w:rsid w:val="2D760F49"/>
    <w:rsid w:val="2E447B6C"/>
    <w:rsid w:val="2EB67F7C"/>
    <w:rsid w:val="30033D52"/>
    <w:rsid w:val="30A45AD9"/>
    <w:rsid w:val="30C13DA9"/>
    <w:rsid w:val="30E31097"/>
    <w:rsid w:val="30F96868"/>
    <w:rsid w:val="31CA31C4"/>
    <w:rsid w:val="33135140"/>
    <w:rsid w:val="33AB1C16"/>
    <w:rsid w:val="34565BE7"/>
    <w:rsid w:val="34BD3098"/>
    <w:rsid w:val="365D0BBE"/>
    <w:rsid w:val="380F1889"/>
    <w:rsid w:val="388C0703"/>
    <w:rsid w:val="39C91A0C"/>
    <w:rsid w:val="3A6058D6"/>
    <w:rsid w:val="3AAA2D68"/>
    <w:rsid w:val="3ACE0108"/>
    <w:rsid w:val="3BE42FED"/>
    <w:rsid w:val="3CC60243"/>
    <w:rsid w:val="3D9425AC"/>
    <w:rsid w:val="3E242D59"/>
    <w:rsid w:val="3E675770"/>
    <w:rsid w:val="3EA477D4"/>
    <w:rsid w:val="3EC66663"/>
    <w:rsid w:val="3F6D697B"/>
    <w:rsid w:val="3F6F1933"/>
    <w:rsid w:val="40173E32"/>
    <w:rsid w:val="41205969"/>
    <w:rsid w:val="41831962"/>
    <w:rsid w:val="41AE11D8"/>
    <w:rsid w:val="41B124B6"/>
    <w:rsid w:val="41CB7FA5"/>
    <w:rsid w:val="41CD30FD"/>
    <w:rsid w:val="437C436D"/>
    <w:rsid w:val="44427364"/>
    <w:rsid w:val="44E2765E"/>
    <w:rsid w:val="460B799F"/>
    <w:rsid w:val="465A4A0E"/>
    <w:rsid w:val="46F830F8"/>
    <w:rsid w:val="47AC51A3"/>
    <w:rsid w:val="48302E11"/>
    <w:rsid w:val="48605F4B"/>
    <w:rsid w:val="48746ABB"/>
    <w:rsid w:val="487E2EFD"/>
    <w:rsid w:val="48E44DA1"/>
    <w:rsid w:val="496E6B9D"/>
    <w:rsid w:val="4B6A194A"/>
    <w:rsid w:val="4BB42ABF"/>
    <w:rsid w:val="4BE0268A"/>
    <w:rsid w:val="4C3125A7"/>
    <w:rsid w:val="4C5C4F21"/>
    <w:rsid w:val="4C60645B"/>
    <w:rsid w:val="4D010BBD"/>
    <w:rsid w:val="4D6A4991"/>
    <w:rsid w:val="4D903617"/>
    <w:rsid w:val="4DCF13D9"/>
    <w:rsid w:val="4E1F09BA"/>
    <w:rsid w:val="4E345EE7"/>
    <w:rsid w:val="4E5C70EB"/>
    <w:rsid w:val="4EC82EEA"/>
    <w:rsid w:val="4FF727BF"/>
    <w:rsid w:val="5001570E"/>
    <w:rsid w:val="504A0CC1"/>
    <w:rsid w:val="507B24B3"/>
    <w:rsid w:val="50DA12C4"/>
    <w:rsid w:val="517A073C"/>
    <w:rsid w:val="521E31BF"/>
    <w:rsid w:val="52392D6D"/>
    <w:rsid w:val="52A12522"/>
    <w:rsid w:val="53BB7D32"/>
    <w:rsid w:val="546728D9"/>
    <w:rsid w:val="54867968"/>
    <w:rsid w:val="548B2F99"/>
    <w:rsid w:val="54A3631C"/>
    <w:rsid w:val="54EF3267"/>
    <w:rsid w:val="553C49CA"/>
    <w:rsid w:val="557355CF"/>
    <w:rsid w:val="55CA70E8"/>
    <w:rsid w:val="564D31A3"/>
    <w:rsid w:val="56670CF5"/>
    <w:rsid w:val="56F63EB6"/>
    <w:rsid w:val="57B2268A"/>
    <w:rsid w:val="57F541C9"/>
    <w:rsid w:val="587F34F3"/>
    <w:rsid w:val="58AB28B9"/>
    <w:rsid w:val="58CD57C0"/>
    <w:rsid w:val="59265E4F"/>
    <w:rsid w:val="59D836F4"/>
    <w:rsid w:val="5A0A4993"/>
    <w:rsid w:val="5BF13D64"/>
    <w:rsid w:val="5D4D7217"/>
    <w:rsid w:val="5D6821A5"/>
    <w:rsid w:val="5DF04B2E"/>
    <w:rsid w:val="5E324CBD"/>
    <w:rsid w:val="5E3B2978"/>
    <w:rsid w:val="5E9E26C8"/>
    <w:rsid w:val="5EFD54C0"/>
    <w:rsid w:val="5F054315"/>
    <w:rsid w:val="5F6526F8"/>
    <w:rsid w:val="60522285"/>
    <w:rsid w:val="60E61309"/>
    <w:rsid w:val="60ED76AE"/>
    <w:rsid w:val="61CF61F9"/>
    <w:rsid w:val="625C68EC"/>
    <w:rsid w:val="62B43279"/>
    <w:rsid w:val="63180324"/>
    <w:rsid w:val="63652C4A"/>
    <w:rsid w:val="64787D9F"/>
    <w:rsid w:val="6614732E"/>
    <w:rsid w:val="66B4528C"/>
    <w:rsid w:val="671761D8"/>
    <w:rsid w:val="671F6AA4"/>
    <w:rsid w:val="67D61813"/>
    <w:rsid w:val="685221B2"/>
    <w:rsid w:val="68523A33"/>
    <w:rsid w:val="685F43C3"/>
    <w:rsid w:val="68BA7285"/>
    <w:rsid w:val="68F95C86"/>
    <w:rsid w:val="699D31A0"/>
    <w:rsid w:val="6B3455FE"/>
    <w:rsid w:val="6B5369C5"/>
    <w:rsid w:val="6BA42B26"/>
    <w:rsid w:val="6BA97F08"/>
    <w:rsid w:val="6C114498"/>
    <w:rsid w:val="6CCD4A11"/>
    <w:rsid w:val="6D0A40B3"/>
    <w:rsid w:val="6D752DA1"/>
    <w:rsid w:val="6D87653E"/>
    <w:rsid w:val="6DC428BB"/>
    <w:rsid w:val="6E807D09"/>
    <w:rsid w:val="6EB56FB1"/>
    <w:rsid w:val="6EB94A45"/>
    <w:rsid w:val="6F30637E"/>
    <w:rsid w:val="70134C80"/>
    <w:rsid w:val="70A33376"/>
    <w:rsid w:val="70B76860"/>
    <w:rsid w:val="70E61887"/>
    <w:rsid w:val="71286A35"/>
    <w:rsid w:val="714A3FD1"/>
    <w:rsid w:val="717E5165"/>
    <w:rsid w:val="719F1EF7"/>
    <w:rsid w:val="71E95EF1"/>
    <w:rsid w:val="71EE76F7"/>
    <w:rsid w:val="72345FDA"/>
    <w:rsid w:val="7255764E"/>
    <w:rsid w:val="73A14B3F"/>
    <w:rsid w:val="744F20F3"/>
    <w:rsid w:val="746E79C9"/>
    <w:rsid w:val="74F60CF4"/>
    <w:rsid w:val="75243D99"/>
    <w:rsid w:val="7556268A"/>
    <w:rsid w:val="75743D9F"/>
    <w:rsid w:val="75973F1C"/>
    <w:rsid w:val="761107C1"/>
    <w:rsid w:val="762978E9"/>
    <w:rsid w:val="768E6981"/>
    <w:rsid w:val="76933041"/>
    <w:rsid w:val="76945F56"/>
    <w:rsid w:val="76DF7810"/>
    <w:rsid w:val="770A1659"/>
    <w:rsid w:val="77704761"/>
    <w:rsid w:val="779078B9"/>
    <w:rsid w:val="77DC19B1"/>
    <w:rsid w:val="77F0074F"/>
    <w:rsid w:val="78A21BA4"/>
    <w:rsid w:val="78CB7157"/>
    <w:rsid w:val="7AA06F64"/>
    <w:rsid w:val="7ACD1D04"/>
    <w:rsid w:val="7AE63A3F"/>
    <w:rsid w:val="7AF27D45"/>
    <w:rsid w:val="7B0D6371"/>
    <w:rsid w:val="7D0B25B3"/>
    <w:rsid w:val="7D204AD7"/>
    <w:rsid w:val="7D38437C"/>
    <w:rsid w:val="7D9F33FA"/>
    <w:rsid w:val="7DA97EE3"/>
    <w:rsid w:val="7E1318DE"/>
    <w:rsid w:val="7ED666D5"/>
    <w:rsid w:val="7FC5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宋体" w:cs="Times New Roman"/>
      <w:b/>
      <w:spacing w:val="-4"/>
      <w:sz w:val="32"/>
      <w:szCs w:val="20"/>
    </w:rPr>
  </w:style>
  <w:style w:type="paragraph" w:styleId="4">
    <w:name w:val="heading 3"/>
    <w:basedOn w:val="1"/>
    <w:next w:val="1"/>
    <w:qFormat/>
    <w:uiPriority w:val="0"/>
    <w:pPr>
      <w:keepNext/>
      <w:keepLines/>
      <w:spacing w:before="260" w:beforeLines="0" w:after="260" w:afterLines="0" w:line="413" w:lineRule="auto"/>
      <w:outlineLvl w:val="2"/>
    </w:pPr>
    <w:rPr>
      <w:rFonts w:ascii="仿宋_GB2312" w:hAnsi="Times New Roman" w:eastAsia="宋体" w:cs="Times New Roman"/>
      <w:b/>
      <w:spacing w:val="-4"/>
      <w:sz w:val="30"/>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nhideWhenUsed/>
    <w:qFormat/>
    <w:uiPriority w:val="0"/>
    <w:pPr>
      <w:tabs>
        <w:tab w:val="center" w:pos="4153"/>
        <w:tab w:val="right" w:pos="8306"/>
      </w:tabs>
      <w:autoSpaceDE/>
      <w:autoSpaceDN/>
      <w:spacing w:line="240" w:lineRule="auto"/>
      <w:ind w:firstLine="0"/>
      <w:jc w:val="left"/>
    </w:pPr>
    <w:rPr>
      <w:rFonts w:ascii="Calibri" w:hAnsi="Calibri" w:eastAsia="宋体" w:cs="Times New Roman"/>
      <w:snapToGrid/>
      <w:kern w:val="2"/>
      <w:sz w:val="18"/>
      <w:szCs w:val="18"/>
    </w:rPr>
  </w:style>
  <w:style w:type="paragraph" w:styleId="7">
    <w:name w:val="header"/>
    <w:basedOn w:val="1"/>
    <w:unhideWhenUsed/>
    <w:qFormat/>
    <w:uiPriority w:val="0"/>
    <w:pPr>
      <w:pBdr>
        <w:bottom w:val="single" w:color="auto" w:sz="6" w:space="1"/>
      </w:pBdr>
      <w:tabs>
        <w:tab w:val="center" w:pos="4153"/>
        <w:tab w:val="right" w:pos="8306"/>
      </w:tabs>
      <w:autoSpaceDE/>
      <w:autoSpaceDN/>
      <w:spacing w:line="240" w:lineRule="auto"/>
      <w:ind w:firstLine="0"/>
      <w:jc w:val="center"/>
    </w:pPr>
    <w:rPr>
      <w:rFonts w:ascii="Calibri" w:hAnsi="Calibri" w:eastAsia="宋体" w:cs="Times New Roman"/>
      <w:snapToGrid/>
      <w:kern w:val="2"/>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pPr>
      <w:spacing w:line="580" w:lineRule="exact"/>
      <w:ind w:firstLine="640" w:firstLineChars="200"/>
    </w:pPr>
    <w:rPr>
      <w:rFonts w:ascii="仿宋_GB2312" w:hAnsi="Calibri"/>
      <w:kern w:val="0"/>
    </w:rPr>
  </w:style>
  <w:style w:type="character" w:styleId="12">
    <w:name w:val="Strong"/>
    <w:basedOn w:val="11"/>
    <w:qFormat/>
    <w:uiPriority w:val="0"/>
    <w:rPr>
      <w:b/>
    </w:rPr>
  </w:style>
  <w:style w:type="character" w:styleId="13">
    <w:name w:val="page number"/>
    <w:qFormat/>
    <w:uiPriority w:val="0"/>
    <w:rPr>
      <w:rFonts w:cs="Times New Roman"/>
    </w:rPr>
  </w:style>
  <w:style w:type="character" w:styleId="14">
    <w:name w:val="Emphasis"/>
    <w:basedOn w:val="11"/>
    <w:qFormat/>
    <w:uiPriority w:val="0"/>
    <w:rPr>
      <w:i/>
    </w:rPr>
  </w:style>
  <w:style w:type="character" w:styleId="15">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4454</Words>
  <Characters>4697</Characters>
  <Lines>0</Lines>
  <Paragraphs>0</Paragraphs>
  <TotalTime>8</TotalTime>
  <ScaleCrop>false</ScaleCrop>
  <LinksUpToDate>false</LinksUpToDate>
  <CharactersWithSpaces>4720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2024-06-25T06:55:00Z</dcterms:created>
  <dc:creator>zzz</dc:creator>
  <cp:lastModifiedBy>安琪儿</cp:lastModifiedBy>
  <cp:lastPrinted>2025-11-26T00:44:00Z</cp:lastPrinted>
  <dcterms:modified xsi:type="dcterms:W3CDTF">2025-12-05T06:29:30Z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91D61E5575F84579B8C36677CE318525_13</vt:lpwstr>
  </property>
  <property fmtid="{D5CDD505-2E9C-101B-9397-08002B2CF9AE}" pid="4" name="KSOTemplateDocerSaveRecord">
    <vt:lpwstr>eyJoZGlkIjoiMTE2ZTQ0M2FjM2I2Y2JmODE5ODgxMWYxMmQyNmU3MzMiLCJ1c2VySWQiOiI1MDQ5NTAwMjEifQ==</vt:lpwstr>
  </property>
</Properties>
</file>