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市发改委2016年工作总结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val="en-US" w:eastAsia="zh-CN"/>
        </w:rPr>
        <w:t>2017年3月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2016年以来，我委认真贯彻落实市委、市政府的决策部署，以开展“两学一做”学习教育为动力，以服务发展大局、推进改革创新、提升队伍素质为重点，主动作为，开拓创新，凝聚合力，狠抓落实，为全市经济社会发展做出了应有的贡献，实现了“十三五”的良好开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坚持统筹引领，在组织规划实施上取</w:t>
      </w:r>
      <w:bookmarkStart w:id="1" w:name="_GoBack"/>
      <w:bookmarkEnd w:id="1"/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得新成效。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精心编制规划。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全面完成“十三五”规划纲要，制定出台《太仓市“十三五”规划指标体系和主要任务落实方案》，细化形成10大类126项目标任务分解落实，16个重点专项规划基本完成，陆续发布。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加强目标管理。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编制完成人代会计划报告，汇总编制全市主要经济指标的区镇分解计划及2016年经济社会发展白皮书，2015年区镇考核汇总相关工作全面完成，2016年区镇科学发展绩效考核办法和细则修订完善。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强化运行分析。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对33家省经济运行重点监测企业和4家中财办企业联系点企业进行数据监测调查，向中财办苏州联系点上报经济分析月报，以简报形式深化季度经济运行分析。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坚持项目带动，在扩大有效投资上得到新提升。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固定资产投资稳中有升。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全市完成固定资产投资465亿元，其中工业投资256亿元，服务业投资209亿元。办理权限内项目710个，计划总投资457亿元，同比分别增长4.4%和41.4%。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重点项目建设加快推动。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67个重点项目完成投资84.2亿元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，在建项目56个，海瑞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恩、申久等30个项目超过序时进度。4个省重大项目和20个苏州重点项目全部开工。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内资引进保持稳步增长。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全年共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引进内资项目1719个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，新增投资总额342.83亿元，新增注册资本124.67亿元，同比增长37.38%，完成年度计划178.1%，累计实际到帐资金248.49亿元。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坚持产业融合，在优化发展环境上获得新进展。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现代服务业活力增强。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完成服务业增加值535亿元，同比增长11%，占GDP比重46.3%。编制并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发布了《太仓市现代服务业“十三五”规划》，服务业转型升级发展计划（2016-2018年）获批实施。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平台载体集聚发展。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累计培育认定总部企业21家，其中苏州市级10家。太仓物流园获评苏州市优秀服务业集聚区，天镜湖私募基金创业基地成为苏州市集聚区，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佳格投资（中国）有限公司被认定为苏州市级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总部企业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项目服务有力跟进。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通过协调指导、倒排时序、控制节点等措施，分类推进3个省级重点、8个苏州市级重点和11个市级服务业重点项目。服务业推介展示和洽谈活动积极开展，投资说明会现场签约28个服务业项目。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坚持沪太联动，在加快融入上海上推出新举措。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承接效应明显。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全市引进上海项目120只，新增项目投资总额77.25亿元，新增注册资金26.36亿元，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占整个内资比重21.14%，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同比增长13.08%，引进上海资金实际到帐44.58亿元。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政策融合拓展。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融入上海“十三五”专项规划编制完成，制定了《2016年融入上海工作计划》，积极组织2016太仓（上海）招商投资说明会，参与上海市人民政府发展研究中心“临沪地区融合发展机制体制创新”专项调研。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坚持创新驱动，在推动改革攻坚上取得新突破。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szCs w:val="32"/>
        </w:rPr>
        <w:t>深化重点领域改革。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供给侧结构性改革加快推进，制定出台了供给侧结构性改革总体方案及补短板行动计划，</w:t>
      </w:r>
      <w:r>
        <w:rPr>
          <w:rFonts w:hint="default" w:ascii="Times New Roman" w:hAnsi="Times New Roman" w:eastAsia="仿宋_GB2312" w:cs="Times New Roman"/>
          <w:snapToGrid w:val="0"/>
          <w:sz w:val="32"/>
          <w:szCs w:val="32"/>
        </w:rPr>
        <w:t>建立了联络员协调机制。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新型城镇化综合改革试点有序推进，出台了新型城镇化综合试点实施意见，编制完成了新型城镇化与城乡发展一体化规划。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增强金融创新动能。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安佑集团主板上市材料上报工作，完成奥智智能等9家新三板挂牌，上报新三板材料4家，完成股改、拟上报新三板挂牌材料2家，新认定新三板拟挂牌企业7家，挺卫实业区域市场完成挂牌。协鑫发电资产证券化产品发行，水处理等3只公司债券获批发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坚持全力争取，在综合协调服务上实现新作为。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对上争取力度加大。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获得中央预算内资金和专项基金超3.27亿元，获得太湖十期切块资金4763万元，兑现总部经济、企业上市等奖励资金3200多万元。争取到800多亩点供土地指标，其中硅酸盐等项目已落实480亩。组织开展了开发区目录修订审核上报工作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能源管理持续改进。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编制并执行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《有序用电方案》和《电力供应应急预案》，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开展了《十三五热电联产规划》的修编工作，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为达诺等4家企业争取到电力直接交易试点名额，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华能两期40MW光伏项目入围光伏领跑者计划，华能50MW风电项目列入江苏省十三五风电规划第一批项目。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实事工程进展顺利。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牵头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协调推进10项市政府实事工程，包含18个子项目，项目全部开工启动，完成投资5.64亿元，其中虹桥和浦东机场太仓航站楼扩建等11个子项目已建成投入使用，7个子项目有序推进。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lang w:eastAsia="zh-CN"/>
        </w:rPr>
        <w:t>（七）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坚持“两学一做”，在加强党的建设上展现新</w:t>
      </w:r>
      <w:r>
        <w:rPr>
          <w:rFonts w:hint="default" w:ascii="Times New Roman" w:hAnsi="Times New Roman" w:eastAsia="楷体_GB2312" w:cs="Times New Roman"/>
          <w:sz w:val="32"/>
          <w:szCs w:val="32"/>
          <w:shd w:val="clear" w:color="auto" w:fill="FFFFFF"/>
        </w:rPr>
        <w:t>面貌。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shd w:val="clear" w:color="auto" w:fill="FFFFFF"/>
        </w:rPr>
        <w:t>“两学一做”学做结合。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“两学一做”学习教育动员部署大会，主动深化党纪党规学习，用好日常教育方式，认真开展党章专题学习，邀请市纪委、检察院相关领导开展专题讲座及辅导，支部联合开展主题党课，真正做到常学常新、常做常新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队伍建设着力加强。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组织机关中层以上干部赴上海交大参加发改系统干部培训班，发挥</w:t>
      </w:r>
      <w:bookmarkStart w:id="0" w:name="baidusnap5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党委中心组学习示范带头作用，组织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集中学习1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zh-CN"/>
        </w:rPr>
        <w:t>次。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切实加强群团组织建设，支部进行了调整，工会、妇委会完成换届，青工委及志愿者队伍成立。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“从严治党”精准发力。</w:t>
      </w:r>
      <w:r>
        <w:rPr>
          <w:rFonts w:hint="default" w:ascii="Times New Roman" w:hAnsi="Times New Roman" w:eastAsia="仿宋_GB2312" w:cs="Times New Roman"/>
          <w:sz w:val="32"/>
          <w:szCs w:val="32"/>
          <w:lang w:bidi="en-US"/>
        </w:rPr>
        <w:t>制定党委、纪委和领导班子主要负责人、班子其他成员等四份责任清单，主要领导分别与科室负责人签订责任状，构建“两个责任”体系。以账本制度、清风行动、个人重大事项为三大抓手，突出深化财经纪律、节点清廉和忠实管理教育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5B57C1"/>
    <w:rsid w:val="335B57C1"/>
    <w:rsid w:val="685F32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2017-03-14T02:11:00Z</dcterms:created>
  <dc:creator>yt_tcfgw</dc:creator>
  <cp:lastModifiedBy>yt_tcfgw</cp:lastModifiedBy>
  <dcterms:modified xsi:type="dcterms:W3CDTF">2017-11-01T06:16:54Z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