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color w:val="333333"/>
          <w:sz w:val="36"/>
          <w:szCs w:val="36"/>
        </w:rPr>
      </w:pPr>
    </w:p>
    <w:p>
      <w:pPr>
        <w:rPr>
          <w:rFonts w:hint="eastAsia"/>
          <w:color w:val="333333"/>
          <w:sz w:val="36"/>
          <w:szCs w:val="36"/>
        </w:rPr>
      </w:pPr>
      <w:r>
        <w:rPr>
          <w:rFonts w:hint="eastAsia"/>
          <w:color w:val="333333"/>
          <w:sz w:val="36"/>
          <w:szCs w:val="36"/>
        </w:rPr>
        <w:t xml:space="preserve">                       </w:t>
      </w:r>
    </w:p>
    <w:p>
      <w:pPr>
        <w:rPr>
          <w:rFonts w:hint="eastAsia"/>
          <w:color w:val="333333"/>
          <w:sz w:val="36"/>
          <w:szCs w:val="36"/>
        </w:rPr>
      </w:pPr>
      <w:r>
        <w:rPr>
          <w:rFonts w:hint="eastAsia"/>
          <w:color w:val="333333"/>
          <w:sz w:val="36"/>
          <w:szCs w:val="36"/>
        </w:rPr>
        <w:t xml:space="preserve">                       </w:t>
      </w:r>
    </w:p>
    <w:p>
      <w:pPr>
        <w:rPr>
          <w:rFonts w:hint="eastAsia"/>
          <w:color w:val="333333"/>
          <w:sz w:val="36"/>
          <w:szCs w:val="36"/>
        </w:rPr>
      </w:pPr>
      <w:r>
        <w:rPr>
          <w:rFonts w:hint="eastAsia"/>
          <w:color w:val="333333"/>
          <w:sz w:val="36"/>
          <w:szCs w:val="36"/>
        </w:rPr>
        <w:t xml:space="preserve">                       </w:t>
      </w:r>
    </w:p>
    <w:p>
      <w:pPr>
        <w:rPr>
          <w:rFonts w:hint="eastAsia"/>
          <w:color w:val="333333"/>
          <w:sz w:val="36"/>
          <w:szCs w:val="36"/>
        </w:rPr>
      </w:pPr>
      <w:r>
        <w:rPr>
          <w:rFonts w:hint="eastAsia"/>
          <w:color w:val="333333"/>
          <w:sz w:val="36"/>
          <w:szCs w:val="36"/>
        </w:rPr>
        <w:t xml:space="preserve">                       </w:t>
      </w:r>
    </w:p>
    <w:p>
      <w:pPr>
        <w:rPr>
          <w:rFonts w:hint="eastAsia"/>
          <w:b/>
          <w:color w:val="333333"/>
          <w:sz w:val="36"/>
          <w:szCs w:val="36"/>
        </w:rPr>
      </w:pPr>
      <w:r>
        <w:rPr>
          <w:rFonts w:hint="eastAsia"/>
          <w:color w:val="333333"/>
          <w:sz w:val="36"/>
          <w:szCs w:val="36"/>
        </w:rPr>
        <w:t xml:space="preserve">                       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太经信法〔201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jc w:val="center"/>
        <w:rPr>
          <w:rFonts w:hint="eastAsia"/>
          <w:b/>
          <w:sz w:val="18"/>
          <w:szCs w:val="18"/>
        </w:rPr>
      </w:pPr>
      <w:r>
        <w:rPr>
          <w:rFonts w:hint="eastAsia" w:eastAsia="宋体" w:cs="宋体"/>
          <w:b/>
          <w:sz w:val="36"/>
          <w:szCs w:val="36"/>
          <w:lang w:eastAsia="zh-CN"/>
        </w:rPr>
        <w:t>太仓市经信委关于公布规范</w:t>
      </w:r>
      <w:bookmarkStart w:id="0" w:name="_GoBack"/>
      <w:bookmarkEnd w:id="0"/>
      <w:r>
        <w:rPr>
          <w:rFonts w:hint="eastAsia" w:eastAsia="宋体" w:cs="宋体"/>
          <w:b/>
          <w:sz w:val="36"/>
          <w:szCs w:val="36"/>
          <w:lang w:eastAsia="zh-CN"/>
        </w:rPr>
        <w:t>性文件清理结果的通知</w:t>
      </w:r>
    </w:p>
    <w:p>
      <w:pPr>
        <w:ind w:firstLine="2833" w:firstLineChars="1176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ind w:firstLine="640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按照《江苏省规范性文件制定和备案规定》（省政府令第54号）和《市政府办公室关于开展规范性文件清理工作的通知》（太政办[2017]134号）文件精神，我委对本单位制定发布的1996年—2017年8月31日止的规范性文件进行了全面清理，现将本次清理结果予以公布。</w:t>
      </w:r>
    </w:p>
    <w:p>
      <w:pPr>
        <w:numPr>
          <w:ilvl w:val="0"/>
          <w:numId w:val="1"/>
        </w:numPr>
        <w:ind w:firstLine="640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继续有效的规范性文件1件（附具体目录）</w:t>
      </w:r>
    </w:p>
    <w:p>
      <w:pPr>
        <w:numPr>
          <w:ilvl w:val="0"/>
          <w:numId w:val="1"/>
        </w:numPr>
        <w:ind w:firstLine="640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拟修改、废止、宣布失效的规范性文件（无）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                              </w:t>
      </w:r>
    </w:p>
    <w:p>
      <w:pPr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>
      <w:pP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                    太仓市经济和信息化委员会</w:t>
      </w:r>
    </w:p>
    <w:p>
      <w:pP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                        2017年11月2日</w:t>
      </w:r>
    </w:p>
    <w:p>
      <w:pP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附件：</w:t>
      </w:r>
    </w:p>
    <w:p>
      <w:pPr>
        <w:spacing w:line="580" w:lineRule="exact"/>
        <w:jc w:val="center"/>
        <w:rPr>
          <w:rFonts w:hint="eastAsia" w:ascii="方正大标宋简体" w:eastAsia="方正大标宋简体"/>
          <w:sz w:val="40"/>
          <w:szCs w:val="40"/>
          <w:u w:val="none"/>
        </w:rPr>
      </w:pPr>
      <w:r>
        <w:rPr>
          <w:rFonts w:hint="eastAsia" w:ascii="方正大标宋简体" w:eastAsia="方正大标宋简体"/>
          <w:sz w:val="40"/>
          <w:szCs w:val="40"/>
          <w:u w:val="none"/>
        </w:rPr>
        <w:t>继续有效的规范性文件目录</w:t>
      </w:r>
    </w:p>
    <w:p>
      <w:pPr>
        <w:spacing w:line="580" w:lineRule="exact"/>
        <w:rPr>
          <w:rFonts w:ascii="Times New Roman"/>
          <w:u w:val="none"/>
        </w:rPr>
      </w:pPr>
    </w:p>
    <w:tbl>
      <w:tblPr>
        <w:tblStyle w:val="3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571"/>
        <w:gridCol w:w="1683"/>
        <w:gridCol w:w="1455"/>
        <w:gridCol w:w="1440"/>
        <w:gridCol w:w="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/>
                <w:u w:val="none"/>
              </w:rPr>
            </w:pPr>
            <w:r>
              <w:rPr>
                <w:rFonts w:ascii="Times New Roman"/>
                <w:u w:val="none"/>
              </w:rPr>
              <w:t>序号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/>
                <w:u w:val="none"/>
              </w:rPr>
            </w:pPr>
            <w:r>
              <w:rPr>
                <w:rFonts w:ascii="Times New Roman"/>
                <w:u w:val="none"/>
              </w:rPr>
              <w:t>规范性文件名称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/>
                <w:u w:val="none"/>
              </w:rPr>
            </w:pPr>
            <w:r>
              <w:rPr>
                <w:rFonts w:ascii="Times New Roman"/>
                <w:u w:val="none"/>
              </w:rPr>
              <w:t>文号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/>
                <w:u w:val="none"/>
              </w:rPr>
            </w:pPr>
            <w:r>
              <w:rPr>
                <w:rFonts w:ascii="Times New Roman"/>
                <w:u w:val="none"/>
              </w:rPr>
              <w:t>公布日期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/>
                <w:u w:val="none"/>
              </w:rPr>
            </w:pPr>
            <w:r>
              <w:rPr>
                <w:rFonts w:ascii="Times New Roman"/>
                <w:u w:val="none"/>
              </w:rPr>
              <w:t>实施日期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/>
                <w:u w:val="none"/>
              </w:rPr>
            </w:pPr>
            <w:r>
              <w:rPr>
                <w:rFonts w:ascii="Times New Roman"/>
                <w:u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rPr>
                <w:rFonts w:hint="eastAsia" w:ascii="仿宋" w:hAnsi="仿宋" w:eastAsia="仿宋" w:cs="仿宋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u w:val="none"/>
                <w:lang w:val="en-US" w:eastAsia="zh-CN"/>
              </w:rPr>
              <w:t>1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rPr>
                <w:rFonts w:hint="eastAsia" w:ascii="仿宋" w:hAnsi="仿宋" w:eastAsia="仿宋" w:cs="仿宋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t>关于2014年推进墙体材料革新、散装水泥发展若干政策的实施细则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rPr>
                <w:rFonts w:hint="eastAsia" w:ascii="仿宋" w:hAnsi="仿宋" w:eastAsia="仿宋" w:cs="仿宋"/>
                <w:u w:val="none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太经信规〔2014〕1号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spacing w:line="580" w:lineRule="exact"/>
              <w:rPr>
                <w:rFonts w:hint="eastAsia" w:ascii="仿宋" w:hAnsi="仿宋" w:eastAsia="仿宋" w:cs="仿宋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u w:val="none"/>
                <w:lang w:val="en-US" w:eastAsia="zh-CN"/>
              </w:rPr>
              <w:t>20140403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rPr>
                <w:rFonts w:hint="eastAsia" w:ascii="仿宋" w:hAnsi="仿宋" w:eastAsia="仿宋" w:cs="仿宋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u w:val="none"/>
                <w:lang w:val="en-US" w:eastAsia="zh-CN"/>
              </w:rPr>
              <w:t>20140403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rPr>
                <w:rFonts w:ascii="Times New Roman"/>
                <w:u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汉鼎简大宋">
    <w:altName w:val="宋体"/>
    <w:panose1 w:val="02010609010101010101"/>
    <w:charset w:val="86"/>
    <w:family w:val="roman"/>
    <w:pitch w:val="default"/>
    <w:sig w:usb0="00000000" w:usb1="00000000" w:usb2="00000010" w:usb3="00000000" w:csb0="00040000" w:csb1="00000000"/>
  </w:font>
  <w:font w:name="汉鼎简仿宋">
    <w:altName w:val="仿宋"/>
    <w:panose1 w:val="02010609010101010101"/>
    <w:charset w:val="86"/>
    <w:family w:val="roman"/>
    <w:pitch w:val="default"/>
    <w:sig w:usb0="00000000" w:usb1="00000000" w:usb2="00000010" w:usb3="00000000" w:csb0="00040000" w:csb1="00000000"/>
  </w:font>
  <w:font w:name="汉鼎简黑体">
    <w:altName w:val="宋体"/>
    <w:panose1 w:val="02010609000101010101"/>
    <w:charset w:val="86"/>
    <w:family w:val="roman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roman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鼎简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汉鼎简仿宋">
    <w:altName w:val="仿宋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鼎简大宋">
    <w:altName w:val="宋体"/>
    <w:panose1 w:val="02010609010101010101"/>
    <w:charset w:val="86"/>
    <w:family w:val="swiss"/>
    <w:pitch w:val="default"/>
    <w:sig w:usb0="00000000" w:usb1="00000000" w:usb2="00000010" w:usb3="00000000" w:csb0="00040000" w:csb1="00000000"/>
  </w:font>
  <w:font w:name="汉鼎简仿宋">
    <w:altName w:val="仿宋"/>
    <w:panose1 w:val="02010609010101010101"/>
    <w:charset w:val="86"/>
    <w:family w:val="swiss"/>
    <w:pitch w:val="default"/>
    <w:sig w:usb0="00000000" w:usb1="00000000" w:usb2="00000010" w:usb3="00000000" w:csb0="00040000" w:csb1="00000000"/>
  </w:font>
  <w:font w:name="汉鼎简黑体">
    <w:altName w:val="宋体"/>
    <w:panose1 w:val="02010609000101010101"/>
    <w:charset w:val="86"/>
    <w:family w:val="swiss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汉鼎简大宋">
    <w:altName w:val="宋体"/>
    <w:panose1 w:val="02010609010101010101"/>
    <w:charset w:val="86"/>
    <w:family w:val="decorative"/>
    <w:pitch w:val="default"/>
    <w:sig w:usb0="00000000" w:usb1="00000000" w:usb2="00000010" w:usb3="00000000" w:csb0="00040000" w:csb1="00000000"/>
  </w:font>
  <w:font w:name="汉鼎简仿宋">
    <w:altName w:val="仿宋"/>
    <w:panose1 w:val="02010609010101010101"/>
    <w:charset w:val="86"/>
    <w:family w:val="decorative"/>
    <w:pitch w:val="default"/>
    <w:sig w:usb0="00000000" w:usb1="00000000" w:usb2="00000010" w:usb3="00000000" w:csb0="00040000" w:csb1="00000000"/>
  </w:font>
  <w:font w:name="汉鼎简黑体">
    <w:altName w:val="宋体"/>
    <w:panose1 w:val="02010609000101010101"/>
    <w:charset w:val="86"/>
    <w:family w:val="decorative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decorative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09585885">
    <w:nsid w:val="59FA73DD"/>
    <w:multiLevelType w:val="singleLevel"/>
    <w:tmpl w:val="59FA73DD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50958588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60B36"/>
    <w:rsid w:val="14060B36"/>
    <w:rsid w:val="1C0D1733"/>
    <w:rsid w:val="6B8B6D1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黑体" w:cs="宋体"/>
      <w:color w:val="000000"/>
      <w:sz w:val="28"/>
      <w:szCs w:val="28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2017-11-02T01:15:00Z</dcterms:created>
  <dc:creator>yyf</dc:creator>
  <cp:lastModifiedBy>yyf</cp:lastModifiedBy>
  <dcterms:modified xsi:type="dcterms:W3CDTF">2017-11-02T01:30:15Z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