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32"/>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p>
    <w:p>
      <w:pPr>
        <w:ind w:right="32"/>
        <w:jc w:val="right"/>
        <w:rPr>
          <w:rFonts w:hint="default" w:ascii="Times New Roman" w:hAnsi="Times New Roman" w:cs="Times New Roman"/>
          <w:sz w:val="28"/>
          <w:szCs w:val="28"/>
        </w:rPr>
      </w:pPr>
      <w:r>
        <w:rPr>
          <w:rFonts w:hint="default" w:ascii="Times New Roman" w:hAnsi="Times New Roman" w:cs="Times New Roman"/>
          <w:sz w:val="28"/>
          <w:szCs w:val="28"/>
        </w:rPr>
        <w:t xml:space="preserve">                预案编号：CX-YA-201811                      </w:t>
      </w:r>
    </w:p>
    <w:p>
      <w:pPr>
        <w:spacing w:line="360" w:lineRule="auto"/>
        <w:jc w:val="center"/>
        <w:rPr>
          <w:rFonts w:hint="default" w:ascii="Times New Roman" w:hAnsi="Times New Roman" w:cs="Times New Roman"/>
          <w:sz w:val="24"/>
        </w:rPr>
      </w:pPr>
    </w:p>
    <w:p>
      <w:pPr>
        <w:spacing w:line="360" w:lineRule="auto"/>
        <w:jc w:val="center"/>
        <w:rPr>
          <w:rFonts w:hint="default" w:ascii="Times New Roman" w:hAnsi="Times New Roman" w:cs="Times New Roman"/>
          <w:sz w:val="24"/>
        </w:rPr>
      </w:pPr>
    </w:p>
    <w:p>
      <w:pPr>
        <w:spacing w:line="360" w:lineRule="auto"/>
        <w:jc w:val="center"/>
        <w:rPr>
          <w:rFonts w:hint="default" w:ascii="Times New Roman" w:hAnsi="Times New Roman" w:cs="Times New Roman"/>
          <w:sz w:val="24"/>
        </w:rPr>
      </w:pPr>
    </w:p>
    <w:p>
      <w:pPr>
        <w:jc w:val="center"/>
        <w:rPr>
          <w:rFonts w:hint="default" w:ascii="Times New Roman" w:hAnsi="Times New Roman" w:cs="Times New Roman"/>
          <w:b/>
          <w:sz w:val="44"/>
          <w:szCs w:val="44"/>
        </w:rPr>
      </w:pPr>
      <w:r>
        <w:rPr>
          <w:rFonts w:hint="default" w:ascii="Times New Roman" w:hAnsi="Times New Roman" w:cs="Times New Roman"/>
          <w:b/>
          <w:sz w:val="44"/>
          <w:szCs w:val="44"/>
        </w:rPr>
        <w:t>太仓市城厢镇</w:t>
      </w:r>
    </w:p>
    <w:p>
      <w:pPr>
        <w:jc w:val="center"/>
        <w:rPr>
          <w:rFonts w:hint="default" w:ascii="Times New Roman" w:hAnsi="Times New Roman" w:cs="Times New Roman"/>
          <w:b/>
          <w:sz w:val="44"/>
          <w:szCs w:val="44"/>
        </w:rPr>
      </w:pPr>
    </w:p>
    <w:p>
      <w:pPr>
        <w:jc w:val="center"/>
        <w:rPr>
          <w:rFonts w:hint="default" w:ascii="Times New Roman" w:hAnsi="Times New Roman" w:cs="Times New Roman"/>
          <w:b/>
          <w:sz w:val="44"/>
          <w:szCs w:val="44"/>
        </w:rPr>
      </w:pPr>
    </w:p>
    <w:p>
      <w:pPr>
        <w:jc w:val="center"/>
        <w:outlineLvl w:val="0"/>
        <w:rPr>
          <w:rFonts w:hint="default" w:ascii="Times New Roman" w:hAnsi="Times New Roman" w:cs="Times New Roman"/>
          <w:b/>
          <w:sz w:val="44"/>
          <w:szCs w:val="44"/>
        </w:rPr>
      </w:pPr>
      <w:r>
        <w:rPr>
          <w:rFonts w:hint="default" w:ascii="Times New Roman" w:hAnsi="Times New Roman" w:cs="Times New Roman"/>
          <w:b/>
          <w:w w:val="80"/>
          <w:sz w:val="44"/>
          <w:szCs w:val="44"/>
        </w:rPr>
        <w:t>突发公共事件总体应急预案</w:t>
      </w:r>
    </w:p>
    <w:p>
      <w:pPr>
        <w:jc w:val="center"/>
        <w:rPr>
          <w:rFonts w:hint="default" w:ascii="Times New Roman" w:hAnsi="Times New Roman" w:cs="Times New Roman"/>
          <w:sz w:val="44"/>
          <w:szCs w:val="44"/>
        </w:rPr>
      </w:pPr>
    </w:p>
    <w:p>
      <w:pPr>
        <w:jc w:val="center"/>
        <w:rPr>
          <w:rFonts w:hint="default" w:ascii="Times New Roman" w:hAnsi="Times New Roman" w:cs="Times New Roman"/>
          <w:sz w:val="44"/>
          <w:szCs w:val="44"/>
        </w:rPr>
      </w:pPr>
    </w:p>
    <w:p>
      <w:pPr>
        <w:jc w:val="center"/>
        <w:rPr>
          <w:rFonts w:hint="default" w:ascii="Times New Roman" w:hAnsi="Times New Roman" w:cs="Times New Roman"/>
          <w:sz w:val="44"/>
          <w:szCs w:val="44"/>
        </w:rPr>
      </w:pPr>
      <w:bookmarkStart w:id="95" w:name="_GoBack"/>
      <w:r>
        <w:rPr>
          <w:rFonts w:hint="default" w:ascii="Times New Roman" w:hAnsi="Times New Roman" w:cs="Times New Roman"/>
          <w:sz w:val="44"/>
          <w:szCs w:val="44"/>
        </w:rPr>
        <w:drawing>
          <wp:anchor distT="0" distB="0" distL="114300" distR="114300" simplePos="0" relativeHeight="251660288" behindDoc="0" locked="0" layoutInCell="1" allowOverlap="1">
            <wp:simplePos x="0" y="0"/>
            <wp:positionH relativeFrom="column">
              <wp:posOffset>1810385</wp:posOffset>
            </wp:positionH>
            <wp:positionV relativeFrom="paragraph">
              <wp:posOffset>309245</wp:posOffset>
            </wp:positionV>
            <wp:extent cx="1958340" cy="1557020"/>
            <wp:effectExtent l="0" t="0" r="3810" b="5080"/>
            <wp:wrapNone/>
            <wp:docPr id="243" name="图片 232" descr="应急救援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32" descr="应急救援标志"/>
                    <pic:cNvPicPr>
                      <a:picLocks noChangeAspect="1"/>
                    </pic:cNvPicPr>
                  </pic:nvPicPr>
                  <pic:blipFill>
                    <a:blip r:embed="rId18" cstate="print"/>
                    <a:stretch>
                      <a:fillRect/>
                    </a:stretch>
                  </pic:blipFill>
                  <pic:spPr>
                    <a:xfrm>
                      <a:off x="0" y="0"/>
                      <a:ext cx="1958340" cy="1557020"/>
                    </a:xfrm>
                    <a:prstGeom prst="rect">
                      <a:avLst/>
                    </a:prstGeom>
                    <a:noFill/>
                    <a:ln w="9525">
                      <a:noFill/>
                    </a:ln>
                  </pic:spPr>
                </pic:pic>
              </a:graphicData>
            </a:graphic>
          </wp:anchor>
        </w:drawing>
      </w:r>
      <w:bookmarkEnd w:id="95"/>
    </w:p>
    <w:p>
      <w:pPr>
        <w:jc w:val="center"/>
        <w:rPr>
          <w:rFonts w:hint="default" w:ascii="Times New Roman" w:hAnsi="Times New Roman" w:cs="Times New Roman"/>
          <w:sz w:val="44"/>
          <w:szCs w:val="44"/>
        </w:rPr>
      </w:pPr>
    </w:p>
    <w:p>
      <w:pPr>
        <w:jc w:val="center"/>
        <w:rPr>
          <w:rFonts w:hint="default" w:ascii="Times New Roman" w:hAnsi="Times New Roman" w:cs="Times New Roman"/>
          <w:sz w:val="44"/>
          <w:szCs w:val="44"/>
        </w:rPr>
      </w:pPr>
    </w:p>
    <w:p>
      <w:pPr>
        <w:jc w:val="center"/>
        <w:rPr>
          <w:rFonts w:hint="default" w:ascii="Times New Roman" w:hAnsi="Times New Roman" w:cs="Times New Roman"/>
          <w:sz w:val="44"/>
          <w:szCs w:val="44"/>
        </w:rPr>
      </w:pPr>
    </w:p>
    <w:p>
      <w:pPr>
        <w:jc w:val="center"/>
        <w:rPr>
          <w:rFonts w:hint="default" w:ascii="Times New Roman" w:hAnsi="Times New Roman" w:cs="Times New Roman"/>
          <w:sz w:val="44"/>
          <w:szCs w:val="44"/>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rPr>
          <w:rFonts w:hint="default" w:ascii="Times New Roman" w:hAnsi="Times New Roman" w:cs="Times New Roman"/>
          <w:sz w:val="28"/>
          <w:szCs w:val="28"/>
        </w:rPr>
      </w:pPr>
    </w:p>
    <w:p>
      <w:pPr>
        <w:spacing w:line="360" w:lineRule="auto"/>
        <w:ind w:right="25" w:rightChars="12"/>
        <w:jc w:val="center"/>
        <w:rPr>
          <w:rFonts w:hint="default" w:ascii="Times New Roman" w:hAnsi="Times New Roman" w:cs="Times New Roman"/>
          <w:bCs/>
          <w:sz w:val="28"/>
          <w:szCs w:val="28"/>
        </w:rPr>
      </w:pPr>
      <w:r>
        <w:rPr>
          <w:rFonts w:hint="default" w:ascii="Times New Roman" w:hAnsi="Times New Roman" w:cs="Times New Roman"/>
          <w:bCs/>
          <w:sz w:val="28"/>
          <w:szCs w:val="28"/>
        </w:rPr>
        <w:t>太仓市城厢镇安委会</w:t>
      </w:r>
    </w:p>
    <w:p>
      <w:pPr>
        <w:spacing w:line="360" w:lineRule="auto"/>
        <w:jc w:val="center"/>
        <w:outlineLvl w:val="0"/>
        <w:rPr>
          <w:rFonts w:hint="default" w:ascii="Times New Roman" w:hAnsi="Times New Roman" w:cs="Times New Roman"/>
          <w:b/>
          <w:sz w:val="28"/>
          <w:szCs w:val="28"/>
        </w:rPr>
        <w:sectPr>
          <w:headerReference r:id="rId4" w:type="first"/>
          <w:headerReference r:id="rId3" w:type="default"/>
          <w:footerReference r:id="rId5" w:type="default"/>
          <w:pgSz w:w="11906" w:h="16838"/>
          <w:pgMar w:top="2098" w:right="1474" w:bottom="1984" w:left="1474" w:header="851" w:footer="992" w:gutter="0"/>
          <w:pgNumType w:fmt="upperRoman"/>
          <w:cols w:space="720" w:num="1"/>
          <w:titlePg/>
          <w:docGrid w:type="lines" w:linePitch="312" w:charSpace="0"/>
        </w:sectPr>
      </w:pPr>
    </w:p>
    <w:p>
      <w:pPr>
        <w:spacing w:line="360" w:lineRule="auto"/>
        <w:jc w:val="center"/>
        <w:outlineLvl w:val="0"/>
        <w:rPr>
          <w:rFonts w:hint="default" w:ascii="Times New Roman" w:hAnsi="Times New Roman" w:cs="Times New Roman"/>
          <w:b/>
          <w:sz w:val="28"/>
          <w:szCs w:val="28"/>
        </w:rPr>
      </w:pPr>
      <w:bookmarkStart w:id="0" w:name="_Toc31602"/>
      <w:bookmarkStart w:id="1" w:name="_Toc14173"/>
      <w:bookmarkStart w:id="2" w:name="_Toc9165"/>
      <w:bookmarkStart w:id="3" w:name="_Toc13980"/>
      <w:r>
        <w:rPr>
          <w:rFonts w:hint="default" w:ascii="Times New Roman" w:hAnsi="Times New Roman" w:cs="Times New Roman"/>
          <w:b/>
          <w:sz w:val="28"/>
          <w:szCs w:val="28"/>
        </w:rPr>
        <w:t>目  录</w:t>
      </w:r>
      <w:bookmarkEnd w:id="0"/>
      <w:bookmarkEnd w:id="1"/>
      <w:bookmarkEnd w:id="2"/>
      <w:bookmarkEnd w:id="3"/>
    </w:p>
    <w:p>
      <w:pPr>
        <w:pStyle w:val="7"/>
        <w:tabs>
          <w:tab w:val="right" w:leader="dot" w:pos="8306"/>
        </w:tabs>
        <w:rPr>
          <w:rFonts w:hint="default" w:ascii="Times New Roman" w:hAnsi="Times New Roman" w:cs="Times New Roman"/>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TOC \o "1-3" \h \z \u </w:instrText>
      </w:r>
      <w:r>
        <w:rPr>
          <w:rFonts w:hint="default" w:ascii="Times New Roman" w:hAnsi="Times New Roman" w:cs="Times New Roman"/>
          <w:sz w:val="28"/>
          <w:szCs w:val="28"/>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"_Toc11815" </w:instrText>
      </w:r>
      <w:r>
        <w:rPr>
          <w:rFonts w:hint="default" w:ascii="Times New Roman" w:hAnsi="Times New Roman" w:cs="Times New Roman"/>
        </w:rPr>
        <w:fldChar w:fldCharType="separate"/>
      </w:r>
      <w:r>
        <w:rPr>
          <w:rFonts w:hint="default" w:ascii="Times New Roman" w:hAnsi="Times New Roman" w:cs="Times New Roman"/>
          <w:szCs w:val="28"/>
        </w:rPr>
        <w:t>1  总则</w:t>
      </w:r>
      <w:r>
        <w:rPr>
          <w:rFonts w:hint="default" w:ascii="Times New Roman" w:hAnsi="Times New Roman" w:cs="Times New Roman"/>
        </w:rPr>
        <w:tab/>
      </w:r>
      <w:r>
        <w:rPr>
          <w:rFonts w:hint="eastAsia" w:cs="Times New Roman"/>
          <w:lang w:val="en-US" w:eastAsia="zh-CN"/>
        </w:rPr>
        <w:t>1</w:t>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"_Toc28362" </w:instrText>
      </w:r>
      <w:r>
        <w:rPr>
          <w:rFonts w:hint="default" w:ascii="Times New Roman" w:hAnsi="Times New Roman" w:cs="Times New Roman"/>
        </w:rPr>
        <w:fldChar w:fldCharType="separate"/>
      </w:r>
      <w:r>
        <w:rPr>
          <w:rFonts w:hint="default" w:ascii="Times New Roman" w:hAnsi="Times New Roman" w:cs="Times New Roman"/>
          <w:szCs w:val="28"/>
        </w:rPr>
        <w:t>1.1  编制目的</w:t>
      </w:r>
      <w:r>
        <w:rPr>
          <w:rFonts w:hint="default" w:ascii="Times New Roman" w:hAnsi="Times New Roman" w:cs="Times New Roman"/>
        </w:rPr>
        <w:tab/>
      </w:r>
      <w:r>
        <w:rPr>
          <w:rFonts w:hint="eastAsia" w:cs="Times New Roman"/>
          <w:lang w:val="en-US" w:eastAsia="zh-CN"/>
        </w:rPr>
        <w:t>1</w:t>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"_Toc12161" </w:instrText>
      </w:r>
      <w:r>
        <w:rPr>
          <w:rFonts w:hint="default" w:ascii="Times New Roman" w:hAnsi="Times New Roman" w:cs="Times New Roman"/>
        </w:rPr>
        <w:fldChar w:fldCharType="separate"/>
      </w:r>
      <w:r>
        <w:rPr>
          <w:rFonts w:hint="default" w:ascii="Times New Roman" w:hAnsi="Times New Roman" w:cs="Times New Roman"/>
          <w:szCs w:val="28"/>
        </w:rPr>
        <w:t>1.2  编制依据</w:t>
      </w:r>
      <w:r>
        <w:rPr>
          <w:rFonts w:hint="default" w:ascii="Times New Roman" w:hAnsi="Times New Roman" w:cs="Times New Roman"/>
        </w:rPr>
        <w:tab/>
      </w:r>
      <w:r>
        <w:rPr>
          <w:rFonts w:hint="eastAsia" w:cs="Times New Roman"/>
          <w:lang w:val="en-US" w:eastAsia="zh-CN"/>
        </w:rPr>
        <w:t>1</w:t>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"_Toc28008" </w:instrText>
      </w:r>
      <w:r>
        <w:rPr>
          <w:rFonts w:hint="default" w:ascii="Times New Roman" w:hAnsi="Times New Roman" w:cs="Times New Roman"/>
        </w:rPr>
        <w:fldChar w:fldCharType="separate"/>
      </w:r>
      <w:r>
        <w:rPr>
          <w:rFonts w:hint="default" w:ascii="Times New Roman" w:hAnsi="Times New Roman" w:cs="Times New Roman"/>
          <w:szCs w:val="28"/>
        </w:rPr>
        <w:t>1.3  突发公共事件的分类与分级</w:t>
      </w:r>
      <w:r>
        <w:rPr>
          <w:rFonts w:hint="default" w:ascii="Times New Roman" w:hAnsi="Times New Roman" w:cs="Times New Roman"/>
        </w:rPr>
        <w:tab/>
      </w:r>
      <w:r>
        <w:rPr>
          <w:rFonts w:hint="eastAsia" w:cs="Times New Roman"/>
          <w:lang w:val="en-US" w:eastAsia="zh-CN"/>
        </w:rPr>
        <w:t>2</w:t>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"_Toc23486" </w:instrText>
      </w:r>
      <w:r>
        <w:rPr>
          <w:rFonts w:hint="default" w:ascii="Times New Roman" w:hAnsi="Times New Roman" w:cs="Times New Roman"/>
        </w:rPr>
        <w:fldChar w:fldCharType="separate"/>
      </w:r>
      <w:r>
        <w:rPr>
          <w:rFonts w:hint="default" w:ascii="Times New Roman" w:hAnsi="Times New Roman" w:cs="Times New Roman"/>
          <w:szCs w:val="28"/>
        </w:rPr>
        <w:t>1.3.1突发公共事件的概念</w:t>
      </w:r>
      <w:r>
        <w:rPr>
          <w:rFonts w:hint="default" w:ascii="Times New Roman" w:hAnsi="Times New Roman" w:cs="Times New Roman"/>
        </w:rPr>
        <w:tab/>
      </w:r>
      <w:r>
        <w:rPr>
          <w:rFonts w:hint="eastAsia" w:cs="Times New Roman"/>
          <w:lang w:val="en-US" w:eastAsia="zh-CN"/>
        </w:rPr>
        <w:t>2</w:t>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"_Toc24586" </w:instrText>
      </w:r>
      <w:r>
        <w:rPr>
          <w:rFonts w:hint="default" w:ascii="Times New Roman" w:hAnsi="Times New Roman" w:cs="Times New Roman"/>
        </w:rPr>
        <w:fldChar w:fldCharType="separate"/>
      </w:r>
      <w:r>
        <w:rPr>
          <w:rFonts w:hint="default" w:ascii="Times New Roman" w:hAnsi="Times New Roman" w:cs="Times New Roman"/>
          <w:szCs w:val="28"/>
        </w:rPr>
        <w:t>1.3.2突发公共事件的分类</w:t>
      </w:r>
      <w:r>
        <w:rPr>
          <w:rFonts w:hint="default" w:ascii="Times New Roman" w:hAnsi="Times New Roman" w:cs="Times New Roman"/>
        </w:rPr>
        <w:tab/>
      </w:r>
      <w:r>
        <w:rPr>
          <w:rFonts w:hint="eastAsia" w:cs="Times New Roman"/>
          <w:lang w:val="en-US" w:eastAsia="zh-CN"/>
        </w:rPr>
        <w:t>2</w:t>
      </w:r>
      <w:r>
        <w:rPr>
          <w:rFonts w:hint="default" w:ascii="Times New Roman" w:hAnsi="Times New Roman" w:cs="Times New Roman"/>
        </w:rPr>
        <w:fldChar w:fldCharType="end"/>
      </w:r>
    </w:p>
    <w:p>
      <w:pPr>
        <w:pStyle w:val="4"/>
        <w:tabs>
          <w:tab w:val="right" w:leader="dot" w:pos="8306"/>
        </w:tabs>
        <w:rPr>
          <w:rFonts w:hint="default"/>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"_Toc20203" </w:instrText>
      </w:r>
      <w:r>
        <w:rPr>
          <w:rFonts w:hint="default" w:ascii="Times New Roman" w:hAnsi="Times New Roman" w:cs="Times New Roman"/>
        </w:rPr>
        <w:fldChar w:fldCharType="separate"/>
      </w:r>
      <w:r>
        <w:rPr>
          <w:rFonts w:hint="default" w:ascii="Times New Roman" w:hAnsi="Times New Roman" w:cs="Times New Roman"/>
          <w:szCs w:val="28"/>
        </w:rPr>
        <w:t>1.3.3突发公共事件的分级</w:t>
      </w:r>
      <w:r>
        <w:rPr>
          <w:rFonts w:hint="default" w:ascii="Times New Roman" w:hAnsi="Times New Roman" w:cs="Times New Roman"/>
        </w:rPr>
        <w:tab/>
      </w:r>
      <w:r>
        <w:rPr>
          <w:rFonts w:hint="eastAsia" w:cs="Times New Roman"/>
          <w:lang w:val="en-US" w:eastAsia="zh-CN"/>
        </w:rPr>
        <w:t>3</w:t>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"_Toc4589" </w:instrText>
      </w:r>
      <w:r>
        <w:rPr>
          <w:rFonts w:hint="default" w:ascii="Times New Roman" w:hAnsi="Times New Roman" w:cs="Times New Roman"/>
        </w:rPr>
        <w:fldChar w:fldCharType="separate"/>
      </w:r>
      <w:r>
        <w:rPr>
          <w:rFonts w:hint="default" w:ascii="Times New Roman" w:hAnsi="Times New Roman" w:cs="Times New Roman"/>
          <w:szCs w:val="28"/>
        </w:rPr>
        <w:t>1.4  工作原则</w:t>
      </w:r>
      <w:r>
        <w:rPr>
          <w:rFonts w:hint="default" w:ascii="Times New Roman" w:hAnsi="Times New Roman" w:cs="Times New Roman"/>
        </w:rPr>
        <w:tab/>
      </w:r>
      <w:r>
        <w:rPr>
          <w:rFonts w:hint="eastAsia" w:cs="Times New Roman"/>
          <w:lang w:val="en-US" w:eastAsia="zh-CN"/>
        </w:rPr>
        <w:t>4</w:t>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"_Toc20778" </w:instrText>
      </w:r>
      <w:r>
        <w:rPr>
          <w:rFonts w:hint="default" w:ascii="Times New Roman" w:hAnsi="Times New Roman" w:cs="Times New Roman"/>
        </w:rPr>
        <w:fldChar w:fldCharType="separate"/>
      </w:r>
      <w:r>
        <w:rPr>
          <w:rFonts w:hint="default" w:ascii="Times New Roman" w:hAnsi="Times New Roman" w:cs="Times New Roman"/>
          <w:szCs w:val="28"/>
        </w:rPr>
        <w:t>1.5应急救援预案体系</w:t>
      </w:r>
      <w:r>
        <w:rPr>
          <w:rFonts w:hint="default" w:ascii="Times New Roman" w:hAnsi="Times New Roman" w:cs="Times New Roman"/>
        </w:rPr>
        <w:tab/>
      </w:r>
      <w:r>
        <w:rPr>
          <w:rFonts w:hint="eastAsia" w:cs="Times New Roman"/>
          <w:lang w:val="en-US" w:eastAsia="zh-CN"/>
        </w:rPr>
        <w:t>5</w:t>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"_Toc5398" </w:instrText>
      </w:r>
      <w:r>
        <w:rPr>
          <w:rFonts w:hint="default" w:ascii="Times New Roman" w:hAnsi="Times New Roman" w:cs="Times New Roman"/>
        </w:rPr>
        <w:fldChar w:fldCharType="separate"/>
      </w:r>
      <w:r>
        <w:rPr>
          <w:rFonts w:hint="default" w:ascii="Times New Roman" w:hAnsi="Times New Roman" w:cs="Times New Roman"/>
          <w:szCs w:val="28"/>
        </w:rPr>
        <w:t>1.6 适用范围</w:t>
      </w:r>
      <w:r>
        <w:rPr>
          <w:rFonts w:hint="default" w:ascii="Times New Roman" w:hAnsi="Times New Roman" w:cs="Times New Roman"/>
        </w:rPr>
        <w:tab/>
      </w:r>
      <w:r>
        <w:rPr>
          <w:rFonts w:hint="eastAsia" w:cs="Times New Roman"/>
          <w:lang w:val="en-US" w:eastAsia="zh-CN"/>
        </w:rPr>
        <w:t>6</w:t>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"_Toc13589" </w:instrText>
      </w:r>
      <w:r>
        <w:rPr>
          <w:rFonts w:hint="default" w:ascii="Times New Roman" w:hAnsi="Times New Roman" w:cs="Times New Roman"/>
        </w:rPr>
        <w:fldChar w:fldCharType="separate"/>
      </w:r>
      <w:r>
        <w:rPr>
          <w:rFonts w:hint="default" w:ascii="Times New Roman" w:hAnsi="Times New Roman" w:cs="Times New Roman"/>
          <w:szCs w:val="28"/>
        </w:rPr>
        <w:t>2 组织指挥体系与应急联动体系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_Toc13589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"_Toc32706" </w:instrText>
      </w:r>
      <w:r>
        <w:rPr>
          <w:rFonts w:hint="default" w:ascii="Times New Roman" w:hAnsi="Times New Roman" w:cs="Times New Roman"/>
        </w:rPr>
        <w:fldChar w:fldCharType="separate"/>
      </w:r>
      <w:r>
        <w:rPr>
          <w:rFonts w:hint="default" w:ascii="Times New Roman" w:hAnsi="Times New Roman" w:cs="Times New Roman"/>
          <w:szCs w:val="28"/>
        </w:rPr>
        <w:t>2.1应急处置组织指挥体系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_Toc32706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"_Toc5618" </w:instrText>
      </w:r>
      <w:r>
        <w:rPr>
          <w:rFonts w:hint="default" w:ascii="Times New Roman" w:hAnsi="Times New Roman" w:cs="Times New Roman"/>
        </w:rPr>
        <w:fldChar w:fldCharType="separate"/>
      </w:r>
      <w:r>
        <w:rPr>
          <w:rFonts w:hint="default" w:ascii="Times New Roman" w:hAnsi="Times New Roman" w:cs="Times New Roman"/>
          <w:szCs w:val="28"/>
        </w:rPr>
        <w:t>2.1.1领导机构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_Toc5618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"_Toc20009" </w:instrText>
      </w:r>
      <w:r>
        <w:rPr>
          <w:rFonts w:hint="default" w:ascii="Times New Roman" w:hAnsi="Times New Roman" w:cs="Times New Roman"/>
        </w:rPr>
        <w:fldChar w:fldCharType="separate"/>
      </w:r>
      <w:r>
        <w:rPr>
          <w:rFonts w:hint="default" w:ascii="Times New Roman" w:hAnsi="Times New Roman" w:cs="Times New Roman"/>
          <w:szCs w:val="28"/>
        </w:rPr>
        <w:t>2.1.2办事机构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_Toc20009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"_Toc23778" </w:instrText>
      </w:r>
      <w:r>
        <w:rPr>
          <w:rFonts w:hint="default" w:ascii="Times New Roman" w:hAnsi="Times New Roman" w:cs="Times New Roman"/>
        </w:rPr>
        <w:fldChar w:fldCharType="separate"/>
      </w:r>
      <w:r>
        <w:rPr>
          <w:rFonts w:hint="default" w:ascii="Times New Roman" w:hAnsi="Times New Roman" w:cs="Times New Roman"/>
          <w:szCs w:val="28"/>
        </w:rPr>
        <w:t>2.1.3工作机构</w:t>
      </w:r>
      <w:r>
        <w:rPr>
          <w:rFonts w:hint="default" w:ascii="Times New Roman" w:hAnsi="Times New Roman" w:cs="Times New Roman"/>
        </w:rPr>
        <w:tab/>
      </w:r>
      <w:r>
        <w:rPr>
          <w:rFonts w:hint="eastAsia" w:cs="Times New Roman"/>
          <w:lang w:val="en-US" w:eastAsia="zh-CN"/>
        </w:rPr>
        <w:t>9</w:t>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"_Toc21391" </w:instrText>
      </w:r>
      <w:r>
        <w:rPr>
          <w:rFonts w:hint="default" w:ascii="Times New Roman" w:hAnsi="Times New Roman" w:cs="Times New Roman"/>
        </w:rPr>
        <w:fldChar w:fldCharType="separate"/>
      </w:r>
      <w:r>
        <w:rPr>
          <w:rFonts w:hint="default" w:ascii="Times New Roman" w:hAnsi="Times New Roman" w:cs="Times New Roman"/>
          <w:szCs w:val="28"/>
        </w:rPr>
        <w:t>2.1.4专家组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_Toc21391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"_Toc27697" </w:instrText>
      </w:r>
      <w:r>
        <w:rPr>
          <w:rFonts w:hint="default" w:ascii="Times New Roman" w:hAnsi="Times New Roman" w:cs="Times New Roman"/>
        </w:rPr>
        <w:fldChar w:fldCharType="separate"/>
      </w:r>
      <w:r>
        <w:rPr>
          <w:rFonts w:hint="default" w:ascii="Times New Roman" w:hAnsi="Times New Roman" w:cs="Times New Roman"/>
          <w:szCs w:val="28"/>
        </w:rPr>
        <w:t>2.1.5基层机构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_Toc27697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"_Toc15550" </w:instrText>
      </w:r>
      <w:r>
        <w:rPr>
          <w:rFonts w:hint="default" w:ascii="Times New Roman" w:hAnsi="Times New Roman" w:cs="Times New Roman"/>
        </w:rPr>
        <w:fldChar w:fldCharType="separate"/>
      </w:r>
      <w:r>
        <w:rPr>
          <w:rFonts w:hint="default" w:ascii="Times New Roman" w:hAnsi="Times New Roman" w:cs="Times New Roman"/>
          <w:szCs w:val="28"/>
        </w:rPr>
        <w:t>2.2应急联动体系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_Toc15550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"_Toc2667" </w:instrText>
      </w:r>
      <w:r>
        <w:rPr>
          <w:rFonts w:hint="default" w:ascii="Times New Roman" w:hAnsi="Times New Roman" w:cs="Times New Roman"/>
        </w:rPr>
        <w:fldChar w:fldCharType="separate"/>
      </w:r>
      <w:r>
        <w:rPr>
          <w:rFonts w:hint="default" w:ascii="Times New Roman" w:hAnsi="Times New Roman" w:cs="Times New Roman"/>
          <w:szCs w:val="28"/>
        </w:rPr>
        <w:t>2.2.1建立应急处置固定指挥系统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_Toc2667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"_Toc30550" </w:instrText>
      </w:r>
      <w:r>
        <w:rPr>
          <w:rFonts w:hint="default" w:ascii="Times New Roman" w:hAnsi="Times New Roman" w:cs="Times New Roman"/>
        </w:rPr>
        <w:fldChar w:fldCharType="separate"/>
      </w:r>
      <w:r>
        <w:rPr>
          <w:rFonts w:hint="default" w:ascii="Times New Roman" w:hAnsi="Times New Roman" w:cs="Times New Roman"/>
          <w:szCs w:val="28"/>
        </w:rPr>
        <w:t>2.2.2建立应急处置机动指挥系统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_Toc30550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"_Toc13035" </w:instrText>
      </w:r>
      <w:r>
        <w:rPr>
          <w:rFonts w:hint="default" w:ascii="Times New Roman" w:hAnsi="Times New Roman" w:cs="Times New Roman"/>
        </w:rPr>
        <w:fldChar w:fldCharType="separate"/>
      </w:r>
      <w:r>
        <w:rPr>
          <w:rFonts w:hint="default" w:ascii="Times New Roman" w:hAnsi="Times New Roman" w:cs="Times New Roman"/>
          <w:szCs w:val="28"/>
        </w:rPr>
        <w:t>2.2.3建立应急处置现场指挥系统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_Toc13035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"_Toc11418" </w:instrText>
      </w:r>
      <w:r>
        <w:rPr>
          <w:rFonts w:hint="default" w:ascii="Times New Roman" w:hAnsi="Times New Roman" w:cs="Times New Roman"/>
        </w:rPr>
        <w:fldChar w:fldCharType="separate"/>
      </w:r>
      <w:r>
        <w:rPr>
          <w:rFonts w:hint="default" w:ascii="Times New Roman" w:hAnsi="Times New Roman" w:cs="Times New Roman"/>
          <w:szCs w:val="28"/>
        </w:rPr>
        <w:t>3 预测、预警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_Toc11418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"_Toc24565" </w:instrText>
      </w:r>
      <w:r>
        <w:rPr>
          <w:rFonts w:hint="default" w:ascii="Times New Roman" w:hAnsi="Times New Roman" w:cs="Times New Roman"/>
        </w:rPr>
        <w:fldChar w:fldCharType="separate"/>
      </w:r>
      <w:r>
        <w:rPr>
          <w:rFonts w:hint="default" w:ascii="Times New Roman" w:hAnsi="Times New Roman" w:cs="Times New Roman"/>
          <w:szCs w:val="28"/>
        </w:rPr>
        <w:t>3.1信息监测与报告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_Toc24565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"_Toc13215" </w:instrText>
      </w:r>
      <w:r>
        <w:rPr>
          <w:rFonts w:hint="default" w:ascii="Times New Roman" w:hAnsi="Times New Roman" w:cs="Times New Roman"/>
        </w:rPr>
        <w:fldChar w:fldCharType="separate"/>
      </w:r>
      <w:r>
        <w:rPr>
          <w:rFonts w:hint="default" w:ascii="Times New Roman" w:hAnsi="Times New Roman" w:cs="Times New Roman"/>
          <w:szCs w:val="28"/>
        </w:rPr>
        <w:t>3.2预警和报警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_Toc13215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"_Toc17057" </w:instrText>
      </w:r>
      <w:r>
        <w:rPr>
          <w:rFonts w:hint="default" w:ascii="Times New Roman" w:hAnsi="Times New Roman" w:cs="Times New Roman"/>
        </w:rPr>
        <w:fldChar w:fldCharType="separate"/>
      </w:r>
      <w:r>
        <w:rPr>
          <w:rFonts w:hint="default" w:ascii="Times New Roman" w:hAnsi="Times New Roman" w:cs="Times New Roman"/>
          <w:szCs w:val="28"/>
        </w:rPr>
        <w:t>3.3预警级别及发布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_Toc17057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"_Toc15884" </w:instrText>
      </w:r>
      <w:r>
        <w:rPr>
          <w:rFonts w:hint="default" w:ascii="Times New Roman" w:hAnsi="Times New Roman" w:cs="Times New Roman"/>
        </w:rPr>
        <w:fldChar w:fldCharType="separate"/>
      </w:r>
      <w:r>
        <w:rPr>
          <w:rFonts w:hint="default" w:ascii="Times New Roman" w:hAnsi="Times New Roman" w:cs="Times New Roman"/>
          <w:szCs w:val="28"/>
        </w:rPr>
        <w:t>4 应急响应和处置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_Toc15884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"_Toc16161" </w:instrText>
      </w:r>
      <w:r>
        <w:rPr>
          <w:rFonts w:hint="default" w:ascii="Times New Roman" w:hAnsi="Times New Roman" w:cs="Times New Roman"/>
        </w:rPr>
        <w:fldChar w:fldCharType="separate"/>
      </w:r>
      <w:r>
        <w:rPr>
          <w:rFonts w:hint="default" w:ascii="Times New Roman" w:hAnsi="Times New Roman" w:cs="Times New Roman"/>
          <w:szCs w:val="28"/>
        </w:rPr>
        <w:t>4.1分级分类响应</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_Toc16161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"_Toc23506" </w:instrText>
      </w:r>
      <w:r>
        <w:rPr>
          <w:rFonts w:hint="default" w:ascii="Times New Roman" w:hAnsi="Times New Roman" w:cs="Times New Roman"/>
        </w:rPr>
        <w:fldChar w:fldCharType="separate"/>
      </w:r>
      <w:r>
        <w:rPr>
          <w:rFonts w:hint="default" w:ascii="Times New Roman" w:hAnsi="Times New Roman" w:cs="Times New Roman"/>
          <w:szCs w:val="28"/>
        </w:rPr>
        <w:t>4.2先期处置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_Toc23506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eastAsia" w:ascii="Times New Roman" w:hAnsi="Times New Roman" w:eastAsia="宋体"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"_Toc30755" </w:instrText>
      </w:r>
      <w:r>
        <w:rPr>
          <w:rFonts w:hint="default" w:ascii="Times New Roman" w:hAnsi="Times New Roman" w:cs="Times New Roman"/>
        </w:rPr>
        <w:fldChar w:fldCharType="separate"/>
      </w:r>
      <w:r>
        <w:rPr>
          <w:rFonts w:hint="default" w:ascii="Times New Roman" w:hAnsi="Times New Roman" w:cs="Times New Roman"/>
          <w:szCs w:val="28"/>
        </w:rPr>
        <w:t>4.3基本应急和扩大应急</w:t>
      </w:r>
      <w:r>
        <w:rPr>
          <w:rFonts w:hint="default" w:ascii="Times New Roman" w:hAnsi="Times New Roman" w:cs="Times New Roman"/>
        </w:rPr>
        <w:tab/>
      </w:r>
      <w:r>
        <w:rPr>
          <w:rFonts w:hint="eastAsia" w:cs="Times New Roman"/>
          <w:lang w:val="en-US" w:eastAsia="zh-CN"/>
        </w:rPr>
        <w:t>1</w:t>
      </w:r>
      <w:r>
        <w:rPr>
          <w:rFonts w:hint="default" w:ascii="Times New Roman" w:hAnsi="Times New Roman" w:cs="Times New Roman"/>
        </w:rPr>
        <w:fldChar w:fldCharType="end"/>
      </w:r>
      <w:r>
        <w:rPr>
          <w:rFonts w:hint="eastAsia" w:cs="Times New Roman"/>
          <w:lang w:val="en-US" w:eastAsia="zh-CN"/>
        </w:rPr>
        <w:t>3</w:t>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"_Toc5492" </w:instrText>
      </w:r>
      <w:r>
        <w:rPr>
          <w:rFonts w:hint="default" w:ascii="Times New Roman" w:hAnsi="Times New Roman" w:cs="Times New Roman"/>
        </w:rPr>
        <w:fldChar w:fldCharType="separate"/>
      </w:r>
      <w:r>
        <w:rPr>
          <w:rFonts w:hint="default" w:ascii="Times New Roman" w:hAnsi="Times New Roman" w:cs="Times New Roman"/>
          <w:szCs w:val="28"/>
        </w:rPr>
        <w:t>4.4指挥与协调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_Toc5492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"_Toc19043" </w:instrText>
      </w:r>
      <w:r>
        <w:rPr>
          <w:rFonts w:hint="default" w:ascii="Times New Roman" w:hAnsi="Times New Roman" w:cs="Times New Roman"/>
        </w:rPr>
        <w:fldChar w:fldCharType="separate"/>
      </w:r>
      <w:r>
        <w:rPr>
          <w:rFonts w:hint="default" w:ascii="Times New Roman" w:hAnsi="Times New Roman" w:cs="Times New Roman"/>
          <w:szCs w:val="28"/>
        </w:rPr>
        <w:t>4.5信息发布和舆情引导</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_Toc19043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"_Toc6628" </w:instrText>
      </w:r>
      <w:r>
        <w:rPr>
          <w:rFonts w:hint="default" w:ascii="Times New Roman" w:hAnsi="Times New Roman" w:cs="Times New Roman"/>
        </w:rPr>
        <w:fldChar w:fldCharType="separate"/>
      </w:r>
      <w:r>
        <w:rPr>
          <w:rFonts w:hint="default" w:ascii="Times New Roman" w:hAnsi="Times New Roman" w:cs="Times New Roman"/>
          <w:szCs w:val="28"/>
        </w:rPr>
        <w:t>4.6应急结束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_Toc6628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"_Toc24998" </w:instrText>
      </w:r>
      <w:r>
        <w:rPr>
          <w:rFonts w:hint="default" w:ascii="Times New Roman" w:hAnsi="Times New Roman" w:cs="Times New Roman"/>
        </w:rPr>
        <w:fldChar w:fldCharType="separate"/>
      </w:r>
      <w:r>
        <w:rPr>
          <w:rFonts w:hint="default" w:ascii="Times New Roman" w:hAnsi="Times New Roman" w:cs="Times New Roman"/>
          <w:szCs w:val="28"/>
        </w:rPr>
        <w:t>5 保障措施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_Toc24998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"_Toc9218" </w:instrText>
      </w:r>
      <w:r>
        <w:rPr>
          <w:rFonts w:hint="default" w:ascii="Times New Roman" w:hAnsi="Times New Roman" w:cs="Times New Roman"/>
        </w:rPr>
        <w:fldChar w:fldCharType="separate"/>
      </w:r>
      <w:r>
        <w:rPr>
          <w:rFonts w:hint="default" w:ascii="Times New Roman" w:hAnsi="Times New Roman" w:cs="Times New Roman"/>
          <w:szCs w:val="28"/>
        </w:rPr>
        <w:t>5.1应急队伍保障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_Toc9218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"_Toc6837" </w:instrText>
      </w:r>
      <w:r>
        <w:rPr>
          <w:rFonts w:hint="default" w:ascii="Times New Roman" w:hAnsi="Times New Roman" w:cs="Times New Roman"/>
        </w:rPr>
        <w:fldChar w:fldCharType="separate"/>
      </w:r>
      <w:r>
        <w:rPr>
          <w:rFonts w:hint="default" w:ascii="Times New Roman" w:hAnsi="Times New Roman" w:cs="Times New Roman"/>
          <w:szCs w:val="28"/>
        </w:rPr>
        <w:t>5.2财力保障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_Toc6837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"_Toc7477" </w:instrText>
      </w:r>
      <w:r>
        <w:rPr>
          <w:rFonts w:hint="default" w:ascii="Times New Roman" w:hAnsi="Times New Roman" w:cs="Times New Roman"/>
        </w:rPr>
        <w:fldChar w:fldCharType="separate"/>
      </w:r>
      <w:r>
        <w:rPr>
          <w:rFonts w:hint="default" w:ascii="Times New Roman" w:hAnsi="Times New Roman" w:cs="Times New Roman"/>
          <w:szCs w:val="28"/>
        </w:rPr>
        <w:t>5.3基本生活和物资保障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_Toc7477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"_Toc16918" </w:instrText>
      </w:r>
      <w:r>
        <w:rPr>
          <w:rFonts w:hint="default" w:ascii="Times New Roman" w:hAnsi="Times New Roman" w:cs="Times New Roman"/>
        </w:rPr>
        <w:fldChar w:fldCharType="separate"/>
      </w:r>
      <w:r>
        <w:rPr>
          <w:rFonts w:hint="default" w:ascii="Times New Roman" w:hAnsi="Times New Roman" w:cs="Times New Roman"/>
          <w:szCs w:val="28"/>
        </w:rPr>
        <w:t>5.4医疗卫生保障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_Toc16918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"_Toc28096" </w:instrText>
      </w:r>
      <w:r>
        <w:rPr>
          <w:rFonts w:hint="default" w:ascii="Times New Roman" w:hAnsi="Times New Roman" w:cs="Times New Roman"/>
        </w:rPr>
        <w:fldChar w:fldCharType="separate"/>
      </w:r>
      <w:r>
        <w:rPr>
          <w:rFonts w:hint="default" w:ascii="Times New Roman" w:hAnsi="Times New Roman" w:cs="Times New Roman"/>
          <w:szCs w:val="28"/>
        </w:rPr>
        <w:t>5.5交通运输保障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_Toc28096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"_Toc32141" </w:instrText>
      </w:r>
      <w:r>
        <w:rPr>
          <w:rFonts w:hint="default" w:ascii="Times New Roman" w:hAnsi="Times New Roman" w:cs="Times New Roman"/>
        </w:rPr>
        <w:fldChar w:fldCharType="separate"/>
      </w:r>
      <w:r>
        <w:rPr>
          <w:rFonts w:hint="default" w:ascii="Times New Roman" w:hAnsi="Times New Roman" w:cs="Times New Roman"/>
          <w:szCs w:val="28"/>
        </w:rPr>
        <w:t>5.6治安维护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_Toc32141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"_Toc12473" </w:instrText>
      </w:r>
      <w:r>
        <w:rPr>
          <w:rFonts w:hint="default" w:ascii="Times New Roman" w:hAnsi="Times New Roman" w:cs="Times New Roman"/>
        </w:rPr>
        <w:fldChar w:fldCharType="separate"/>
      </w:r>
      <w:r>
        <w:rPr>
          <w:rFonts w:hint="default" w:ascii="Times New Roman" w:hAnsi="Times New Roman" w:cs="Times New Roman"/>
          <w:szCs w:val="28"/>
        </w:rPr>
        <w:t>5.7人员防护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_Toc12473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"_Toc24238" </w:instrText>
      </w:r>
      <w:r>
        <w:rPr>
          <w:rFonts w:hint="default" w:ascii="Times New Roman" w:hAnsi="Times New Roman" w:cs="Times New Roman"/>
        </w:rPr>
        <w:fldChar w:fldCharType="separate"/>
      </w:r>
      <w:r>
        <w:rPr>
          <w:rFonts w:hint="default" w:ascii="Times New Roman" w:hAnsi="Times New Roman" w:cs="Times New Roman"/>
          <w:szCs w:val="28"/>
        </w:rPr>
        <w:t>5.8通信与信息保障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_Toc24238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"_Toc28883" </w:instrText>
      </w:r>
      <w:r>
        <w:rPr>
          <w:rFonts w:hint="default" w:ascii="Times New Roman" w:hAnsi="Times New Roman" w:cs="Times New Roman"/>
        </w:rPr>
        <w:fldChar w:fldCharType="separate"/>
      </w:r>
      <w:r>
        <w:rPr>
          <w:rFonts w:hint="default" w:ascii="Times New Roman" w:hAnsi="Times New Roman" w:cs="Times New Roman"/>
          <w:szCs w:val="28"/>
        </w:rPr>
        <w:t>5.9公共设施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_Toc28883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"_Toc20236" </w:instrText>
      </w:r>
      <w:r>
        <w:rPr>
          <w:rFonts w:hint="default" w:ascii="Times New Roman" w:hAnsi="Times New Roman" w:cs="Times New Roman"/>
        </w:rPr>
        <w:fldChar w:fldCharType="separate"/>
      </w:r>
      <w:r>
        <w:rPr>
          <w:rFonts w:hint="default" w:ascii="Times New Roman" w:hAnsi="Times New Roman" w:cs="Times New Roman"/>
          <w:szCs w:val="28"/>
        </w:rPr>
        <w:t>5.10现场救援和工程抢险装备保障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_Toc20236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"_Toc31831" </w:instrText>
      </w:r>
      <w:r>
        <w:rPr>
          <w:rFonts w:hint="default" w:ascii="Times New Roman" w:hAnsi="Times New Roman" w:cs="Times New Roman"/>
        </w:rPr>
        <w:fldChar w:fldCharType="separate"/>
      </w:r>
      <w:r>
        <w:rPr>
          <w:rFonts w:hint="default" w:ascii="Times New Roman" w:hAnsi="Times New Roman" w:cs="Times New Roman"/>
          <w:szCs w:val="28"/>
        </w:rPr>
        <w:t>5.11社会动员保障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_Toc31831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"_Toc19141" </w:instrText>
      </w:r>
      <w:r>
        <w:rPr>
          <w:rFonts w:hint="default" w:ascii="Times New Roman" w:hAnsi="Times New Roman" w:cs="Times New Roman"/>
        </w:rPr>
        <w:fldChar w:fldCharType="separate"/>
      </w:r>
      <w:r>
        <w:rPr>
          <w:rFonts w:hint="default" w:ascii="Times New Roman" w:hAnsi="Times New Roman" w:cs="Times New Roman"/>
          <w:szCs w:val="28"/>
        </w:rPr>
        <w:t>5.12技术储备与保障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_Toc19141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"_Toc4606" </w:instrText>
      </w:r>
      <w:r>
        <w:rPr>
          <w:rFonts w:hint="default" w:ascii="Times New Roman" w:hAnsi="Times New Roman" w:cs="Times New Roman"/>
        </w:rPr>
        <w:fldChar w:fldCharType="separate"/>
      </w:r>
      <w:r>
        <w:rPr>
          <w:rFonts w:hint="default" w:ascii="Times New Roman" w:hAnsi="Times New Roman" w:cs="Times New Roman"/>
          <w:szCs w:val="28"/>
        </w:rPr>
        <w:t>6 后期处置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_Toc4606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"_Toc17528" </w:instrText>
      </w:r>
      <w:r>
        <w:rPr>
          <w:rFonts w:hint="default" w:ascii="Times New Roman" w:hAnsi="Times New Roman" w:cs="Times New Roman"/>
        </w:rPr>
        <w:fldChar w:fldCharType="separate"/>
      </w:r>
      <w:r>
        <w:rPr>
          <w:rFonts w:hint="default" w:ascii="Times New Roman" w:hAnsi="Times New Roman" w:cs="Times New Roman"/>
          <w:szCs w:val="28"/>
        </w:rPr>
        <w:t>6.1恢复与重建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_Toc17528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"_Toc30094" </w:instrText>
      </w:r>
      <w:r>
        <w:rPr>
          <w:rFonts w:hint="default" w:ascii="Times New Roman" w:hAnsi="Times New Roman" w:cs="Times New Roman"/>
        </w:rPr>
        <w:fldChar w:fldCharType="separate"/>
      </w:r>
      <w:r>
        <w:rPr>
          <w:rFonts w:hint="default" w:ascii="Times New Roman" w:hAnsi="Times New Roman" w:cs="Times New Roman"/>
          <w:szCs w:val="28"/>
        </w:rPr>
        <w:t>6.2社会救助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_Toc30094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"_Toc9707" </w:instrText>
      </w:r>
      <w:r>
        <w:rPr>
          <w:rFonts w:hint="default" w:ascii="Times New Roman" w:hAnsi="Times New Roman" w:cs="Times New Roman"/>
        </w:rPr>
        <w:fldChar w:fldCharType="separate"/>
      </w:r>
      <w:r>
        <w:rPr>
          <w:rFonts w:hint="default" w:ascii="Times New Roman" w:hAnsi="Times New Roman" w:cs="Times New Roman"/>
          <w:szCs w:val="28"/>
        </w:rPr>
        <w:t>6.3保险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_Toc9707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"_Toc12903" </w:instrText>
      </w:r>
      <w:r>
        <w:rPr>
          <w:rFonts w:hint="default" w:ascii="Times New Roman" w:hAnsi="Times New Roman" w:cs="Times New Roman"/>
        </w:rPr>
        <w:fldChar w:fldCharType="separate"/>
      </w:r>
      <w:r>
        <w:rPr>
          <w:rFonts w:hint="default" w:ascii="Times New Roman" w:hAnsi="Times New Roman" w:cs="Times New Roman"/>
          <w:szCs w:val="28"/>
        </w:rPr>
        <w:t>6.4调查总结和评估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_Toc12903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"_Toc15084" </w:instrText>
      </w:r>
      <w:r>
        <w:rPr>
          <w:rFonts w:hint="default" w:ascii="Times New Roman" w:hAnsi="Times New Roman" w:cs="Times New Roman"/>
        </w:rPr>
        <w:fldChar w:fldCharType="separate"/>
      </w:r>
      <w:r>
        <w:rPr>
          <w:rFonts w:hint="default" w:ascii="Times New Roman" w:hAnsi="Times New Roman" w:cs="Times New Roman"/>
          <w:szCs w:val="28"/>
        </w:rPr>
        <w:t>7 教育、演习和监督管理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_Toc15084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"_Toc17246" </w:instrText>
      </w:r>
      <w:r>
        <w:rPr>
          <w:rFonts w:hint="default" w:ascii="Times New Roman" w:hAnsi="Times New Roman" w:cs="Times New Roman"/>
        </w:rPr>
        <w:fldChar w:fldCharType="separate"/>
      </w:r>
      <w:r>
        <w:rPr>
          <w:rFonts w:hint="default" w:ascii="Times New Roman" w:hAnsi="Times New Roman" w:cs="Times New Roman"/>
          <w:szCs w:val="28"/>
        </w:rPr>
        <w:t>7.1演习演练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_Toc17246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"_Toc52" </w:instrText>
      </w:r>
      <w:r>
        <w:rPr>
          <w:rFonts w:hint="default" w:ascii="Times New Roman" w:hAnsi="Times New Roman" w:cs="Times New Roman"/>
        </w:rPr>
        <w:fldChar w:fldCharType="separate"/>
      </w:r>
      <w:r>
        <w:rPr>
          <w:rFonts w:hint="default" w:ascii="Times New Roman" w:hAnsi="Times New Roman" w:cs="Times New Roman"/>
          <w:szCs w:val="28"/>
        </w:rPr>
        <w:t>7.2宣传教育和培训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_Toc52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"_Toc21150" </w:instrText>
      </w:r>
      <w:r>
        <w:rPr>
          <w:rFonts w:hint="default" w:ascii="Times New Roman" w:hAnsi="Times New Roman" w:cs="Times New Roman"/>
        </w:rPr>
        <w:fldChar w:fldCharType="separate"/>
      </w:r>
      <w:r>
        <w:rPr>
          <w:rFonts w:hint="default" w:ascii="Times New Roman" w:hAnsi="Times New Roman" w:cs="Times New Roman"/>
          <w:szCs w:val="28"/>
        </w:rPr>
        <w:t>7.3责任与奖惩</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_Toc21150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"_Toc24142" </w:instrText>
      </w:r>
      <w:r>
        <w:rPr>
          <w:rFonts w:hint="default" w:ascii="Times New Roman" w:hAnsi="Times New Roman" w:cs="Times New Roman"/>
        </w:rPr>
        <w:fldChar w:fldCharType="separate"/>
      </w:r>
      <w:r>
        <w:rPr>
          <w:rFonts w:hint="default" w:ascii="Times New Roman" w:hAnsi="Times New Roman" w:cs="Times New Roman"/>
          <w:szCs w:val="28"/>
        </w:rPr>
        <w:t>8 附则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_Toc24142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"_Toc6502" </w:instrText>
      </w:r>
      <w:r>
        <w:rPr>
          <w:rFonts w:hint="default" w:ascii="Times New Roman" w:hAnsi="Times New Roman" w:cs="Times New Roman"/>
        </w:rPr>
        <w:fldChar w:fldCharType="separate"/>
      </w:r>
      <w:r>
        <w:rPr>
          <w:rFonts w:hint="default" w:ascii="Times New Roman" w:hAnsi="Times New Roman" w:cs="Times New Roman"/>
          <w:szCs w:val="28"/>
        </w:rPr>
        <w:t>8.1制定与解释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_Toc6502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"_Toc22740" </w:instrText>
      </w:r>
      <w:r>
        <w:rPr>
          <w:rFonts w:hint="default" w:ascii="Times New Roman" w:hAnsi="Times New Roman" w:cs="Times New Roman"/>
        </w:rPr>
        <w:fldChar w:fldCharType="separate"/>
      </w:r>
      <w:r>
        <w:rPr>
          <w:rFonts w:hint="default" w:ascii="Times New Roman" w:hAnsi="Times New Roman" w:cs="Times New Roman"/>
          <w:szCs w:val="28"/>
        </w:rPr>
        <w:t>8.1.1预案制定与实施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_Toc22740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4"/>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"_Toc26331" </w:instrText>
      </w:r>
      <w:r>
        <w:rPr>
          <w:rFonts w:hint="default" w:ascii="Times New Roman" w:hAnsi="Times New Roman" w:cs="Times New Roman"/>
        </w:rPr>
        <w:fldChar w:fldCharType="separate"/>
      </w:r>
      <w:r>
        <w:rPr>
          <w:rFonts w:hint="default" w:ascii="Times New Roman" w:hAnsi="Times New Roman" w:cs="Times New Roman"/>
          <w:szCs w:val="28"/>
        </w:rPr>
        <w:t>8.1.2名词解释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_Toc26331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"_Toc15490" </w:instrText>
      </w:r>
      <w:r>
        <w:rPr>
          <w:rFonts w:hint="default" w:ascii="Times New Roman" w:hAnsi="Times New Roman" w:cs="Times New Roman"/>
        </w:rPr>
        <w:fldChar w:fldCharType="separate"/>
      </w:r>
      <w:r>
        <w:rPr>
          <w:rFonts w:hint="default" w:ascii="Times New Roman" w:hAnsi="Times New Roman" w:cs="Times New Roman"/>
          <w:szCs w:val="28"/>
        </w:rPr>
        <w:t>8.2  预案管理与更新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_Toc15490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"_Toc20042" </w:instrText>
      </w:r>
      <w:r>
        <w:rPr>
          <w:rFonts w:hint="default" w:ascii="Times New Roman" w:hAnsi="Times New Roman" w:cs="Times New Roman"/>
        </w:rPr>
        <w:fldChar w:fldCharType="separate"/>
      </w:r>
      <w:r>
        <w:rPr>
          <w:rFonts w:hint="default" w:ascii="Times New Roman" w:hAnsi="Times New Roman" w:cs="Times New Roman"/>
          <w:szCs w:val="28"/>
        </w:rPr>
        <w:t>8.3  实施时间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_Toc20042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"_Toc27372" </w:instrText>
      </w:r>
      <w:r>
        <w:rPr>
          <w:rFonts w:hint="default" w:ascii="Times New Roman" w:hAnsi="Times New Roman" w:cs="Times New Roman"/>
        </w:rPr>
        <w:fldChar w:fldCharType="separate"/>
      </w:r>
      <w:r>
        <w:rPr>
          <w:rFonts w:hint="default" w:ascii="Times New Roman" w:hAnsi="Times New Roman" w:cs="Times New Roman"/>
          <w:szCs w:val="28"/>
        </w:rPr>
        <w:t>9 附件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_Toc27372 </w:instrText>
      </w:r>
      <w:r>
        <w:rPr>
          <w:rFonts w:hint="default" w:ascii="Times New Roman" w:hAnsi="Times New Roman" w:cs="Times New Roman"/>
        </w:rPr>
        <w:fldChar w:fldCharType="separate"/>
      </w:r>
      <w:r>
        <w:rPr>
          <w:rFonts w:hint="default" w:ascii="Times New Roman" w:hAnsi="Times New Roman" w:cs="Times New Roman"/>
        </w:rPr>
        <w:t>27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eastAsia="宋体"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"_Toc16519" </w:instrText>
      </w:r>
      <w:r>
        <w:rPr>
          <w:rFonts w:hint="default" w:ascii="Times New Roman" w:hAnsi="Times New Roman" w:cs="Times New Roman"/>
        </w:rPr>
        <w:fldChar w:fldCharType="separate"/>
      </w:r>
      <w:r>
        <w:rPr>
          <w:rFonts w:hint="default" w:ascii="Times New Roman" w:hAnsi="Times New Roman" w:cs="Times New Roman"/>
          <w:szCs w:val="28"/>
        </w:rPr>
        <w:t>9.1特别重大、重大和较大突发公共事件分级标准（试行）</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8</w:t>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"_Toc6365" </w:instrText>
      </w:r>
      <w:r>
        <w:rPr>
          <w:rFonts w:hint="default" w:ascii="Times New Roman" w:hAnsi="Times New Roman" w:cs="Times New Roman"/>
        </w:rPr>
        <w:fldChar w:fldCharType="separate"/>
      </w:r>
      <w:r>
        <w:rPr>
          <w:rFonts w:hint="default" w:ascii="Times New Roman" w:hAnsi="Times New Roman" w:cs="Times New Roman"/>
          <w:szCs w:val="28"/>
        </w:rPr>
        <w:t>9.2本区域发生突发事件的可能性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_Toc6365 </w:instrText>
      </w:r>
      <w:r>
        <w:rPr>
          <w:rFonts w:hint="default" w:ascii="Times New Roman" w:hAnsi="Times New Roman" w:cs="Times New Roman"/>
        </w:rPr>
        <w:fldChar w:fldCharType="separate"/>
      </w:r>
      <w:r>
        <w:rPr>
          <w:rFonts w:hint="default" w:ascii="Times New Roman" w:hAnsi="Times New Roman" w:cs="Times New Roman"/>
        </w:rPr>
        <w:t>46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"_Toc15524" </w:instrText>
      </w:r>
      <w:r>
        <w:rPr>
          <w:rFonts w:hint="default" w:ascii="Times New Roman" w:hAnsi="Times New Roman" w:cs="Times New Roman"/>
        </w:rPr>
        <w:fldChar w:fldCharType="separate"/>
      </w:r>
      <w:r>
        <w:rPr>
          <w:rFonts w:hint="default" w:ascii="Times New Roman" w:hAnsi="Times New Roman" w:cs="Times New Roman"/>
          <w:szCs w:val="28"/>
        </w:rPr>
        <w:t>9.</w:t>
      </w:r>
      <w:r>
        <w:rPr>
          <w:rFonts w:hint="default" w:ascii="Times New Roman" w:hAnsi="Times New Roman" w:cs="Times New Roman"/>
          <w:szCs w:val="28"/>
          <w:lang w:val="en-US" w:eastAsia="zh-CN"/>
        </w:rPr>
        <w:t>3</w:t>
      </w:r>
      <w:r>
        <w:rPr>
          <w:rFonts w:hint="default" w:ascii="Times New Roman" w:hAnsi="Times New Roman" w:cs="Times New Roman"/>
          <w:szCs w:val="28"/>
        </w:rPr>
        <w:t>突发公共事件应急处置流程图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_Toc15524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"_Toc5085" </w:instrText>
      </w:r>
      <w:r>
        <w:rPr>
          <w:rFonts w:hint="default" w:ascii="Times New Roman" w:hAnsi="Times New Roman" w:cs="Times New Roman"/>
        </w:rPr>
        <w:fldChar w:fldCharType="separate"/>
      </w:r>
      <w:r>
        <w:rPr>
          <w:rFonts w:hint="default" w:ascii="Times New Roman" w:hAnsi="Times New Roman" w:cs="Times New Roman"/>
          <w:szCs w:val="28"/>
        </w:rPr>
        <w:t>9.</w:t>
      </w:r>
      <w:r>
        <w:rPr>
          <w:rFonts w:hint="default" w:ascii="Times New Roman" w:hAnsi="Times New Roman" w:cs="Times New Roman"/>
          <w:szCs w:val="28"/>
          <w:lang w:val="en-US" w:eastAsia="zh-CN"/>
        </w:rPr>
        <w:t>4</w:t>
      </w:r>
      <w:r>
        <w:rPr>
          <w:rFonts w:hint="default" w:ascii="Times New Roman" w:hAnsi="Times New Roman" w:cs="Times New Roman"/>
          <w:szCs w:val="28"/>
        </w:rPr>
        <w:t>专家组名单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_Toc5085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"_Toc25450" </w:instrText>
      </w:r>
      <w:r>
        <w:rPr>
          <w:rFonts w:hint="default" w:ascii="Times New Roman" w:hAnsi="Times New Roman" w:cs="Times New Roman"/>
        </w:rPr>
        <w:fldChar w:fldCharType="separate"/>
      </w:r>
      <w:r>
        <w:rPr>
          <w:rFonts w:hint="default" w:ascii="Times New Roman" w:hAnsi="Times New Roman" w:cs="Times New Roman"/>
          <w:szCs w:val="28"/>
        </w:rPr>
        <w:t>9.</w:t>
      </w:r>
      <w:r>
        <w:rPr>
          <w:rFonts w:hint="default" w:ascii="Times New Roman" w:hAnsi="Times New Roman" w:cs="Times New Roman"/>
          <w:szCs w:val="28"/>
          <w:lang w:val="en-US" w:eastAsia="zh-CN"/>
        </w:rPr>
        <w:t>5</w:t>
      </w:r>
      <w:r>
        <w:rPr>
          <w:rFonts w:hint="default" w:ascii="Times New Roman" w:hAnsi="Times New Roman" w:cs="Times New Roman"/>
          <w:szCs w:val="28"/>
        </w:rPr>
        <w:t>应急机构组成及职责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_Toc25450 </w:instrText>
      </w:r>
      <w:r>
        <w:rPr>
          <w:rFonts w:hint="default" w:ascii="Times New Roman" w:hAnsi="Times New Roman" w:cs="Times New Roman"/>
        </w:rPr>
        <w:fldChar w:fldCharType="separate"/>
      </w:r>
      <w:r>
        <w:rPr>
          <w:rFonts w:hint="default" w:ascii="Times New Roman" w:hAnsi="Times New Roman" w:cs="Times New Roman"/>
        </w:rPr>
        <w:t>49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"_Toc9338" </w:instrText>
      </w:r>
      <w:r>
        <w:rPr>
          <w:rFonts w:hint="default" w:ascii="Times New Roman" w:hAnsi="Times New Roman" w:cs="Times New Roman"/>
        </w:rPr>
        <w:fldChar w:fldCharType="separate"/>
      </w:r>
      <w:r>
        <w:rPr>
          <w:rFonts w:hint="default" w:ascii="Times New Roman" w:hAnsi="Times New Roman" w:cs="Times New Roman"/>
          <w:szCs w:val="28"/>
        </w:rPr>
        <w:t>9.</w:t>
      </w:r>
      <w:r>
        <w:rPr>
          <w:rFonts w:hint="default" w:ascii="Times New Roman" w:hAnsi="Times New Roman" w:cs="Times New Roman"/>
          <w:szCs w:val="28"/>
          <w:lang w:val="en-US" w:eastAsia="zh-CN"/>
        </w:rPr>
        <w:t>6</w:t>
      </w:r>
      <w:r>
        <w:rPr>
          <w:rFonts w:hint="default" w:ascii="Times New Roman" w:hAnsi="Times New Roman" w:cs="Times New Roman"/>
          <w:szCs w:val="28"/>
        </w:rPr>
        <w:t>社会救援中心及报警电话名单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_Toc9338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8"/>
        <w:tabs>
          <w:tab w:val="right" w:leader="dot" w:pos="8306"/>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"_Toc9338" </w:instrText>
      </w:r>
      <w:r>
        <w:rPr>
          <w:rFonts w:hint="default" w:ascii="Times New Roman" w:hAnsi="Times New Roman" w:cs="Times New Roman"/>
        </w:rPr>
        <w:fldChar w:fldCharType="separate"/>
      </w:r>
      <w:r>
        <w:rPr>
          <w:rFonts w:hint="default" w:ascii="Times New Roman" w:hAnsi="Times New Roman" w:cs="Times New Roman"/>
          <w:szCs w:val="28"/>
        </w:rPr>
        <w:t>9.</w:t>
      </w:r>
      <w:r>
        <w:rPr>
          <w:rFonts w:hint="default" w:ascii="Times New Roman" w:hAnsi="Times New Roman" w:cs="Times New Roman"/>
          <w:szCs w:val="28"/>
          <w:lang w:val="en-US" w:eastAsia="zh-CN"/>
        </w:rPr>
        <w:t>7</w:t>
      </w:r>
      <w:r>
        <w:rPr>
          <w:rFonts w:hint="default" w:ascii="Times New Roman" w:hAnsi="Times New Roman" w:cs="Times New Roman"/>
          <w:szCs w:val="28"/>
        </w:rPr>
        <w:t>生产安全事故应急预警处置流程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_Toc9338 </w:instrText>
      </w:r>
      <w:r>
        <w:rPr>
          <w:rFonts w:hint="default" w:ascii="Times New Roman" w:hAnsi="Times New Roman" w:cs="Times New Roman"/>
        </w:rPr>
        <w:fldChar w:fldCharType="separate"/>
      </w:r>
      <w:r>
        <w:rPr>
          <w:rFonts w:hint="default" w:ascii="Times New Roman" w:hAnsi="Times New Roman" w:cs="Times New Roman"/>
        </w:rPr>
        <w:t>56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7"/>
        <w:tabs>
          <w:tab w:val="right" w:leader="dot" w:pos="8306"/>
        </w:tabs>
        <w:rPr>
          <w:rFonts w:hint="eastAsia" w:ascii="Times New Roman" w:hAnsi="Times New Roman" w:eastAsia="宋体"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"_Toc18836" </w:instrText>
      </w:r>
      <w:r>
        <w:rPr>
          <w:rFonts w:hint="default" w:ascii="Times New Roman" w:hAnsi="Times New Roman" w:cs="Times New Roman"/>
        </w:rPr>
        <w:fldChar w:fldCharType="separate"/>
      </w:r>
      <w:r>
        <w:rPr>
          <w:rFonts w:hint="default" w:ascii="Times New Roman" w:hAnsi="Times New Roman" w:cs="Times New Roman"/>
          <w:szCs w:val="28"/>
        </w:rPr>
        <w:t>10 附图</w:t>
      </w:r>
      <w:r>
        <w:rPr>
          <w:rFonts w:hint="default" w:ascii="Times New Roman" w:hAnsi="Times New Roman" w:cs="Times New Roman"/>
        </w:rPr>
        <w:tab/>
      </w:r>
      <w:r>
        <w:rPr>
          <w:rFonts w:hint="eastAsia" w:cs="Times New Roman"/>
          <w:lang w:val="en-US" w:eastAsia="zh-CN"/>
        </w:rPr>
        <w:t>6</w:t>
      </w:r>
      <w:r>
        <w:rPr>
          <w:rFonts w:hint="default" w:ascii="Times New Roman" w:hAnsi="Times New Roman" w:cs="Times New Roman"/>
        </w:rPr>
        <w:fldChar w:fldCharType="end"/>
      </w:r>
      <w:r>
        <w:rPr>
          <w:rFonts w:hint="eastAsia" w:cs="Times New Roman"/>
          <w:lang w:val="en-US" w:eastAsia="zh-CN"/>
        </w:rPr>
        <w:t>2</w:t>
      </w:r>
    </w:p>
    <w:p>
      <w:pPr>
        <w:pStyle w:val="8"/>
        <w:tabs>
          <w:tab w:val="right" w:leader="dot" w:pos="8306"/>
        </w:tabs>
        <w:spacing w:line="400" w:lineRule="exact"/>
        <w:rPr>
          <w:rFonts w:hint="default" w:ascii="Times New Roman" w:hAnsi="Times New Roman" w:cs="Times New Roman"/>
          <w:b/>
          <w:sz w:val="28"/>
          <w:szCs w:val="28"/>
        </w:rPr>
        <w:sectPr>
          <w:headerReference r:id="rId7" w:type="first"/>
          <w:footerReference r:id="rId9" w:type="first"/>
          <w:headerReference r:id="rId6" w:type="default"/>
          <w:footerReference r:id="rId8" w:type="default"/>
          <w:pgSz w:w="11906" w:h="16838"/>
          <w:pgMar w:top="2098" w:right="1474" w:bottom="1984" w:left="1474" w:header="851" w:footer="992" w:gutter="0"/>
          <w:cols w:space="720" w:num="1"/>
          <w:titlePg/>
          <w:docGrid w:type="lines" w:linePitch="312" w:charSpace="0"/>
        </w:sectPr>
      </w:pPr>
      <w:r>
        <w:rPr>
          <w:rFonts w:hint="default" w:ascii="Times New Roman" w:hAnsi="Times New Roman" w:cs="Times New Roman"/>
          <w:szCs w:val="28"/>
        </w:rPr>
        <w:fldChar w:fldCharType="end"/>
      </w:r>
    </w:p>
    <w:p>
      <w:pPr>
        <w:spacing w:line="360" w:lineRule="auto"/>
        <w:jc w:val="center"/>
        <w:outlineLvl w:val="0"/>
        <w:rPr>
          <w:rFonts w:hint="default" w:ascii="Times New Roman" w:hAnsi="Times New Roman" w:cs="Times New Roman"/>
          <w:b/>
          <w:sz w:val="28"/>
          <w:szCs w:val="28"/>
        </w:rPr>
      </w:pPr>
      <w:bookmarkStart w:id="4" w:name="_Toc11815"/>
      <w:r>
        <w:rPr>
          <w:rFonts w:hint="default" w:ascii="Times New Roman" w:hAnsi="Times New Roman" w:cs="Times New Roman"/>
          <w:b/>
          <w:sz w:val="28"/>
          <w:szCs w:val="28"/>
        </w:rPr>
        <w:t>1  总则</w:t>
      </w:r>
      <w:bookmarkEnd w:id="4"/>
    </w:p>
    <w:p>
      <w:pPr>
        <w:spacing w:line="360" w:lineRule="auto"/>
        <w:ind w:firstLine="560" w:firstLineChars="200"/>
        <w:outlineLvl w:val="1"/>
        <w:rPr>
          <w:rFonts w:hint="default" w:ascii="Times New Roman" w:hAnsi="Times New Roman" w:cs="Times New Roman"/>
          <w:sz w:val="28"/>
          <w:szCs w:val="28"/>
        </w:rPr>
      </w:pPr>
      <w:bookmarkStart w:id="5" w:name="_Toc28362"/>
      <w:r>
        <w:rPr>
          <w:rFonts w:hint="default" w:ascii="Times New Roman" w:hAnsi="Times New Roman" w:cs="Times New Roman"/>
          <w:sz w:val="28"/>
          <w:szCs w:val="28"/>
        </w:rPr>
        <w:t>1.1  编制目的</w:t>
      </w:r>
      <w:bookmarkEnd w:id="5"/>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color w:val="000000"/>
          <w:kern w:val="0"/>
          <w:sz w:val="28"/>
          <w:szCs w:val="28"/>
        </w:rPr>
        <w:t>为全面提高本区域处置各种突发公共事件和风险的能力，保障人民群众生命财产安全，保持社会稳定和促进国民经济持续快速健康协调发展，</w:t>
      </w:r>
      <w:r>
        <w:rPr>
          <w:rFonts w:hint="default" w:ascii="Times New Roman" w:hAnsi="Times New Roman" w:cs="Times New Roman"/>
          <w:kern w:val="0"/>
          <w:sz w:val="28"/>
          <w:szCs w:val="28"/>
        </w:rPr>
        <w:t>最大程度地预防和减少突发公共事件及其造成的损害，保障人民生命财产安全，维护社会、政治、经济秩序，促进经济社会全面、协调、可持续发展</w:t>
      </w:r>
      <w:r>
        <w:rPr>
          <w:rFonts w:hint="default" w:ascii="Times New Roman" w:hAnsi="Times New Roman" w:cs="Times New Roman"/>
          <w:sz w:val="28"/>
          <w:szCs w:val="28"/>
        </w:rPr>
        <w:t>，做好本区域内可能发生的突发公共事件应急救援的前期救援，制定本预案。</w:t>
      </w:r>
    </w:p>
    <w:p>
      <w:pPr>
        <w:spacing w:line="360" w:lineRule="auto"/>
        <w:ind w:firstLine="560" w:firstLineChars="200"/>
        <w:outlineLvl w:val="1"/>
        <w:rPr>
          <w:rFonts w:hint="default" w:ascii="Times New Roman" w:hAnsi="Times New Roman" w:cs="Times New Roman"/>
          <w:sz w:val="28"/>
          <w:szCs w:val="28"/>
        </w:rPr>
      </w:pPr>
      <w:bookmarkStart w:id="6" w:name="_Toc12161"/>
      <w:r>
        <w:rPr>
          <w:rFonts w:hint="default" w:ascii="Times New Roman" w:hAnsi="Times New Roman" w:cs="Times New Roman"/>
          <w:sz w:val="28"/>
          <w:szCs w:val="28"/>
        </w:rPr>
        <w:t>1.2  编制依据</w:t>
      </w:r>
      <w:bookmarkEnd w:id="6"/>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（1）《中华人民共和国安全生产法》（2014年12月1日起施行）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（2）《中华人民共和国突发事件应对法》（2007年11月1日起施行）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（3）《突发公共事件应急条例》（2003年5月7日起施行）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（4）《中华人民共和国消防法》（2021年4月29日起施行）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（5）《国家突发公共事件总体应急预案》（2006年1月8日起施行）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（6）《国务院关于进一步加强安全生产工作的决定》（国发〔2004〕2号）</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（7）《生产安全事故报告和调查处理条例》（国务院令第493号，2007年6月1日起施行）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8</w:t>
      </w:r>
      <w:r>
        <w:rPr>
          <w:rFonts w:hint="default" w:ascii="Times New Roman" w:hAnsi="Times New Roman" w:cs="Times New Roman"/>
          <w:sz w:val="28"/>
          <w:szCs w:val="28"/>
        </w:rPr>
        <w:t>）《应急管理部关于修改〈生产安全事故应急预案管理办法〉的决定》（中华人民共和国应急管理部令 第2号）</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9</w:t>
      </w:r>
      <w:r>
        <w:rPr>
          <w:rFonts w:hint="default" w:ascii="Times New Roman" w:hAnsi="Times New Roman" w:cs="Times New Roman"/>
          <w:sz w:val="28"/>
          <w:szCs w:val="28"/>
        </w:rPr>
        <w:t>）《国家安全监管总局关于修改&lt;</w:t>
      </w:r>
      <w:r>
        <w:rPr>
          <w:rFonts w:hint="eastAsia" w:cs="Times New Roman"/>
          <w:sz w:val="28"/>
          <w:szCs w:val="28"/>
          <w:lang w:eastAsia="zh-CN"/>
        </w:rPr>
        <w:t>《</w:t>
      </w:r>
      <w:r>
        <w:rPr>
          <w:rFonts w:hint="default" w:ascii="Times New Roman" w:hAnsi="Times New Roman" w:cs="Times New Roman"/>
          <w:sz w:val="28"/>
          <w:szCs w:val="28"/>
        </w:rPr>
        <w:t>生产安全事故报告和调查处理条例</w:t>
      </w:r>
      <w:r>
        <w:rPr>
          <w:rFonts w:hint="eastAsia" w:cs="Times New Roman"/>
          <w:sz w:val="28"/>
          <w:szCs w:val="28"/>
          <w:lang w:eastAsia="zh-CN"/>
        </w:rPr>
        <w:t>》</w:t>
      </w:r>
      <w:r>
        <w:rPr>
          <w:rFonts w:hint="default" w:ascii="Times New Roman" w:hAnsi="Times New Roman" w:cs="Times New Roman"/>
          <w:sz w:val="28"/>
          <w:szCs w:val="28"/>
        </w:rPr>
        <w:t>罚款处罚暂行规定&gt;部分条款的决定》（安监总局令第42号，2011年11月1日起施行）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10</w:t>
      </w:r>
      <w:r>
        <w:rPr>
          <w:rFonts w:hint="default" w:ascii="Times New Roman" w:hAnsi="Times New Roman" w:cs="Times New Roman"/>
          <w:sz w:val="28"/>
          <w:szCs w:val="28"/>
        </w:rPr>
        <w:t>）《危险化学品安全管理条例》（国务院令第591号，第645号修订，2011年12月1日起施行）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1</w:t>
      </w:r>
      <w:r>
        <w:rPr>
          <w:rFonts w:hint="default" w:ascii="Times New Roman" w:hAnsi="Times New Roman" w:cs="Times New Roman"/>
          <w:sz w:val="28"/>
          <w:szCs w:val="28"/>
        </w:rPr>
        <w:t>）《应急管理部关于修改</w:t>
      </w:r>
      <w:r>
        <w:rPr>
          <w:rFonts w:hint="eastAsia" w:ascii="宋体" w:hAnsi="宋体" w:eastAsia="宋体" w:cs="宋体"/>
          <w:sz w:val="28"/>
          <w:szCs w:val="28"/>
        </w:rPr>
        <w:t>〈</w:t>
      </w:r>
      <w:r>
        <w:rPr>
          <w:rFonts w:hint="default" w:ascii="Times New Roman" w:hAnsi="Times New Roman" w:cs="Times New Roman"/>
          <w:sz w:val="28"/>
          <w:szCs w:val="28"/>
        </w:rPr>
        <w:t>生产安全事故应急预案管理办法〉的决定》（2019年9月1日起施行）</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2</w:t>
      </w:r>
      <w:r>
        <w:rPr>
          <w:rFonts w:hint="default" w:ascii="Times New Roman" w:hAnsi="Times New Roman" w:cs="Times New Roman"/>
          <w:sz w:val="28"/>
          <w:szCs w:val="28"/>
        </w:rPr>
        <w:t>）《国务院安委会办公室关于进一步加强化工园区安全管理的指导意见》（安委办〔2012〕37号，2012年8月7日）</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3</w:t>
      </w:r>
      <w:r>
        <w:rPr>
          <w:rFonts w:hint="default" w:ascii="Times New Roman" w:hAnsi="Times New Roman" w:cs="Times New Roman"/>
          <w:sz w:val="28"/>
          <w:szCs w:val="28"/>
        </w:rPr>
        <w:t>）《国务院关于坚持科学发展安全发展促进安全生产形势持续稳定好转的意见》（国发〔2011〕40号，2011年11月26日）</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4</w:t>
      </w:r>
      <w:r>
        <w:rPr>
          <w:rFonts w:hint="default" w:ascii="Times New Roman" w:hAnsi="Times New Roman" w:cs="Times New Roman"/>
          <w:sz w:val="28"/>
          <w:szCs w:val="28"/>
        </w:rPr>
        <w:t>）《江苏省突发事件应急预案管理办法》（苏政办发〔20</w:t>
      </w:r>
      <w:r>
        <w:rPr>
          <w:rFonts w:hint="eastAsia" w:cs="Times New Roman"/>
          <w:sz w:val="28"/>
          <w:szCs w:val="28"/>
          <w:lang w:val="en-US" w:eastAsia="zh-CN"/>
        </w:rPr>
        <w:t>12</w:t>
      </w:r>
      <w:r>
        <w:rPr>
          <w:rFonts w:hint="default" w:ascii="Times New Roman" w:hAnsi="Times New Roman" w:cs="Times New Roman"/>
          <w:sz w:val="28"/>
          <w:szCs w:val="28"/>
        </w:rPr>
        <w:t>〕153号，2012年8月17日）</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5</w:t>
      </w:r>
      <w:r>
        <w:rPr>
          <w:rFonts w:hint="default" w:ascii="Times New Roman" w:hAnsi="Times New Roman" w:cs="Times New Roman"/>
          <w:sz w:val="28"/>
          <w:szCs w:val="28"/>
        </w:rPr>
        <w:t>）《江苏省突发公共事件总体应急预案》（苏政发〔2020〕6号）</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6</w:t>
      </w:r>
      <w:r>
        <w:rPr>
          <w:rFonts w:hint="default" w:ascii="Times New Roman" w:hAnsi="Times New Roman" w:cs="Times New Roman"/>
          <w:sz w:val="28"/>
          <w:szCs w:val="28"/>
        </w:rPr>
        <w:t>）《苏州市突发公共事件总体应急预案》（苏府〔2020〕49号）</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7</w:t>
      </w:r>
      <w:r>
        <w:rPr>
          <w:rFonts w:hint="default" w:ascii="Times New Roman" w:hAnsi="Times New Roman" w:cs="Times New Roman"/>
          <w:sz w:val="28"/>
          <w:szCs w:val="28"/>
        </w:rPr>
        <w:t>）《市政府办公室关于印发苏州市应急管理体系建设体系建设“十三五”规划的通知》（苏府办〔20</w:t>
      </w:r>
      <w:r>
        <w:rPr>
          <w:rFonts w:hint="eastAsia" w:cs="Times New Roman"/>
          <w:sz w:val="28"/>
          <w:szCs w:val="28"/>
          <w:lang w:val="en-US" w:eastAsia="zh-CN"/>
        </w:rPr>
        <w:t>16</w:t>
      </w:r>
      <w:r>
        <w:rPr>
          <w:rFonts w:hint="default" w:ascii="Times New Roman" w:hAnsi="Times New Roman" w:cs="Times New Roman"/>
          <w:sz w:val="28"/>
          <w:szCs w:val="28"/>
        </w:rPr>
        <w:t>〕137号，2016年6月25日）</w:t>
      </w:r>
    </w:p>
    <w:p>
      <w:pPr>
        <w:spacing w:line="360" w:lineRule="auto"/>
        <w:ind w:firstLine="560" w:firstLineChars="200"/>
        <w:rPr>
          <w:rFonts w:hint="default" w:ascii="Times New Roman" w:hAnsi="Times New Roman" w:cs="Times New Roman"/>
          <w:sz w:val="28"/>
          <w:szCs w:val="28"/>
        </w:rPr>
      </w:pPr>
      <w:bookmarkStart w:id="7" w:name="_Toc28008"/>
      <w:r>
        <w:rPr>
          <w:rFonts w:hint="default" w:ascii="Times New Roman" w:hAnsi="Times New Roman" w:cs="Times New Roman"/>
          <w:sz w:val="28"/>
          <w:szCs w:val="28"/>
        </w:rPr>
        <w:t>（1</w:t>
      </w:r>
      <w:r>
        <w:rPr>
          <w:rFonts w:hint="eastAsia" w:cs="Times New Roman"/>
          <w:sz w:val="28"/>
          <w:szCs w:val="28"/>
          <w:lang w:val="en-US" w:eastAsia="zh-CN"/>
        </w:rPr>
        <w:t>8</w:t>
      </w:r>
      <w:r>
        <w:rPr>
          <w:rFonts w:hint="default" w:ascii="Times New Roman" w:hAnsi="Times New Roman" w:cs="Times New Roman"/>
          <w:sz w:val="28"/>
          <w:szCs w:val="28"/>
        </w:rPr>
        <w:t>）《太仓市突发公共事件总体应急预案》（</w:t>
      </w:r>
      <w:r>
        <w:rPr>
          <w:rFonts w:hint="eastAsia" w:cs="Times New Roman"/>
          <w:sz w:val="28"/>
          <w:szCs w:val="28"/>
          <w:lang w:eastAsia="zh-CN"/>
        </w:rPr>
        <w:t>太</w:t>
      </w:r>
      <w:r>
        <w:rPr>
          <w:rFonts w:hint="default" w:ascii="Times New Roman" w:hAnsi="Times New Roman" w:cs="Times New Roman"/>
          <w:sz w:val="28"/>
          <w:szCs w:val="28"/>
        </w:rPr>
        <w:t>政发〔2020〕</w:t>
      </w:r>
      <w:r>
        <w:rPr>
          <w:rFonts w:hint="eastAsia" w:cs="Times New Roman"/>
          <w:sz w:val="28"/>
          <w:szCs w:val="28"/>
          <w:lang w:val="en-US" w:eastAsia="zh-CN"/>
        </w:rPr>
        <w:t>79</w:t>
      </w:r>
      <w:r>
        <w:rPr>
          <w:rFonts w:hint="default" w:ascii="Times New Roman" w:hAnsi="Times New Roman" w:cs="Times New Roman"/>
          <w:sz w:val="28"/>
          <w:szCs w:val="28"/>
        </w:rPr>
        <w:t>号）</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w:t>
      </w:r>
      <w:r>
        <w:rPr>
          <w:rFonts w:hint="eastAsia" w:cs="Times New Roman"/>
          <w:sz w:val="28"/>
          <w:szCs w:val="28"/>
          <w:lang w:val="en-US" w:eastAsia="zh-CN"/>
        </w:rPr>
        <w:t>9</w:t>
      </w:r>
      <w:r>
        <w:rPr>
          <w:rFonts w:hint="default" w:ascii="Times New Roman" w:hAnsi="Times New Roman" w:cs="Times New Roman"/>
          <w:sz w:val="28"/>
          <w:szCs w:val="28"/>
        </w:rPr>
        <w:t>）《生产经营单位生产安全事故应急救援预案编制导则》（GB/T29639-2020）</w:t>
      </w:r>
    </w:p>
    <w:p>
      <w:pPr>
        <w:spacing w:line="360" w:lineRule="auto"/>
        <w:ind w:firstLine="560" w:firstLineChars="200"/>
        <w:outlineLvl w:val="1"/>
        <w:rPr>
          <w:rFonts w:hint="default" w:ascii="Times New Roman" w:hAnsi="Times New Roman" w:cs="Times New Roman"/>
          <w:sz w:val="28"/>
          <w:szCs w:val="28"/>
        </w:rPr>
      </w:pPr>
      <w:r>
        <w:rPr>
          <w:rFonts w:hint="default" w:ascii="Times New Roman" w:hAnsi="Times New Roman" w:cs="Times New Roman"/>
          <w:sz w:val="28"/>
          <w:szCs w:val="28"/>
        </w:rPr>
        <w:t>1.3  突发公共事件的分类与分级</w:t>
      </w:r>
      <w:bookmarkEnd w:id="7"/>
    </w:p>
    <w:p>
      <w:pPr>
        <w:spacing w:line="360" w:lineRule="auto"/>
        <w:ind w:firstLine="560" w:firstLineChars="200"/>
        <w:outlineLvl w:val="2"/>
        <w:rPr>
          <w:rFonts w:hint="default" w:ascii="Times New Roman" w:hAnsi="Times New Roman" w:cs="Times New Roman"/>
          <w:sz w:val="28"/>
          <w:szCs w:val="28"/>
        </w:rPr>
      </w:pPr>
      <w:bookmarkStart w:id="8" w:name="_Toc23486"/>
      <w:r>
        <w:rPr>
          <w:rFonts w:hint="default" w:ascii="Times New Roman" w:hAnsi="Times New Roman" w:cs="Times New Roman"/>
          <w:sz w:val="28"/>
          <w:szCs w:val="28"/>
        </w:rPr>
        <w:t>1.3.1突发公共事件的概念</w:t>
      </w:r>
      <w:bookmarkEnd w:id="8"/>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本预案所称突发公共事件是指突然发生、造成或者可能造成重大人员伤亡、财产损失、生态环境破坏和严重社会危害，危及公共安全的紧急事件。</w:t>
      </w:r>
    </w:p>
    <w:p>
      <w:pPr>
        <w:spacing w:line="360" w:lineRule="auto"/>
        <w:ind w:firstLine="560" w:firstLineChars="200"/>
        <w:outlineLvl w:val="2"/>
        <w:rPr>
          <w:rFonts w:hint="default" w:ascii="Times New Roman" w:hAnsi="Times New Roman" w:cs="Times New Roman"/>
          <w:sz w:val="28"/>
          <w:szCs w:val="28"/>
        </w:rPr>
      </w:pPr>
      <w:bookmarkStart w:id="9" w:name="_Toc24586"/>
      <w:r>
        <w:rPr>
          <w:rFonts w:hint="default" w:ascii="Times New Roman" w:hAnsi="Times New Roman" w:cs="Times New Roman"/>
          <w:sz w:val="28"/>
          <w:szCs w:val="28"/>
        </w:rPr>
        <w:t>1.3.2突发公共事件的分类</w:t>
      </w:r>
      <w:bookmarkEnd w:id="9"/>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333333"/>
          <w:sz w:val="28"/>
          <w:szCs w:val="28"/>
          <w:shd w:val="clear" w:color="auto" w:fill="FFFFFF"/>
        </w:rPr>
        <w:t>　</w:t>
      </w:r>
      <w:r>
        <w:rPr>
          <w:rFonts w:hint="default" w:ascii="Times New Roman" w:hAnsi="Times New Roman" w:cs="Times New Roman"/>
          <w:color w:val="000000"/>
          <w:sz w:val="28"/>
          <w:szCs w:val="28"/>
          <w:shd w:val="clear" w:color="auto" w:fill="FFFFFF"/>
        </w:rPr>
        <w:t>根据突发公共事件的发生过程、性质和机理，主要分为自然灾害、事故灾难、公共卫生事件和社会安全事件四类。</w:t>
      </w:r>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（1）自然灾害。主要包括水旱灾害、气象灾害、地震灾害、地质灾害，海洋灾害，生物灾害和森林火灾等。</w:t>
      </w:r>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（2）事故灾难。主要包括工矿商贸等企业的各类安全生产事故、交通运输事故、危险化学品事故、公共设施和设备事故、辐射事故、环境污染和生态破坏事件等。</w:t>
      </w:r>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（3）突发公共卫生事件。主要包括传染病疫情，群体性不明原因疾病，食品安全和职业危害，动物疫情以及其他严重影响公众健康和生命安全的事件。</w:t>
      </w:r>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（4）突发社会安全事件。主要包括恐怖袭击事件，重大刑事案件，民族宗教事件，涉外突发事件和群体性事件等。</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上述四类突发公共事件往往是相互交叉和关联的，某类突发公共事件可能和其他类别的事件同时发生，或引发次生、衍生事件，应当具体分析，统筹应对。</w:t>
      </w:r>
    </w:p>
    <w:p>
      <w:pPr>
        <w:spacing w:line="360" w:lineRule="auto"/>
        <w:ind w:firstLine="560" w:firstLineChars="200"/>
        <w:outlineLvl w:val="2"/>
        <w:rPr>
          <w:rFonts w:hint="default" w:ascii="Times New Roman" w:hAnsi="Times New Roman" w:cs="Times New Roman"/>
          <w:sz w:val="28"/>
          <w:szCs w:val="28"/>
        </w:rPr>
      </w:pPr>
      <w:bookmarkStart w:id="10" w:name="_Toc20203"/>
      <w:r>
        <w:rPr>
          <w:rFonts w:hint="default" w:ascii="Times New Roman" w:hAnsi="Times New Roman" w:cs="Times New Roman"/>
          <w:sz w:val="28"/>
          <w:szCs w:val="28"/>
        </w:rPr>
        <w:t>1.3.3突发公共事件的分级</w:t>
      </w:r>
      <w:bookmarkEnd w:id="10"/>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依据突发公共事件的危害程度、影响范围和可控性，由高到低划分为四个级别：Ⅰ级、Ⅱ级、Ⅲ级、Ⅳ级、Ⅴ级。</w:t>
      </w:r>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Ⅰ级：是指突然发生，事态非常复杂，对本区域公共安全、政治稳定和社会经济秩序带来严重危害或威胁，已经或可能造成特别重大人员伤亡、特别重大财产损失或重大生态环境破坏，需要国家或省统一组织协调进行应急处置的紧急事件。</w:t>
      </w:r>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Ⅱ级：是指突然发生，事态复杂，对一定区域内的公共安全、政治稳定和社会经济秩序造成严重危害或威胁，已经或可能造成重大人员伤亡、重大财产损失或严重生态环境破坏，需要省统一组织协调进行应急处置的紧急事件。</w:t>
      </w:r>
    </w:p>
    <w:p>
      <w:pPr>
        <w:spacing w:line="360" w:lineRule="auto"/>
        <w:ind w:firstLine="560" w:firstLineChars="200"/>
        <w:rPr>
          <w:rFonts w:hint="default" w:ascii="Times New Roman" w:hAnsi="Times New Roman" w:cs="Times New Roman"/>
          <w:color w:val="000000"/>
          <w:sz w:val="28"/>
          <w:szCs w:val="28"/>
        </w:rPr>
      </w:pPr>
      <w:r>
        <w:rPr>
          <w:rFonts w:hint="default" w:ascii="Times New Roman" w:hAnsi="Times New Roman" w:cs="Times New Roman"/>
          <w:color w:val="000000"/>
          <w:sz w:val="28"/>
          <w:szCs w:val="28"/>
          <w:shd w:val="clear" w:color="auto" w:fill="FFFFFF"/>
        </w:rPr>
        <w:t>Ⅲ级：指突然发生，事态较为复杂，对一定区域内的公共安全、政治稳定和社会经济秩序造成一定危害或威胁，已经或可能造成较大人员伤亡、较大财产损失或生态环境破坏，需要调度多个部门、县级市、区的力量和资源进行处置的事件。</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Ⅳ级：指突然发生，事态比较简单，仅对较小范围内的公共安全、政治稳定和社会经济秩序造成一定危害或威胁，已经或可能造成人员伤亡和财产损失，依靠县级市、区的力量和资源能够处置的事件。</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Ⅴ级：指突然发生，事态比较简单，仅对较小区域内的公共安全、政治稳定和社会经济秩序造成一定危害或威胁，已经或可能造成人员伤亡和财产损失，依靠城厢镇的力量和资源能够处置的事件。</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突发公共事件的分级标准由省政府及其有关部门统一制定，分级标准是突发公共事件信息报送和分级处置的依据。</w:t>
      </w:r>
    </w:p>
    <w:p>
      <w:pPr>
        <w:spacing w:line="360" w:lineRule="auto"/>
        <w:ind w:firstLine="560" w:firstLineChars="200"/>
        <w:outlineLvl w:val="1"/>
        <w:rPr>
          <w:rFonts w:hint="default" w:ascii="Times New Roman" w:hAnsi="Times New Roman" w:cs="Times New Roman"/>
          <w:sz w:val="28"/>
          <w:szCs w:val="28"/>
        </w:rPr>
      </w:pPr>
      <w:bookmarkStart w:id="11" w:name="_Toc4589"/>
      <w:r>
        <w:rPr>
          <w:rFonts w:hint="default" w:ascii="Times New Roman" w:hAnsi="Times New Roman" w:cs="Times New Roman"/>
          <w:sz w:val="28"/>
          <w:szCs w:val="28"/>
        </w:rPr>
        <w:t>1.4  工作原则</w:t>
      </w:r>
      <w:bookmarkEnd w:id="11"/>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（1）以人为本，减少危害。切实履行政府的社会管理和公共服务职能，把保障公众健康和生命财产安全作为首要任务，最大程度地减少突发公共事件及其造成的人员伤亡和危害。</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（2）居安思危，预防在先。把应对突发公共事件的各项工作落实在日常管理之中，加强基础工作，完善网络建设，增强预警分析，做好预案演练，提高防范意识，做好应对突发公共事件的各项准备工作。</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3）统一领导，分级负责。在城厢镇安委会的统一领导和组织协调下，有关部门按照各自职责和权限，负责突发公共事件的应急管理和应急处置工作。企业要认真履行安全生产责任主体的职责，建立健全安全生产应急预案和应急机制。</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（4）依法规范，加强管理。依据有关法律和行政法规，加强应急管理，维护公众的合法权益，使应对突发公共事件的工作规范化、制度化、法制化。</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5）快速反应，协同应对。建立健全高效的事故预报体系和快速反应机制，协调联动，密切配合，构建人、财、物和信息科技保障机制，迅速控制和处置突发公共事件，防止次生灾害发生，恢复正常社会经济秩序。</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（6）平战结合、整合资源</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做好突发公共事件的预案、机制、组织、思想、物资准备，加强培训、演练，常备不懈。结合条块、企业资源进行整合，充分利用资源，实现迅速、有效救援。</w:t>
      </w:r>
    </w:p>
    <w:p>
      <w:pPr>
        <w:spacing w:line="360" w:lineRule="auto"/>
        <w:ind w:firstLine="560" w:firstLineChars="200"/>
        <w:rPr>
          <w:rFonts w:hint="default" w:ascii="Times New Roman" w:hAnsi="Times New Roman" w:cs="Times New Roman"/>
          <w:color w:val="000000"/>
          <w:sz w:val="28"/>
          <w:szCs w:val="28"/>
          <w:shd w:val="clear" w:color="auto" w:fill="FFFFFF"/>
        </w:rPr>
      </w:pPr>
      <w:r>
        <w:rPr>
          <w:rFonts w:hint="default" w:ascii="Times New Roman" w:hAnsi="Times New Roman" w:cs="Times New Roman"/>
          <w:color w:val="000000"/>
          <w:sz w:val="28"/>
          <w:szCs w:val="28"/>
          <w:shd w:val="clear" w:color="auto" w:fill="FFFFFF"/>
        </w:rPr>
        <w:t>（7）依靠科技，提高素质。加强公共安全科学研究和技术开发，采用先进的监测、预测、预警、预防和应急处置技术及设施，充分发挥专家队伍和专业人员的作用，提高应对突发公共事件的科技水平和指挥能力，避免发生次生、衍生事件；加强宣传和培训教育工作，提高公众自救、互救和应对各类突发公共事件的综合素质。</w:t>
      </w:r>
    </w:p>
    <w:p>
      <w:pPr>
        <w:spacing w:line="360" w:lineRule="auto"/>
        <w:ind w:firstLine="560" w:firstLineChars="200"/>
        <w:outlineLvl w:val="1"/>
        <w:rPr>
          <w:rFonts w:hint="default" w:ascii="Times New Roman" w:hAnsi="Times New Roman" w:cs="Times New Roman"/>
          <w:sz w:val="28"/>
          <w:szCs w:val="28"/>
        </w:rPr>
      </w:pPr>
      <w:bookmarkStart w:id="12" w:name="_Toc20778"/>
      <w:r>
        <w:rPr>
          <w:rFonts w:hint="default" w:ascii="Times New Roman" w:hAnsi="Times New Roman" w:cs="Times New Roman"/>
          <w:sz w:val="28"/>
          <w:szCs w:val="28"/>
        </w:rPr>
        <w:t>1.5应急救援预案体系</w:t>
      </w:r>
      <w:bookmarkEnd w:id="12"/>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　城厢镇突发公共事件应急预案体系包括：</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（1）总体应急预案。总体应急预案是应急预案体系的总纲，是城厢镇安委会应对突发公共事件的规范性文件，由安委会制定、公布实施。</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（2）专项应急预案。专项应急预案主要是安委会及其有关部门，为应对某一类型或几种类型突发公共事件而制定的涉及数个部门职责的应急预案，由安委会有关部门牵头制定，报安委会批准后实施。</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（3）企事业单位应急预案。由各有关单位根据法律、法规制定。</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（4）重大活动安全单项应急预案。举办大型节会、庆典、会展和文化体育等活动，按照谁主办谁负责的原则，由主办单位制定应急预案报安委会备案。</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5）街道突发公共事件综合应急预案。各街道要在城厢镇的领导下，按照分类管理、分级负责的原则分别制定，并报城厢镇备案。部门应急预案和生产经营单位应急预案是应急预案体系的组成部分，实行分类管理、分级负责。   </w:t>
      </w:r>
    </w:p>
    <w:p>
      <w:pPr>
        <w:spacing w:line="560" w:lineRule="exact"/>
        <w:ind w:firstLine="5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各类预案应当根据实际情况变化，由制定单位及时修订；专项预案和部门预案构成种类将不断补充、完善。</w:t>
      </w:r>
    </w:p>
    <w:p>
      <w:pPr>
        <w:keepNext w:val="0"/>
        <w:keepLines w:val="0"/>
        <w:pageBreakBefore w:val="0"/>
        <w:widowControl w:val="0"/>
        <w:kinsoku/>
        <w:wordWrap/>
        <w:overflowPunct/>
        <w:topLinePunct w:val="0"/>
        <w:autoSpaceDE/>
        <w:autoSpaceDN/>
        <w:bidi w:val="0"/>
        <w:adjustRightInd w:val="0"/>
        <w:snapToGrid w:val="0"/>
        <w:spacing w:line="400" w:lineRule="exact"/>
        <w:ind w:firstLine="560"/>
        <w:jc w:val="center"/>
        <w:textAlignment w:val="auto"/>
        <w:rPr>
          <w:rFonts w:ascii="宋体" w:hAnsi="宋体" w:cs="宋体"/>
          <w:bCs/>
          <w:color w:val="000000"/>
          <w:szCs w:val="28"/>
          <w:highlight w:val="none"/>
        </w:rPr>
      </w:pPr>
      <w:r>
        <w:rPr>
          <w:rFonts w:hint="eastAsia" w:ascii="宋体" w:hAnsi="宋体" w:cs="宋体"/>
          <w:bCs/>
          <w:color w:val="000000"/>
          <w:szCs w:val="28"/>
          <w:highlight w:val="none"/>
          <w:lang w:eastAsia="zh-CN"/>
        </w:rPr>
        <w:t>城厢镇</w:t>
      </w:r>
      <w:r>
        <w:rPr>
          <w:rFonts w:hint="eastAsia" w:ascii="宋体" w:hAnsi="宋体" w:cs="宋体"/>
          <w:bCs/>
          <w:color w:val="000000"/>
          <w:szCs w:val="28"/>
          <w:highlight w:val="none"/>
        </w:rPr>
        <w:t>应急预案与上下级预案衔接关系见下表。</w:t>
      </w:r>
    </w:p>
    <w:p>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jc w:val="center"/>
        <w:textAlignment w:val="auto"/>
        <w:rPr>
          <w:rFonts w:ascii="宋体" w:hAnsi="宋体" w:cs="宋体"/>
          <w:color w:val="000000"/>
          <w:szCs w:val="28"/>
          <w:highlight w:val="none"/>
        </w:rPr>
      </w:pPr>
      <w:r>
        <w:rPr>
          <w:rFonts w:hint="eastAsia" w:ascii="宋体" w:hAnsi="宋体" w:cs="宋体"/>
          <w:color w:val="000000"/>
          <w:szCs w:val="28"/>
          <w:highlight w:val="none"/>
        </w:rPr>
        <w:t>与本应急预案相衔接的应急预案</w:t>
      </w:r>
    </w:p>
    <w:tbl>
      <w:tblPr>
        <w:tblStyle w:val="10"/>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3342"/>
        <w:gridCol w:w="4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3" w:type="dxa"/>
            <w:vAlign w:val="center"/>
          </w:tcPr>
          <w:p>
            <w:pPr>
              <w:spacing w:line="560" w:lineRule="exact"/>
              <w:ind w:firstLine="0" w:firstLineChars="0"/>
              <w:jc w:val="center"/>
              <w:rPr>
                <w:sz w:val="24"/>
                <w:highlight w:val="none"/>
              </w:rPr>
            </w:pPr>
            <w:r>
              <w:rPr>
                <w:sz w:val="24"/>
                <w:highlight w:val="none"/>
              </w:rPr>
              <w:t>序号</w:t>
            </w:r>
          </w:p>
        </w:tc>
        <w:tc>
          <w:tcPr>
            <w:tcW w:w="3342" w:type="dxa"/>
            <w:vAlign w:val="center"/>
          </w:tcPr>
          <w:p>
            <w:pPr>
              <w:spacing w:line="560" w:lineRule="exact"/>
              <w:ind w:firstLine="0" w:firstLineChars="0"/>
              <w:jc w:val="center"/>
              <w:rPr>
                <w:sz w:val="24"/>
                <w:highlight w:val="none"/>
              </w:rPr>
            </w:pPr>
            <w:r>
              <w:rPr>
                <w:sz w:val="24"/>
                <w:highlight w:val="none"/>
              </w:rPr>
              <w:t>相衔接单位</w:t>
            </w:r>
          </w:p>
        </w:tc>
        <w:tc>
          <w:tcPr>
            <w:tcW w:w="4458" w:type="dxa"/>
            <w:vAlign w:val="center"/>
          </w:tcPr>
          <w:p>
            <w:pPr>
              <w:spacing w:line="560" w:lineRule="exact"/>
              <w:ind w:firstLine="0" w:firstLineChars="0"/>
              <w:jc w:val="center"/>
              <w:rPr>
                <w:sz w:val="24"/>
                <w:highlight w:val="none"/>
              </w:rPr>
            </w:pPr>
            <w:r>
              <w:rPr>
                <w:sz w:val="24"/>
                <w:highlight w:val="none"/>
              </w:rPr>
              <w:t>与本预案相衔接的应急预案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3" w:type="dxa"/>
            <w:gridSpan w:val="3"/>
            <w:vAlign w:val="center"/>
          </w:tcPr>
          <w:p>
            <w:pPr>
              <w:spacing w:line="560" w:lineRule="exact"/>
              <w:jc w:val="center"/>
              <w:rPr>
                <w:sz w:val="24"/>
                <w:highlight w:val="none"/>
              </w:rPr>
            </w:pPr>
            <w:r>
              <w:rPr>
                <w:sz w:val="24"/>
                <w:highlight w:val="none"/>
              </w:rPr>
              <w:t>一、上位应急预案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323" w:type="dxa"/>
            <w:gridSpan w:val="3"/>
            <w:vAlign w:val="center"/>
          </w:tcPr>
          <w:p>
            <w:pPr>
              <w:spacing w:line="560" w:lineRule="exact"/>
              <w:jc w:val="center"/>
              <w:rPr>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3" w:type="dxa"/>
            <w:vAlign w:val="center"/>
          </w:tcPr>
          <w:p>
            <w:pPr>
              <w:spacing w:line="560" w:lineRule="exact"/>
              <w:ind w:firstLine="0" w:firstLineChars="0"/>
              <w:jc w:val="center"/>
              <w:rPr>
                <w:rFonts w:hint="eastAsia" w:eastAsia="宋体"/>
                <w:sz w:val="24"/>
                <w:highlight w:val="none"/>
                <w:lang w:eastAsia="zh-CN"/>
              </w:rPr>
            </w:pPr>
            <w:r>
              <w:rPr>
                <w:rFonts w:hint="eastAsia"/>
                <w:sz w:val="24"/>
                <w:highlight w:val="none"/>
                <w:lang w:val="en-US" w:eastAsia="zh-CN"/>
              </w:rPr>
              <w:t>1</w:t>
            </w:r>
          </w:p>
        </w:tc>
        <w:tc>
          <w:tcPr>
            <w:tcW w:w="3342" w:type="dxa"/>
            <w:vAlign w:val="center"/>
          </w:tcPr>
          <w:p>
            <w:pPr>
              <w:spacing w:line="560" w:lineRule="exact"/>
              <w:ind w:firstLine="0" w:firstLineChars="0"/>
              <w:jc w:val="center"/>
              <w:rPr>
                <w:sz w:val="24"/>
                <w:highlight w:val="none"/>
              </w:rPr>
            </w:pPr>
            <w:r>
              <w:rPr>
                <w:rFonts w:hint="eastAsia"/>
                <w:sz w:val="24"/>
                <w:highlight w:val="none"/>
              </w:rPr>
              <w:t>太仓市人民政府</w:t>
            </w:r>
          </w:p>
        </w:tc>
        <w:tc>
          <w:tcPr>
            <w:tcW w:w="4458" w:type="dxa"/>
            <w:vAlign w:val="center"/>
          </w:tcPr>
          <w:p>
            <w:pPr>
              <w:spacing w:line="560" w:lineRule="exact"/>
              <w:ind w:firstLine="0" w:firstLineChars="0"/>
              <w:jc w:val="center"/>
              <w:rPr>
                <w:sz w:val="24"/>
                <w:highlight w:val="none"/>
              </w:rPr>
            </w:pPr>
            <w:r>
              <w:rPr>
                <w:rFonts w:hint="eastAsia"/>
                <w:sz w:val="24"/>
                <w:highlight w:val="none"/>
              </w:rPr>
              <w:t>太仓市应急预案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23" w:type="dxa"/>
            <w:gridSpan w:val="3"/>
            <w:vAlign w:val="center"/>
          </w:tcPr>
          <w:p>
            <w:pPr>
              <w:spacing w:line="560" w:lineRule="exact"/>
              <w:jc w:val="center"/>
              <w:rPr>
                <w:sz w:val="24"/>
                <w:highlight w:val="none"/>
              </w:rPr>
            </w:pPr>
            <w:r>
              <w:rPr>
                <w:sz w:val="24"/>
                <w:highlight w:val="none"/>
              </w:rPr>
              <w:t>二、下位应急预案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3" w:type="dxa"/>
            <w:vAlign w:val="center"/>
          </w:tcPr>
          <w:p>
            <w:pPr>
              <w:spacing w:line="560" w:lineRule="exact"/>
              <w:ind w:firstLine="0" w:firstLineChars="0"/>
              <w:jc w:val="center"/>
              <w:rPr>
                <w:sz w:val="24"/>
                <w:highlight w:val="none"/>
              </w:rPr>
            </w:pPr>
            <w:r>
              <w:rPr>
                <w:sz w:val="24"/>
                <w:highlight w:val="none"/>
              </w:rPr>
              <w:t>1</w:t>
            </w:r>
          </w:p>
        </w:tc>
        <w:tc>
          <w:tcPr>
            <w:tcW w:w="3342" w:type="dxa"/>
            <w:vAlign w:val="center"/>
          </w:tcPr>
          <w:p>
            <w:pPr>
              <w:spacing w:line="400" w:lineRule="exact"/>
              <w:ind w:firstLine="0" w:firstLineChars="0"/>
              <w:jc w:val="center"/>
              <w:rPr>
                <w:sz w:val="24"/>
                <w:highlight w:val="none"/>
              </w:rPr>
            </w:pPr>
            <w:r>
              <w:rPr>
                <w:rFonts w:hint="eastAsia"/>
                <w:sz w:val="24"/>
                <w:highlight w:val="none"/>
                <w:lang w:eastAsia="zh-CN"/>
              </w:rPr>
              <w:t>城厢镇</w:t>
            </w:r>
            <w:r>
              <w:rPr>
                <w:rFonts w:hint="eastAsia"/>
                <w:sz w:val="24"/>
                <w:highlight w:val="none"/>
              </w:rPr>
              <w:t>辖区内各企业</w:t>
            </w:r>
          </w:p>
        </w:tc>
        <w:tc>
          <w:tcPr>
            <w:tcW w:w="4458" w:type="dxa"/>
            <w:vAlign w:val="center"/>
          </w:tcPr>
          <w:p>
            <w:pPr>
              <w:spacing w:line="400" w:lineRule="exact"/>
              <w:ind w:firstLine="0" w:firstLineChars="0"/>
              <w:jc w:val="center"/>
              <w:rPr>
                <w:sz w:val="24"/>
                <w:highlight w:val="none"/>
              </w:rPr>
            </w:pPr>
            <w:r>
              <w:rPr>
                <w:rFonts w:hint="eastAsia"/>
                <w:sz w:val="24"/>
                <w:highlight w:val="none"/>
              </w:rPr>
              <w:t>辖区内各企业生产安全事故应急预案</w:t>
            </w:r>
          </w:p>
        </w:tc>
      </w:tr>
    </w:tbl>
    <w:p>
      <w:pPr>
        <w:spacing w:line="360" w:lineRule="auto"/>
        <w:ind w:firstLine="560" w:firstLineChars="200"/>
        <w:rPr>
          <w:rFonts w:hint="default" w:ascii="Times New Roman" w:hAnsi="Times New Roman" w:cs="Times New Roman"/>
          <w:color w:val="000000"/>
          <w:sz w:val="28"/>
          <w:szCs w:val="28"/>
          <w:shd w:val="clear" w:color="auto" w:fill="FFFFFF"/>
        </w:rPr>
      </w:pPr>
    </w:p>
    <w:p>
      <w:pPr>
        <w:spacing w:line="360" w:lineRule="auto"/>
        <w:ind w:firstLine="560" w:firstLineChars="200"/>
        <w:outlineLvl w:val="1"/>
        <w:rPr>
          <w:rFonts w:hint="default" w:ascii="Times New Roman" w:hAnsi="Times New Roman" w:cs="Times New Roman"/>
          <w:sz w:val="28"/>
          <w:szCs w:val="28"/>
        </w:rPr>
      </w:pPr>
      <w:bookmarkStart w:id="13" w:name="_Toc5398"/>
      <w:r>
        <w:rPr>
          <w:rFonts w:hint="default" w:ascii="Times New Roman" w:hAnsi="Times New Roman" w:cs="Times New Roman"/>
          <w:sz w:val="28"/>
          <w:szCs w:val="28"/>
        </w:rPr>
        <w:t>1.6 适用范围</w:t>
      </w:r>
      <w:bookmarkEnd w:id="13"/>
    </w:p>
    <w:p>
      <w:pPr>
        <w:spacing w:line="360" w:lineRule="auto"/>
        <w:ind w:firstLine="560" w:firstLineChars="200"/>
        <w:rPr>
          <w:rFonts w:hint="default" w:ascii="Times New Roman" w:hAnsi="Times New Roman" w:cs="Times New Roman"/>
          <w:b/>
          <w:sz w:val="28"/>
          <w:szCs w:val="28"/>
        </w:rPr>
      </w:pPr>
      <w:r>
        <w:rPr>
          <w:rFonts w:hint="default" w:ascii="Times New Roman" w:hAnsi="Times New Roman" w:cs="Times New Roman"/>
          <w:color w:val="000000"/>
          <w:kern w:val="0"/>
          <w:sz w:val="28"/>
          <w:szCs w:val="28"/>
        </w:rPr>
        <w:t>本总体预案主要适用于城厢镇辖区范围内可能发生的或者曾经发生的突发公共事件。</w:t>
      </w:r>
      <w:bookmarkStart w:id="14" w:name="_Toc13589"/>
    </w:p>
    <w:p>
      <w:pPr>
        <w:spacing w:line="360" w:lineRule="auto"/>
        <w:jc w:val="center"/>
        <w:outlineLvl w:val="0"/>
        <w:rPr>
          <w:rFonts w:hint="default" w:ascii="Times New Roman" w:hAnsi="Times New Roman" w:cs="Times New Roman"/>
          <w:b/>
          <w:sz w:val="28"/>
          <w:szCs w:val="28"/>
        </w:rPr>
      </w:pPr>
      <w:r>
        <w:rPr>
          <w:rFonts w:hint="default" w:ascii="Times New Roman" w:hAnsi="Times New Roman" w:cs="Times New Roman"/>
          <w:b/>
          <w:sz w:val="28"/>
          <w:szCs w:val="28"/>
        </w:rPr>
        <w:t>2 组织指挥体系与应急联动体系</w:t>
      </w:r>
      <w:bookmarkEnd w:id="14"/>
    </w:p>
    <w:p>
      <w:pPr>
        <w:spacing w:line="360" w:lineRule="auto"/>
        <w:ind w:firstLine="560" w:firstLineChars="200"/>
        <w:outlineLvl w:val="1"/>
        <w:rPr>
          <w:rFonts w:hint="default" w:ascii="Times New Roman" w:hAnsi="Times New Roman" w:cs="Times New Roman"/>
          <w:sz w:val="28"/>
          <w:szCs w:val="28"/>
        </w:rPr>
      </w:pPr>
      <w:bookmarkStart w:id="15" w:name="_Toc32706"/>
      <w:r>
        <w:rPr>
          <w:rFonts w:hint="default" w:ascii="Times New Roman" w:hAnsi="Times New Roman" w:cs="Times New Roman"/>
          <w:sz w:val="28"/>
          <w:szCs w:val="28"/>
        </w:rPr>
        <w:t>2.1应急处置组织指挥体系</w:t>
      </w:r>
      <w:bookmarkEnd w:id="15"/>
    </w:p>
    <w:p>
      <w:pPr>
        <w:spacing w:line="360" w:lineRule="auto"/>
        <w:ind w:firstLine="560" w:firstLineChars="200"/>
        <w:outlineLvl w:val="2"/>
        <w:rPr>
          <w:rFonts w:hint="default" w:ascii="Times New Roman" w:hAnsi="Times New Roman" w:cs="Times New Roman"/>
          <w:sz w:val="28"/>
          <w:szCs w:val="28"/>
        </w:rPr>
      </w:pPr>
      <w:bookmarkStart w:id="16" w:name="_Toc5618"/>
      <w:r>
        <w:rPr>
          <w:rFonts w:hint="default" w:ascii="Times New Roman" w:hAnsi="Times New Roman" w:cs="Times New Roman"/>
          <w:sz w:val="28"/>
          <w:szCs w:val="28"/>
        </w:rPr>
        <w:t>2.1.1领导机构</w:t>
      </w:r>
      <w:bookmarkEnd w:id="16"/>
    </w:p>
    <w:p>
      <w:pPr>
        <w:spacing w:line="360" w:lineRule="auto"/>
        <w:ind w:firstLine="560" w:firstLineChars="200"/>
        <w:rPr>
          <w:rFonts w:hint="default" w:ascii="Times New Roman" w:hAnsi="Times New Roman" w:cs="Times New Roman"/>
          <w:kern w:val="0"/>
          <w:sz w:val="28"/>
          <w:szCs w:val="28"/>
        </w:rPr>
      </w:pPr>
      <w:r>
        <w:rPr>
          <w:rFonts w:hint="default" w:ascii="Times New Roman" w:hAnsi="Times New Roman" w:cs="Times New Roman"/>
          <w:kern w:val="0"/>
          <w:sz w:val="28"/>
          <w:szCs w:val="28"/>
        </w:rPr>
        <w:t>太仓市城厢镇应急指挥中心，作为本区域突发公共事件应急处置工作的领导指挥机构，负责城厢镇的突发公共事件应急处置工作。</w:t>
      </w:r>
    </w:p>
    <w:p>
      <w:pPr>
        <w:spacing w:line="360" w:lineRule="auto"/>
        <w:ind w:firstLine="560" w:firstLineChars="200"/>
        <w:rPr>
          <w:rFonts w:hint="default" w:ascii="Times New Roman" w:hAnsi="Times New Roman" w:cs="Times New Roman"/>
          <w:kern w:val="0"/>
          <w:sz w:val="28"/>
          <w:szCs w:val="28"/>
        </w:rPr>
      </w:pPr>
      <w:r>
        <w:rPr>
          <w:rFonts w:hint="default" w:ascii="Times New Roman" w:hAnsi="Times New Roman" w:cs="Times New Roman"/>
          <w:kern w:val="0"/>
          <w:sz w:val="28"/>
          <w:szCs w:val="28"/>
        </w:rPr>
        <w:t>太仓市城厢镇应急指挥中心由镇</w:t>
      </w:r>
      <w:r>
        <w:rPr>
          <w:rFonts w:hint="default" w:ascii="Times New Roman" w:hAnsi="Times New Roman" w:cs="Times New Roman"/>
          <w:kern w:val="0"/>
          <w:sz w:val="28"/>
          <w:szCs w:val="28"/>
          <w:lang w:eastAsia="zh-CN"/>
        </w:rPr>
        <w:t>党政办、集成指挥中心、组织人事和社会保障局、财政和资产管理局、经发局、建设局、社会治理和社会事业局、行政审批局、综合行政执法局</w:t>
      </w:r>
      <w:r>
        <w:rPr>
          <w:rFonts w:hint="default" w:ascii="Times New Roman" w:hAnsi="Times New Roman" w:cs="Times New Roman"/>
          <w:kern w:val="0"/>
          <w:sz w:val="28"/>
          <w:szCs w:val="28"/>
        </w:rPr>
        <w:t>等部门组成。</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辖区内突发公共事件发生后，应急指挥中心立即组织开展应急救援工作，成立应急救援指挥部，由城厢镇党委副书记任应急救援总指挥，安委会各成员单位分别领导各应急救援小组开展救援工作。根据所发生的不同的突发公共事件，启动相应的专项应急预案。</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其中：贸易、物流企业的事故由</w:t>
      </w:r>
      <w:r>
        <w:rPr>
          <w:rFonts w:hint="default" w:ascii="Times New Roman" w:hAnsi="Times New Roman" w:cs="Times New Roman"/>
          <w:sz w:val="28"/>
          <w:szCs w:val="28"/>
          <w:lang w:eastAsia="zh-CN"/>
        </w:rPr>
        <w:t>经发局</w:t>
      </w:r>
      <w:r>
        <w:rPr>
          <w:rFonts w:hint="default" w:ascii="Times New Roman" w:hAnsi="Times New Roman" w:cs="Times New Roman"/>
          <w:sz w:val="28"/>
          <w:szCs w:val="28"/>
        </w:rPr>
        <w:t>主导；工业企业的事故由</w:t>
      </w:r>
      <w:r>
        <w:rPr>
          <w:rFonts w:hint="default" w:ascii="Times New Roman" w:hAnsi="Times New Roman" w:cs="Times New Roman"/>
          <w:sz w:val="28"/>
          <w:szCs w:val="28"/>
          <w:lang w:eastAsia="zh-CN"/>
        </w:rPr>
        <w:t>安监办</w:t>
      </w:r>
      <w:r>
        <w:rPr>
          <w:rFonts w:hint="default" w:ascii="Times New Roman" w:hAnsi="Times New Roman" w:cs="Times New Roman"/>
          <w:sz w:val="28"/>
          <w:szCs w:val="28"/>
        </w:rPr>
        <w:t>主导；建设项目事故由</w:t>
      </w:r>
      <w:r>
        <w:rPr>
          <w:rFonts w:hint="default" w:ascii="Times New Roman" w:hAnsi="Times New Roman" w:cs="Times New Roman"/>
          <w:sz w:val="28"/>
          <w:szCs w:val="28"/>
          <w:lang w:eastAsia="zh-CN"/>
        </w:rPr>
        <w:t>建设局</w:t>
      </w:r>
      <w:r>
        <w:rPr>
          <w:rFonts w:hint="default" w:ascii="Times New Roman" w:hAnsi="Times New Roman" w:cs="Times New Roman"/>
          <w:sz w:val="28"/>
          <w:szCs w:val="28"/>
        </w:rPr>
        <w:t>主导；交通事故由交警中队主导；气象灾害及中毒事故由社会治理和社会事业局主导。</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区域各企事业单位已组建专项应急救援队伍，作为应急指挥体系的组成部分，机构名称不变、职能不变、办公地点不变，组成人员相应调整充实，继续承担相关专项突发公共事件的应急处置工作。今后根据需要，再逐步建立其他突发公共事件专项应急处置指挥机构。</w:t>
      </w: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安委会职责：</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（1）研究确定应对突发公共事件重大决策和指导意见；</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（2）负责特别重大、重大较大突发共公共事件的组织和指挥；</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（3）负责审定本区域突发公共事件总体应急预案；</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（4）负责抓好应急重大项目建设，并检查落实情况；</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（5）当突发公共事件超出城厢镇处置能力时，依据程序及时上报并请求上级支援；</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（6）应对突发公共事件工作中协调与上级政府及各有关部门的关系；</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（7）</w:t>
      </w:r>
      <w:r>
        <w:rPr>
          <w:rFonts w:hint="default" w:ascii="Times New Roman" w:hAnsi="Times New Roman" w:cs="Times New Roman"/>
          <w:color w:val="000000"/>
          <w:sz w:val="28"/>
          <w:szCs w:val="28"/>
        </w:rPr>
        <w:t>部署和总结年度应急工作。  </w:t>
      </w:r>
    </w:p>
    <w:p>
      <w:pPr>
        <w:spacing w:line="360" w:lineRule="auto"/>
        <w:ind w:firstLine="560" w:firstLineChars="200"/>
        <w:outlineLvl w:val="2"/>
        <w:rPr>
          <w:rFonts w:hint="default" w:ascii="Times New Roman" w:hAnsi="Times New Roman" w:cs="Times New Roman"/>
          <w:sz w:val="28"/>
          <w:szCs w:val="28"/>
        </w:rPr>
      </w:pPr>
      <w:bookmarkStart w:id="17" w:name="_Toc20009"/>
      <w:r>
        <w:rPr>
          <w:rFonts w:hint="default" w:ascii="Times New Roman" w:hAnsi="Times New Roman" w:cs="Times New Roman"/>
          <w:sz w:val="28"/>
          <w:szCs w:val="28"/>
        </w:rPr>
        <w:t>2.1.2办事机构</w:t>
      </w:r>
      <w:bookmarkEnd w:id="17"/>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太仓市城厢镇安委会设置安委会办公室，作为日常办事机构，办公地点设在安监办。</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安委办负责人：安监办主任</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安委会办公室的主要职责是：</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（1）执行安委会的决定和指示；</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（2）负责辖区内突发公共事件应急处置工作的综合协调，承办应急管理的专题会议；</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（3）建立突发公共事件应急信息综合管理系统，接受、汇总、分析有关突发公共事件的重要信息，向安委会提出处理建议；</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（4）联系各成员单位，对其履行应急预案中的职责情况进行指导、督促和检查；</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（5）承担组织编制、评估、修订突发公共事件总体应急预案的具体工作；</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（6）指导安委会各有关部门应急预案的编制工作；</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（7）加强与毗邻地区的联系，建立健全应急工作协作机制。</w:t>
      </w:r>
    </w:p>
    <w:p>
      <w:pPr>
        <w:spacing w:line="360" w:lineRule="auto"/>
        <w:ind w:firstLine="560" w:firstLineChars="200"/>
        <w:outlineLvl w:val="2"/>
        <w:rPr>
          <w:rFonts w:hint="default" w:ascii="Times New Roman" w:hAnsi="Times New Roman" w:cs="Times New Roman"/>
          <w:sz w:val="28"/>
          <w:szCs w:val="28"/>
        </w:rPr>
      </w:pPr>
      <w:r>
        <w:rPr>
          <w:rFonts w:hint="default" w:ascii="Times New Roman" w:hAnsi="Times New Roman" w:cs="Times New Roman"/>
          <w:sz w:val="28"/>
          <w:szCs w:val="28"/>
        </w:rPr>
        <w:t>2.1.3工作机构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有关部门依据有关法律、法规、规章和各自的职责，负责相关类别突发公共事件的应急管理工作，主要包括相关类别的突发公共事件专项预案和部门应急预案的起草与实施，贯彻落实安委会有关决定事项，承担相关应急指挥机构办公室的工作，及时向安委会报告重要情况和建议，指导和协助各职能部门做好突发公共事件的预防、应急准备、应急处置和恢复重建工作。</w:t>
      </w:r>
    </w:p>
    <w:p>
      <w:pPr>
        <w:spacing w:line="360" w:lineRule="auto"/>
        <w:ind w:firstLine="560" w:firstLineChars="200"/>
        <w:outlineLvl w:val="2"/>
        <w:rPr>
          <w:rFonts w:hint="default" w:ascii="Times New Roman" w:hAnsi="Times New Roman" w:cs="Times New Roman"/>
          <w:sz w:val="28"/>
          <w:szCs w:val="28"/>
        </w:rPr>
      </w:pPr>
      <w:bookmarkStart w:id="18" w:name="_Toc21391"/>
      <w:r>
        <w:rPr>
          <w:rFonts w:hint="default" w:ascii="Times New Roman" w:hAnsi="Times New Roman" w:cs="Times New Roman"/>
          <w:sz w:val="28"/>
          <w:szCs w:val="28"/>
        </w:rPr>
        <w:t>2.1.4</w:t>
      </w:r>
      <w:bookmarkEnd w:id="18"/>
      <w:r>
        <w:rPr>
          <w:rFonts w:hint="default" w:ascii="Times New Roman" w:hAnsi="Times New Roman" w:cs="Times New Roman"/>
          <w:sz w:val="28"/>
          <w:szCs w:val="28"/>
        </w:rPr>
        <w:t>应急救援小组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太仓市城厢镇依托太仓市安全专家库，组成突发公共事件应急处置专家组，其成员主要是宏观管理、综合减灾以及各种灾种管理的专家，主要职责是：为城厢镇中长期公共安全规划、信息系统的建设与管理、灾害科学最新发展趋势的跟踪等方面提供意见和建议；对各类突发公共事件的发生和发展趋势、救灾方案、处置办法、灾害损失和恢复方案等进行研究评估，并提出相关建议；发生突发公共事件时，向太仓市城厢镇安委会提供科学有效的决策方案。</w:t>
      </w:r>
    </w:p>
    <w:p>
      <w:pPr>
        <w:spacing w:line="360" w:lineRule="auto"/>
        <w:ind w:firstLine="560" w:firstLineChars="200"/>
        <w:outlineLvl w:val="2"/>
        <w:rPr>
          <w:rFonts w:hint="default" w:ascii="Times New Roman" w:hAnsi="Times New Roman" w:cs="Times New Roman"/>
          <w:sz w:val="28"/>
          <w:szCs w:val="28"/>
        </w:rPr>
      </w:pPr>
      <w:bookmarkStart w:id="19" w:name="_Toc27697"/>
      <w:r>
        <w:rPr>
          <w:rFonts w:hint="default" w:ascii="Times New Roman" w:hAnsi="Times New Roman" w:cs="Times New Roman"/>
          <w:sz w:val="28"/>
          <w:szCs w:val="28"/>
        </w:rPr>
        <w:t>2.1.5基层机构</w:t>
      </w:r>
      <w:bookmarkEnd w:id="19"/>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太仓市城厢镇内各企事业单位根据本单位可能发生的事故，建立应急处置指挥体系，成立相应的前期现场应急指挥机构，制定和完善所属行业的应急预案。</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太仓市城厢镇应急组织架构及相应职责情况，见附件9.4。</w:t>
      </w:r>
    </w:p>
    <w:p>
      <w:pPr>
        <w:spacing w:line="360" w:lineRule="auto"/>
        <w:ind w:firstLine="560" w:firstLineChars="200"/>
        <w:outlineLvl w:val="1"/>
        <w:rPr>
          <w:rFonts w:hint="default" w:ascii="Times New Roman" w:hAnsi="Times New Roman" w:cs="Times New Roman"/>
          <w:sz w:val="28"/>
          <w:szCs w:val="28"/>
        </w:rPr>
      </w:pPr>
      <w:bookmarkStart w:id="20" w:name="_Toc15550"/>
      <w:r>
        <w:rPr>
          <w:rFonts w:hint="default" w:ascii="Times New Roman" w:hAnsi="Times New Roman" w:cs="Times New Roman"/>
          <w:sz w:val="28"/>
          <w:szCs w:val="28"/>
        </w:rPr>
        <w:t>2.2应急联动体系</w:t>
      </w:r>
      <w:bookmarkEnd w:id="20"/>
    </w:p>
    <w:p>
      <w:pPr>
        <w:spacing w:line="360" w:lineRule="auto"/>
        <w:ind w:firstLine="560" w:firstLineChars="200"/>
        <w:outlineLvl w:val="2"/>
        <w:rPr>
          <w:rFonts w:hint="default" w:ascii="Times New Roman" w:hAnsi="Times New Roman" w:cs="Times New Roman"/>
          <w:sz w:val="28"/>
          <w:szCs w:val="28"/>
        </w:rPr>
      </w:pPr>
      <w:bookmarkStart w:id="21" w:name="_Toc2667"/>
      <w:r>
        <w:rPr>
          <w:rFonts w:hint="default" w:ascii="Times New Roman" w:hAnsi="Times New Roman" w:cs="Times New Roman"/>
          <w:sz w:val="28"/>
          <w:szCs w:val="28"/>
        </w:rPr>
        <w:t>2.2.1建立应急处置固定指挥系统</w:t>
      </w:r>
      <w:bookmarkEnd w:id="21"/>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固定指挥系统设在安委办，主要通过网络、电话等方式与各专项应急指挥系统、上级应急指挥中心、各灾害事故管理职能部门和应急救援等相关单位实现互联互通，与上级建立畅通的应急指挥通信和信息通道，实施远程指挥调度和协助现场应急处置。</w:t>
      </w:r>
      <w:r>
        <w:rPr>
          <w:rFonts w:hint="eastAsia" w:cs="Times New Roman"/>
          <w:color w:val="000000"/>
          <w:kern w:val="0"/>
          <w:sz w:val="28"/>
          <w:szCs w:val="28"/>
          <w:lang w:val="en-US" w:eastAsia="zh-CN"/>
        </w:rPr>
        <w:t xml:space="preserve">                                                                                                                                                                                                                                                                                                                                                                                                                                                                                                                                                                                                                                                                                                                                                                                                                                                                                                                                                                                                                                                                                                                                                                                                                                                                                                                                                                                                                                                                                                                                                                                                                                                                                                                                                                                                                                                                                                                                                                                                                                                                                                                                                                                                                                                                                                                                                                                                                                                                                                                                                                                                                                                                                                                                                                                                                                                                                                                                                                                                                                                                                                                                                                                                                                                                                                                                                                                                                                                                                                                                                                           </w:t>
      </w:r>
    </w:p>
    <w:p>
      <w:pPr>
        <w:spacing w:line="360" w:lineRule="auto"/>
        <w:ind w:firstLine="560" w:firstLineChars="200"/>
        <w:outlineLvl w:val="2"/>
        <w:rPr>
          <w:rFonts w:hint="default" w:ascii="Times New Roman" w:hAnsi="Times New Roman" w:cs="Times New Roman"/>
          <w:sz w:val="28"/>
          <w:szCs w:val="28"/>
        </w:rPr>
      </w:pPr>
      <w:bookmarkStart w:id="22" w:name="_Toc30550"/>
      <w:r>
        <w:rPr>
          <w:rFonts w:hint="default" w:ascii="Times New Roman" w:hAnsi="Times New Roman" w:cs="Times New Roman"/>
          <w:sz w:val="28"/>
          <w:szCs w:val="28"/>
        </w:rPr>
        <w:t>2.2.2建立应急处置机动指挥系统</w:t>
      </w:r>
      <w:bookmarkEnd w:id="22"/>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事故现场机动指挥系统设在赶赴现场的救援指挥车上，突发公共事件发生时，救援指挥车通过相关介体与区应急处置固定指挥系统、现场指挥系统互联互通。</w:t>
      </w:r>
    </w:p>
    <w:p>
      <w:pPr>
        <w:spacing w:line="360" w:lineRule="auto"/>
        <w:ind w:firstLine="560" w:firstLineChars="200"/>
        <w:outlineLvl w:val="2"/>
        <w:rPr>
          <w:rFonts w:hint="default" w:ascii="Times New Roman" w:hAnsi="Times New Roman" w:cs="Times New Roman"/>
          <w:sz w:val="28"/>
          <w:szCs w:val="28"/>
        </w:rPr>
      </w:pPr>
      <w:bookmarkStart w:id="23" w:name="_Toc13035"/>
      <w:r>
        <w:rPr>
          <w:rFonts w:hint="default" w:ascii="Times New Roman" w:hAnsi="Times New Roman" w:cs="Times New Roman"/>
          <w:sz w:val="28"/>
          <w:szCs w:val="28"/>
        </w:rPr>
        <w:t>2.2.3建立应急处置现场指挥系统</w:t>
      </w:r>
      <w:bookmarkEnd w:id="23"/>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现场指挥系统设在事发地，救援指挥车未到达前，由事发地相关单位提供现场指挥系统，并将上级指示及时、准确地传达到应急处置的执行主体。</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应急预案处于启动状态时，各相关单位应急处置固定、机动、现场指挥系统确保信息互联互通，确保安委会实施及时、可靠、多手段、不间断的应急处置指挥。根据应急需要，还可利用人防、水</w:t>
      </w:r>
      <w:r>
        <w:rPr>
          <w:rFonts w:hint="eastAsia" w:cs="Times New Roman"/>
          <w:color w:val="000000"/>
          <w:kern w:val="0"/>
          <w:sz w:val="28"/>
          <w:szCs w:val="28"/>
          <w:lang w:val="en-US" w:eastAsia="zh-CN"/>
        </w:rPr>
        <w:t xml:space="preserve"> </w:t>
      </w:r>
      <w:r>
        <w:rPr>
          <w:rFonts w:hint="default" w:ascii="Times New Roman" w:hAnsi="Times New Roman" w:cs="Times New Roman"/>
          <w:color w:val="000000"/>
          <w:kern w:val="0"/>
          <w:sz w:val="28"/>
          <w:szCs w:val="28"/>
        </w:rPr>
        <w:t>利、通信等部门的指挥系统和相关资源，形成更加可靠、覆盖范围更广的应急联动指挥体系。</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应急救援总指挥根据平战结合的原则，组织、协调应急指挥场所设施和要素的配置与管理。出现破坏性地震以及其他特殊突发公共事件时，负责组织迅速进入人防指挥所，展开紧急指挥工作。</w:t>
      </w: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jc w:val="center"/>
        <w:outlineLvl w:val="0"/>
        <w:rPr>
          <w:rFonts w:hint="default" w:ascii="Times New Roman" w:hAnsi="Times New Roman" w:cs="Times New Roman"/>
          <w:b/>
          <w:sz w:val="28"/>
          <w:szCs w:val="28"/>
        </w:rPr>
      </w:pPr>
      <w:bookmarkStart w:id="24" w:name="_Toc11418"/>
    </w:p>
    <w:p>
      <w:pPr>
        <w:spacing w:line="360" w:lineRule="auto"/>
        <w:jc w:val="center"/>
        <w:outlineLvl w:val="0"/>
        <w:rPr>
          <w:rFonts w:hint="default" w:ascii="Times New Roman" w:hAnsi="Times New Roman" w:cs="Times New Roman"/>
          <w:b/>
          <w:sz w:val="28"/>
          <w:szCs w:val="28"/>
        </w:rPr>
      </w:pPr>
    </w:p>
    <w:p>
      <w:pPr>
        <w:spacing w:line="360" w:lineRule="auto"/>
        <w:jc w:val="center"/>
        <w:outlineLvl w:val="0"/>
        <w:rPr>
          <w:rFonts w:hint="default" w:ascii="Times New Roman" w:hAnsi="Times New Roman" w:cs="Times New Roman"/>
          <w:b/>
          <w:sz w:val="28"/>
          <w:szCs w:val="28"/>
        </w:rPr>
      </w:pPr>
    </w:p>
    <w:p>
      <w:pPr>
        <w:spacing w:line="360" w:lineRule="auto"/>
        <w:jc w:val="center"/>
        <w:outlineLvl w:val="0"/>
        <w:rPr>
          <w:rFonts w:hint="default" w:ascii="Times New Roman" w:hAnsi="Times New Roman" w:cs="Times New Roman"/>
          <w:b/>
          <w:sz w:val="28"/>
          <w:szCs w:val="28"/>
        </w:rPr>
      </w:pPr>
    </w:p>
    <w:p>
      <w:pPr>
        <w:spacing w:line="360" w:lineRule="auto"/>
        <w:jc w:val="center"/>
        <w:outlineLvl w:val="0"/>
        <w:rPr>
          <w:rFonts w:hint="default" w:ascii="Times New Roman" w:hAnsi="Times New Roman" w:cs="Times New Roman"/>
          <w:b/>
          <w:sz w:val="28"/>
          <w:szCs w:val="28"/>
        </w:rPr>
      </w:pPr>
    </w:p>
    <w:p>
      <w:pPr>
        <w:spacing w:line="360" w:lineRule="auto"/>
        <w:jc w:val="center"/>
        <w:outlineLvl w:val="0"/>
        <w:rPr>
          <w:rFonts w:hint="default" w:ascii="Times New Roman" w:hAnsi="Times New Roman" w:cs="Times New Roman"/>
          <w:b/>
          <w:sz w:val="28"/>
          <w:szCs w:val="28"/>
        </w:rPr>
      </w:pPr>
      <w:r>
        <w:rPr>
          <w:rFonts w:hint="default" w:ascii="Times New Roman" w:hAnsi="Times New Roman" w:cs="Times New Roman"/>
          <w:b/>
          <w:sz w:val="28"/>
          <w:szCs w:val="28"/>
        </w:rPr>
        <w:t>3 预测、预警</w:t>
      </w:r>
      <w:bookmarkEnd w:id="24"/>
    </w:p>
    <w:p>
      <w:pPr>
        <w:spacing w:line="360" w:lineRule="auto"/>
        <w:ind w:firstLine="560" w:firstLineChars="200"/>
        <w:outlineLvl w:val="1"/>
        <w:rPr>
          <w:rFonts w:hint="default" w:ascii="Times New Roman" w:hAnsi="Times New Roman" w:cs="Times New Roman"/>
          <w:sz w:val="28"/>
          <w:szCs w:val="28"/>
        </w:rPr>
      </w:pPr>
      <w:bookmarkStart w:id="25" w:name="_Toc24565"/>
      <w:r>
        <w:rPr>
          <w:rFonts w:hint="default" w:ascii="Times New Roman" w:hAnsi="Times New Roman" w:cs="Times New Roman"/>
          <w:sz w:val="28"/>
          <w:szCs w:val="28"/>
        </w:rPr>
        <w:t>3.1信息监测与报告</w:t>
      </w:r>
      <w:bookmarkEnd w:id="25"/>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太仓市城厢镇安委会各有关部门、各级各类监测机构应综合分析可能引发各类突发公共事件的预测预警信息并及时上报。安委会负责整合监测信息资源，依托安委会办公业务资源及相关网络，建立健全突发公共事件预测预警系统。</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各监测机构和各类应急指挥机构掌握的突发公共事件预警信息，应当立即向安委会作出通报。</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属于Ⅴ级的预警信息，由太仓市城厢镇安委会决定启动应急预案，开展前期救援工作，同时报告太仓市应急救援中心。根据太仓市应急救援中心的响应程度决定是否继续主导救援工作。</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属于Ⅰ～Ⅳ级突发公共事件，应立即如实向太仓市应急中心和相关部门报告，最迟不得超过45分钟，不得迟报、谎报、瞒报和漏报。</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殊情况下，事发地政府及有关部门值班人员可直接向安委会报告并同时向上一级政府报告。报告内容主要包括时间、地点、信息来源、事件性质、影响范围、事件发展趋势和已经采取的措施等。应急处置过程中，要及时续报有关情况。</w:t>
      </w:r>
    </w:p>
    <w:p>
      <w:pPr>
        <w:spacing w:line="360" w:lineRule="auto"/>
        <w:ind w:firstLine="560" w:firstLineChars="200"/>
        <w:outlineLvl w:val="1"/>
        <w:rPr>
          <w:rFonts w:hint="default" w:ascii="Times New Roman" w:hAnsi="Times New Roman" w:cs="Times New Roman"/>
          <w:sz w:val="28"/>
          <w:szCs w:val="28"/>
        </w:rPr>
      </w:pPr>
      <w:bookmarkStart w:id="26" w:name="_Toc13215"/>
      <w:r>
        <w:rPr>
          <w:rFonts w:hint="default" w:ascii="Times New Roman" w:hAnsi="Times New Roman" w:cs="Times New Roman"/>
          <w:sz w:val="28"/>
          <w:szCs w:val="28"/>
        </w:rPr>
        <w:t>3.2预警和报警</w:t>
      </w:r>
      <w:bookmarkEnd w:id="26"/>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接到有关突发公共事件预警信息后，应当立即进行分析、判断或组织有关部门和专家进行分析、评估和预测，根据突发公共事件的不同等级，立即将预警信息报告给总指挥，并传递给相关管理部门及单位的应急指挥机构。</w:t>
      </w:r>
    </w:p>
    <w:p>
      <w:pPr>
        <w:spacing w:line="360" w:lineRule="auto"/>
        <w:ind w:firstLine="560" w:firstLineChars="200"/>
        <w:outlineLvl w:val="1"/>
        <w:rPr>
          <w:rFonts w:hint="default" w:ascii="Times New Roman" w:hAnsi="Times New Roman" w:cs="Times New Roman"/>
          <w:sz w:val="28"/>
          <w:szCs w:val="28"/>
        </w:rPr>
      </w:pPr>
      <w:bookmarkStart w:id="27" w:name="_Toc17057"/>
      <w:r>
        <w:rPr>
          <w:rFonts w:hint="default" w:ascii="Times New Roman" w:hAnsi="Times New Roman" w:cs="Times New Roman"/>
          <w:sz w:val="28"/>
          <w:szCs w:val="28"/>
        </w:rPr>
        <w:t>3.3预警级别及发布</w:t>
      </w:r>
      <w:bookmarkEnd w:id="27"/>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根据突发公共事件即将造成的危害程度、发展情况和紧迫性等因素，由低到高划分为Ⅴ级、Ⅳ级、Ⅲ级、Ⅱ级、Ⅰ级，五个预警级别。</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预警级别的发布，按照下列权限执行：</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（1）Ⅰ级、Ⅱ级和Ⅲ级预警，按《苏州市突发公共事件总体应急预案》的规定发布；</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（2）Ⅳ级预警，由太仓市应急救援中心请示苏州市应急指挥中心后发布；</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（3）Ⅴ级预警，根据本预案进行发布。</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国家另有规定的，从其规定。</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预警信息的发布、调整和解除可通过广播、电视、报纸、通信、信息网络、警报器、宣传车或组织人员逐户通知等方式进行，对老、幼、病、残、孕等特殊人群以及学校等特殊场所和警报盲区应当采取有针对性的公告方式。</w:t>
      </w: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jc w:val="center"/>
        <w:outlineLvl w:val="0"/>
        <w:rPr>
          <w:rFonts w:hint="default" w:ascii="Times New Roman" w:hAnsi="Times New Roman" w:cs="Times New Roman"/>
          <w:b/>
          <w:color w:val="000000"/>
          <w:sz w:val="28"/>
          <w:szCs w:val="28"/>
        </w:rPr>
      </w:pPr>
      <w:bookmarkStart w:id="28" w:name="_Toc15884"/>
      <w:r>
        <w:rPr>
          <w:rFonts w:hint="default" w:ascii="Times New Roman" w:hAnsi="Times New Roman" w:cs="Times New Roman"/>
          <w:b/>
          <w:sz w:val="28"/>
          <w:szCs w:val="28"/>
        </w:rPr>
        <w:t xml:space="preserve">4 </w:t>
      </w:r>
      <w:r>
        <w:rPr>
          <w:rFonts w:hint="default" w:ascii="Times New Roman" w:hAnsi="Times New Roman" w:cs="Times New Roman"/>
          <w:b/>
          <w:color w:val="000000"/>
          <w:sz w:val="28"/>
          <w:szCs w:val="28"/>
        </w:rPr>
        <w:t>应急响应和处置</w:t>
      </w:r>
      <w:bookmarkEnd w:id="28"/>
    </w:p>
    <w:p>
      <w:pPr>
        <w:spacing w:line="360" w:lineRule="auto"/>
        <w:ind w:firstLine="560" w:firstLineChars="200"/>
        <w:outlineLvl w:val="1"/>
        <w:rPr>
          <w:rFonts w:hint="default" w:ascii="Times New Roman" w:hAnsi="Times New Roman" w:cs="Times New Roman"/>
          <w:color w:val="000000"/>
          <w:sz w:val="28"/>
          <w:szCs w:val="28"/>
        </w:rPr>
      </w:pPr>
      <w:bookmarkStart w:id="29" w:name="_Toc16161"/>
      <w:r>
        <w:rPr>
          <w:rFonts w:hint="default" w:ascii="Times New Roman" w:hAnsi="Times New Roman" w:cs="Times New Roman"/>
          <w:color w:val="000000"/>
          <w:sz w:val="28"/>
          <w:szCs w:val="28"/>
        </w:rPr>
        <w:t>4.1分级分类响应</w:t>
      </w:r>
      <w:bookmarkEnd w:id="29"/>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对本辖区内发生的突发公共事件，达到Ⅴ级的，由太仓市城厢镇安委会决定启动相应应急预案，统一指挥处置工作，并按规定向太仓市政府报告。</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发生Ⅰ～Ⅳ级突发公共事件，由太仓市城厢镇安委会立即启动相应应急预案开展前期紧急处置工作，并按规定在第一时间内以最快速度向太仓市政府或苏州市政府报告，服从上级应急指挥中心统一指挥。</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发生涉外或跨区的公共事件，安委会按照规定上报上级政府，由上级应急救援包中心负责处置。</w:t>
      </w:r>
    </w:p>
    <w:p>
      <w:pPr>
        <w:spacing w:line="360" w:lineRule="auto"/>
        <w:ind w:firstLine="560" w:firstLineChars="200"/>
        <w:outlineLvl w:val="1"/>
        <w:rPr>
          <w:rFonts w:hint="default" w:ascii="Times New Roman" w:hAnsi="Times New Roman" w:cs="Times New Roman"/>
          <w:sz w:val="28"/>
          <w:szCs w:val="28"/>
        </w:rPr>
      </w:pPr>
      <w:bookmarkStart w:id="30" w:name="_Toc23506"/>
      <w:r>
        <w:rPr>
          <w:rFonts w:hint="default" w:ascii="Times New Roman" w:hAnsi="Times New Roman" w:cs="Times New Roman"/>
          <w:sz w:val="28"/>
          <w:szCs w:val="28"/>
        </w:rPr>
        <w:t>4.2先期处置</w:t>
      </w:r>
      <w:bookmarkEnd w:id="30"/>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对本辖区内发生的突发公共事件，无论级别高低、规模大小、损伤轻重，安委会均要迅速调度力量，尽快判明事件性质和危害程度，及时采取相应的处置措施，全力控制事态发展，减少财产损失和社会影响，切断事件传播扩大的渠道与途径，并及时向上级应急救援中心报告。</w:t>
      </w:r>
    </w:p>
    <w:p>
      <w:pPr>
        <w:spacing w:line="360" w:lineRule="auto"/>
        <w:ind w:firstLine="560" w:firstLineChars="200"/>
        <w:outlineLvl w:val="1"/>
        <w:rPr>
          <w:rFonts w:hint="default" w:ascii="Times New Roman" w:hAnsi="Times New Roman" w:cs="Times New Roman"/>
          <w:sz w:val="28"/>
          <w:szCs w:val="28"/>
        </w:rPr>
      </w:pPr>
      <w:bookmarkStart w:id="31" w:name="_Toc30755"/>
      <w:r>
        <w:rPr>
          <w:rFonts w:hint="default" w:ascii="Times New Roman" w:hAnsi="Times New Roman" w:cs="Times New Roman"/>
          <w:sz w:val="28"/>
          <w:szCs w:val="28"/>
        </w:rPr>
        <w:t>4.3基本应急和扩大应急</w:t>
      </w:r>
      <w:bookmarkEnd w:id="31"/>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旦发生Ⅰ～Ⅳ级突发公共事件，太仓市城厢镇安委会立即启动总体应急预案和相应的专项应急预案开展前期救援，同时上报相应的上级应急救援中心，上级应急预案启动后，本城厢镇的应急预案结束，同时总指挥向上级指挥中心移交指挥权，在上级应急救援中心的指导下，进行抢险救助、医疗救护、卫生防疫、交通管制、现场监控、人员疏散、安全防护、社会动员等基本应急工作。应急、恢复与减灾行动需要同时进行的，必须协调行动。</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Ⅴ级突发公共事件发生后，基本应急程序难以有效控制事态，或发生特殊灾害事故，尤其是出现跨区域、大面积和可能发展为严重灾害的态势时，立即转入扩大应急状态。在上级应急救援中心统一领导下，扩大抢险救灾资源使用、征用、调用的范围和数量；必要时，依法动用一切可以动用的资源。</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当突发公共事件造成的危害程度十分严重，超出城厢镇自身控制能力，需要太仓市政府或者其他区提供援助和支持时，应将情况立即上报太仓市政府，由市政府直接指挥。</w:t>
      </w:r>
    </w:p>
    <w:p>
      <w:pPr>
        <w:spacing w:line="360" w:lineRule="auto"/>
        <w:ind w:firstLine="560" w:firstLineChars="200"/>
        <w:outlineLvl w:val="1"/>
        <w:rPr>
          <w:rFonts w:hint="default" w:ascii="Times New Roman" w:hAnsi="Times New Roman" w:cs="Times New Roman"/>
          <w:sz w:val="28"/>
          <w:szCs w:val="28"/>
        </w:rPr>
      </w:pPr>
      <w:bookmarkStart w:id="32" w:name="_Toc5492"/>
      <w:r>
        <w:rPr>
          <w:rFonts w:hint="default" w:ascii="Times New Roman" w:hAnsi="Times New Roman" w:cs="Times New Roman"/>
          <w:sz w:val="28"/>
          <w:szCs w:val="28"/>
        </w:rPr>
        <w:t>4.4指挥与协调</w:t>
      </w:r>
      <w:bookmarkEnd w:id="32"/>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Ⅰ～Ⅳ级突发公共事件发生后，立即成立应急处置现场指挥部，并在上级应急指挥中心统一协调下进行应急处置，各部门、各单位要服从上级应急指挥中心的调度。</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Ⅴ级突发公共事件发生后，立即成立应急处置现场指挥部，急救援总指挥、事发地相关人员和专家，迅速赶往事发现场，负责或参与指挥决策、参谋作业和信息保障等工作。</w:t>
      </w:r>
    </w:p>
    <w:p>
      <w:pPr>
        <w:spacing w:line="360" w:lineRule="auto"/>
        <w:ind w:firstLine="560" w:firstLineChars="200"/>
        <w:outlineLvl w:val="1"/>
        <w:rPr>
          <w:rFonts w:hint="default" w:ascii="Times New Roman" w:hAnsi="Times New Roman" w:cs="Times New Roman"/>
          <w:sz w:val="28"/>
          <w:szCs w:val="28"/>
        </w:rPr>
      </w:pPr>
      <w:bookmarkStart w:id="33" w:name="_Toc19043"/>
      <w:r>
        <w:rPr>
          <w:rFonts w:hint="default" w:ascii="Times New Roman" w:hAnsi="Times New Roman" w:cs="Times New Roman"/>
          <w:sz w:val="28"/>
          <w:szCs w:val="28"/>
        </w:rPr>
        <w:t>4.5信息发布和舆情引导</w:t>
      </w:r>
      <w:bookmarkEnd w:id="33"/>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突发公共事件时，团委舆论宣传负责人，在安委办或现场指挥部就位待命，负责对新闻媒体报道实施管理、协调和指导。安委办或现场指挥部根据灾害事故影响程度和类型，按照《国家突发公共事件新闻发布应急预案》以及中央办公厅、国务院办公厅和中宣部的有关规定，拟写新闻稿，按规定程序送审后公布。</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充分运用广播、电视、报刊、政府网站等形式，向社会公开或通报突发公共事件信息，方便群众及时获取信息，保障公民享有知情权，并有效引导舆情。</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一般情况下，由现场指挥部在第一时间发布权威信息。必要时，由安委会主要领导或分管领导召开新闻发布会或发表电视讲话，通报有关情况。</w:t>
      </w:r>
    </w:p>
    <w:p>
      <w:pPr>
        <w:spacing w:line="360" w:lineRule="auto"/>
        <w:ind w:firstLine="560" w:firstLineChars="200"/>
        <w:outlineLvl w:val="1"/>
        <w:rPr>
          <w:rFonts w:hint="default" w:ascii="Times New Roman" w:hAnsi="Times New Roman" w:cs="Times New Roman"/>
          <w:sz w:val="28"/>
          <w:szCs w:val="28"/>
        </w:rPr>
      </w:pPr>
      <w:bookmarkStart w:id="34" w:name="_Toc6628"/>
      <w:r>
        <w:rPr>
          <w:rFonts w:hint="default" w:ascii="Times New Roman" w:hAnsi="Times New Roman" w:cs="Times New Roman"/>
          <w:sz w:val="28"/>
          <w:szCs w:val="28"/>
        </w:rPr>
        <w:t>4.6应急结束</w:t>
      </w:r>
      <w:bookmarkEnd w:id="34"/>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突发公共事件应急处置工作结束后，依据法定程序，经相应级别的应急指挥中心批准，宣布解除灾情，终止应急状态，转入正常工作。</w:t>
      </w: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jc w:val="center"/>
        <w:outlineLvl w:val="0"/>
        <w:rPr>
          <w:rFonts w:hint="default" w:ascii="Times New Roman" w:hAnsi="Times New Roman" w:cs="Times New Roman"/>
          <w:b/>
          <w:sz w:val="28"/>
          <w:szCs w:val="28"/>
        </w:rPr>
      </w:pPr>
      <w:bookmarkStart w:id="35" w:name="_Toc24998"/>
      <w:r>
        <w:rPr>
          <w:rFonts w:hint="default" w:ascii="Times New Roman" w:hAnsi="Times New Roman" w:cs="Times New Roman"/>
          <w:b/>
          <w:sz w:val="28"/>
          <w:szCs w:val="28"/>
        </w:rPr>
        <w:t>5 保障措施</w:t>
      </w:r>
      <w:bookmarkEnd w:id="35"/>
    </w:p>
    <w:p>
      <w:pPr>
        <w:spacing w:line="360" w:lineRule="auto"/>
        <w:ind w:firstLine="560" w:firstLineChars="200"/>
        <w:outlineLvl w:val="1"/>
        <w:rPr>
          <w:rFonts w:hint="default" w:ascii="Times New Roman" w:hAnsi="Times New Roman" w:cs="Times New Roman"/>
          <w:sz w:val="28"/>
          <w:szCs w:val="28"/>
        </w:rPr>
      </w:pPr>
      <w:bookmarkStart w:id="36" w:name="_Toc9218"/>
      <w:r>
        <w:rPr>
          <w:rFonts w:hint="default" w:ascii="Times New Roman" w:hAnsi="Times New Roman" w:cs="Times New Roman"/>
          <w:sz w:val="28"/>
          <w:szCs w:val="28"/>
        </w:rPr>
        <w:t>5.1应急队伍保障</w:t>
      </w:r>
      <w:bookmarkEnd w:id="36"/>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在突发公共事件发生后，各应急救援小组应组织全力以赴、争分夺秒的救援，防范事态扩大，消除次生灾害，努力减少损失。</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公安、消防、医疗卫生等抢险队伍，是突发公共事件的基本抢险救援队伍。其他专业性救援队伍，除承担本灾种抢险救援任务外，根据需要和上级指令，同时承担其他抢险救援工作。</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和相关部门要在充分发挥基本抢险队伍作用的同时，积极组织和借助社会资源，建立各类社会化、群众性救援队伍，形成以专业队伍为主体、群众性队伍为辅助的应急抢险救援队伍网络。合理部署和配置各类抢险救援队伍，制定各类应急处置专业技术方案，配备先进救援装备，开展专业技能培训。定期组织跨部门、跨行业的突发公共事件应急处置演练，加强组织协调和专业保障，提高队伍快速反应和协同作战能力。</w:t>
      </w:r>
    </w:p>
    <w:p>
      <w:pPr>
        <w:spacing w:line="360" w:lineRule="auto"/>
        <w:ind w:firstLine="560" w:firstLineChars="200"/>
        <w:outlineLvl w:val="1"/>
        <w:rPr>
          <w:rFonts w:hint="default" w:ascii="Times New Roman" w:hAnsi="Times New Roman" w:cs="Times New Roman"/>
          <w:sz w:val="28"/>
          <w:szCs w:val="28"/>
        </w:rPr>
      </w:pPr>
      <w:bookmarkStart w:id="37" w:name="_Toc6837"/>
      <w:r>
        <w:rPr>
          <w:rFonts w:hint="default" w:ascii="Times New Roman" w:hAnsi="Times New Roman" w:cs="Times New Roman"/>
          <w:sz w:val="28"/>
          <w:szCs w:val="28"/>
        </w:rPr>
        <w:t>5.2财力保障</w:t>
      </w:r>
      <w:bookmarkEnd w:id="37"/>
    </w:p>
    <w:p>
      <w:pPr>
        <w:spacing w:line="360" w:lineRule="auto"/>
        <w:ind w:firstLine="560" w:firstLineChars="200"/>
        <w:rPr>
          <w:rFonts w:hint="default" w:ascii="Times New Roman" w:hAnsi="Times New Roman" w:cs="Times New Roman"/>
          <w:kern w:val="0"/>
          <w:sz w:val="28"/>
          <w:szCs w:val="28"/>
        </w:rPr>
      </w:pPr>
      <w:r>
        <w:rPr>
          <w:rFonts w:hint="default" w:ascii="Times New Roman" w:hAnsi="Times New Roman" w:cs="Times New Roman"/>
          <w:kern w:val="0"/>
          <w:sz w:val="28"/>
          <w:szCs w:val="28"/>
        </w:rPr>
        <w:t>突发公共事件应急准备和救援工作资金由安委会提出，经财政审核后，按规定程序列入财政总预算。处置突发公共事件所需财政负担的经费，按照现行事权、财权划分原则，分级负担。</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对受突发公共事件影响较大的行业、企事业单位和个人，安委会应及时研究提出相应的补偿或救助方案。财政和审计部门要对突发公共事件财政应急保障资金的使用和效果进行监管和评估。鼓励自然人、法人或者其他组织（包括国际组织）按照《中华人民共和国公益事业捐赠法》等有关法律、法规的规定进行捐赠、援助。</w:t>
      </w:r>
    </w:p>
    <w:p>
      <w:pPr>
        <w:spacing w:line="360" w:lineRule="auto"/>
        <w:ind w:firstLine="560" w:firstLineChars="200"/>
        <w:outlineLvl w:val="1"/>
        <w:rPr>
          <w:rFonts w:hint="default" w:ascii="Times New Roman" w:hAnsi="Times New Roman" w:cs="Times New Roman"/>
          <w:sz w:val="28"/>
          <w:szCs w:val="28"/>
        </w:rPr>
      </w:pPr>
      <w:bookmarkStart w:id="38" w:name="_Toc7477"/>
      <w:r>
        <w:rPr>
          <w:rFonts w:hint="default" w:ascii="Times New Roman" w:hAnsi="Times New Roman" w:cs="Times New Roman"/>
          <w:sz w:val="28"/>
          <w:szCs w:val="28"/>
        </w:rPr>
        <w:t>5.3基本生活和物资保障</w:t>
      </w:r>
      <w:bookmarkEnd w:id="38"/>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lang w:eastAsia="zh-CN"/>
        </w:rPr>
        <w:t>综合行政执法局</w:t>
      </w:r>
      <w:r>
        <w:rPr>
          <w:rFonts w:hint="default" w:ascii="Times New Roman" w:hAnsi="Times New Roman" w:cs="Times New Roman"/>
          <w:color w:val="000000"/>
          <w:kern w:val="0"/>
          <w:sz w:val="28"/>
          <w:szCs w:val="28"/>
        </w:rPr>
        <w:t>等有关部门做好受灾群众的基本生活保障工作，确保受灾群众有饭吃、有水喝、有衣穿、有住处、有病能得到及时医治。经管办负责组织、协调救灾物资的生产调拨和紧急供应，组织协调应急救治药品、医疗器械、医疗防护用品、消毒产品的生产供应和储备。</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监办及其他有关部门应当建立应急物资储备数据库，并根据情况变化及时更新，其内容包括突发公共事件应急所需的物资种类、数量、存放地点、更新年限以及被指定作为预备转产、扩产的有关企业的名单、生产能力。</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安委会一般每两年组织一次突发公共事件应急物资能力调查。</w:t>
      </w:r>
    </w:p>
    <w:p>
      <w:pPr>
        <w:spacing w:line="360" w:lineRule="auto"/>
        <w:ind w:firstLine="560" w:firstLineChars="200"/>
        <w:outlineLvl w:val="1"/>
        <w:rPr>
          <w:rFonts w:hint="default" w:ascii="Times New Roman" w:hAnsi="Times New Roman" w:cs="Times New Roman"/>
          <w:sz w:val="28"/>
          <w:szCs w:val="28"/>
        </w:rPr>
      </w:pPr>
      <w:bookmarkStart w:id="39" w:name="_Toc16918"/>
      <w:r>
        <w:rPr>
          <w:rFonts w:hint="default" w:ascii="Times New Roman" w:hAnsi="Times New Roman" w:cs="Times New Roman"/>
          <w:sz w:val="28"/>
          <w:szCs w:val="28"/>
        </w:rPr>
        <w:t>5.4医疗卫生保障</w:t>
      </w:r>
      <w:bookmarkEnd w:id="39"/>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社会治理和社会事业局负责协调组织医院、卫生院等医疗卫生机构，组建应急专业技术队伍，根据需要及时赶赴现场开展医疗救治、疾病预防控制、卫生监督等卫生应急工作；会同有关部门建立动态数据库，明确医疗卫生保障工作目标，确定医疗救治和疾病预防控制机构的数量、分布和救治能力等，并拟订医疗救护保障计划，做好各类突发公共事件的医疗救治、疫病预防控制队伍和医疗卫生设备、物资的准备等。</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突发公共事件后，派出所和交警中队负责组织医疗救护队伍迅速进入救灾现场，对伤员进行应急救治和现场卫生防疫处置，尽最大可能减少伤亡、中毒和疫病的流行发生，消除恐惧心理。对危险化学品事故、放射性污染事故的伤员，及时安排到相应的专业医院救治。各级急救医疗机构按照职责分工，负责做好院前急救工作，红十字会等社会救援组织积极配合专业医疗队伍，开展群众性卫生工作。各级疾病预防控制机构负责做好有关卫生防疫工作。</w:t>
      </w:r>
    </w:p>
    <w:p>
      <w:pPr>
        <w:spacing w:line="360" w:lineRule="auto"/>
        <w:ind w:firstLine="560" w:firstLineChars="200"/>
        <w:outlineLvl w:val="1"/>
        <w:rPr>
          <w:rFonts w:hint="default" w:ascii="Times New Roman" w:hAnsi="Times New Roman" w:cs="Times New Roman"/>
          <w:sz w:val="28"/>
          <w:szCs w:val="28"/>
        </w:rPr>
      </w:pPr>
      <w:bookmarkStart w:id="40" w:name="_Toc28096"/>
      <w:r>
        <w:rPr>
          <w:rFonts w:hint="default" w:ascii="Times New Roman" w:hAnsi="Times New Roman" w:cs="Times New Roman"/>
          <w:sz w:val="28"/>
          <w:szCs w:val="28"/>
        </w:rPr>
        <w:t>5.5交通运输保障</w:t>
      </w:r>
      <w:bookmarkEnd w:id="40"/>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突发公共事件后，交警中队负责应急处置交通保障的组织、实施。要及时对现场和相关通道实行交通管制，组织开通应急救援“绿色通道”，负责交通工具的保障，确保救灾物资、器材和人员的紧急输送。道路、市政设施受损时，要迅速组织有关部门和专业队伍进行抢修，尽快恢复良好状态。</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安监办必须全力以赴，确保应急指挥、救援人员和物资、器材、装备的优先输送，满足应急处置工作的需要。</w:t>
      </w:r>
    </w:p>
    <w:p>
      <w:pPr>
        <w:spacing w:line="360" w:lineRule="auto"/>
        <w:ind w:firstLine="560" w:firstLineChars="200"/>
        <w:outlineLvl w:val="1"/>
        <w:rPr>
          <w:rFonts w:hint="default" w:ascii="Times New Roman" w:hAnsi="Times New Roman" w:cs="Times New Roman"/>
          <w:sz w:val="28"/>
          <w:szCs w:val="28"/>
        </w:rPr>
      </w:pPr>
      <w:bookmarkStart w:id="41" w:name="_Toc32141"/>
      <w:r>
        <w:rPr>
          <w:rFonts w:hint="default" w:ascii="Times New Roman" w:hAnsi="Times New Roman" w:cs="Times New Roman"/>
          <w:sz w:val="28"/>
          <w:szCs w:val="28"/>
        </w:rPr>
        <w:t>5.6治安维护</w:t>
      </w:r>
      <w:bookmarkEnd w:id="41"/>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突发公共事件后，交警中队、派出所等部门迅速组织事发现场的治安警戒和治安管理，在事发现场设立警戒区和警戒哨，维护秩序，严惩趁机打劫和制造事端的犯罪行为，加强对重点地区、重点场所、重点人群、重要物资设备的防护，必要时及时疏散受灾群众。社区保安队伍协助专业队伍维护社会治安。</w:t>
      </w:r>
    </w:p>
    <w:p>
      <w:pPr>
        <w:spacing w:line="360" w:lineRule="auto"/>
        <w:ind w:firstLine="560" w:firstLineChars="200"/>
        <w:outlineLvl w:val="1"/>
        <w:rPr>
          <w:rFonts w:hint="default" w:ascii="Times New Roman" w:hAnsi="Times New Roman" w:cs="Times New Roman"/>
          <w:sz w:val="28"/>
          <w:szCs w:val="28"/>
        </w:rPr>
      </w:pPr>
      <w:bookmarkStart w:id="42" w:name="_Toc12473"/>
      <w:r>
        <w:rPr>
          <w:rFonts w:hint="default" w:ascii="Times New Roman" w:hAnsi="Times New Roman" w:cs="Times New Roman"/>
          <w:sz w:val="28"/>
          <w:szCs w:val="28"/>
        </w:rPr>
        <w:t>5.7人员防护</w:t>
      </w:r>
      <w:bookmarkEnd w:id="42"/>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建管所在实施城市规划和城市公用设施建设时，应当按照平战结合的原则，根据经济社会发展实际情况，规划、建设突发公共事件紧急避难场所。相关部门要完善紧急疏散管理办法和程序，明确各级责任人，确保在紧急情况下公众安全、有序地转移或疏散。</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各有关部门要为涉险人员和应急救援人员提供符合要求的安全防护装备，采取必要的防护措施，严格按照程序开展应急救援工作，确保人员安全。</w:t>
      </w:r>
    </w:p>
    <w:p>
      <w:pPr>
        <w:spacing w:line="360" w:lineRule="auto"/>
        <w:ind w:firstLine="560" w:firstLineChars="200"/>
        <w:outlineLvl w:val="1"/>
        <w:rPr>
          <w:rFonts w:hint="default" w:ascii="Times New Roman" w:hAnsi="Times New Roman" w:cs="Times New Roman"/>
          <w:sz w:val="28"/>
          <w:szCs w:val="28"/>
        </w:rPr>
      </w:pPr>
      <w:bookmarkStart w:id="43" w:name="_Toc24238"/>
      <w:r>
        <w:rPr>
          <w:rFonts w:hint="default" w:ascii="Times New Roman" w:hAnsi="Times New Roman" w:cs="Times New Roman"/>
          <w:sz w:val="28"/>
          <w:szCs w:val="28"/>
        </w:rPr>
        <w:t>5.8通信与信息保障</w:t>
      </w:r>
      <w:bookmarkEnd w:id="43"/>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办在整合各职能部门专业通信网的基础上，建立跨部门、多手段、多路由，有线和无线相结合的反应快速、灵活机动、稳定可靠的应急通信系统。电信、移动、联通等通信运营企业，负责各自网络内突发公共事件应急通信保障工作，及时检查应急通信状况，做好应急通信物资储备和应急通信设备的保管与维护，确保应急指挥通信畅通。</w:t>
      </w:r>
    </w:p>
    <w:p>
      <w:pPr>
        <w:spacing w:line="360" w:lineRule="auto"/>
        <w:ind w:firstLine="560" w:firstLineChars="200"/>
        <w:outlineLvl w:val="1"/>
        <w:rPr>
          <w:rFonts w:hint="default" w:ascii="Times New Roman" w:hAnsi="Times New Roman" w:cs="Times New Roman"/>
          <w:color w:val="000000"/>
          <w:kern w:val="0"/>
          <w:sz w:val="28"/>
          <w:szCs w:val="28"/>
        </w:rPr>
      </w:pPr>
      <w:bookmarkStart w:id="44" w:name="_Toc28883"/>
      <w:r>
        <w:rPr>
          <w:rFonts w:hint="default" w:ascii="Times New Roman" w:hAnsi="Times New Roman" w:cs="Times New Roman"/>
          <w:sz w:val="28"/>
          <w:szCs w:val="28"/>
        </w:rPr>
        <w:t>5.9公共设施</w:t>
      </w:r>
      <w:r>
        <w:rPr>
          <w:rFonts w:hint="default" w:ascii="Times New Roman" w:hAnsi="Times New Roman" w:cs="Times New Roman"/>
          <w:color w:val="333333"/>
          <w:szCs w:val="21"/>
          <w:shd w:val="clear" w:color="auto" w:fill="FFFFFF"/>
        </w:rPr>
        <w:br w:type="textWrapping"/>
      </w:r>
      <w:r>
        <w:rPr>
          <w:rFonts w:hint="default" w:ascii="Times New Roman" w:hAnsi="Times New Roman" w:cs="Times New Roman"/>
          <w:color w:val="333333"/>
          <w:szCs w:val="21"/>
          <w:shd w:val="clear" w:color="auto" w:fill="FFFFFF"/>
        </w:rPr>
        <w:t>　</w:t>
      </w:r>
      <w:r>
        <w:rPr>
          <w:rFonts w:hint="default" w:ascii="Times New Roman" w:hAnsi="Times New Roman" w:cs="Times New Roman"/>
          <w:color w:val="000000"/>
          <w:kern w:val="0"/>
          <w:sz w:val="28"/>
          <w:szCs w:val="28"/>
        </w:rPr>
        <w:t>　安委会其他有关部门要按照职责分工，分别负责煤、电、油、气、水的供给，以及废水、废气、固体废弃物等有害物质的监测和处理。交通、通信、水利、人防、电力、管道等基础设施建设应当充分考虑各类突发公共事件应急的需要并与之相适应。</w:t>
      </w:r>
      <w:bookmarkEnd w:id="44"/>
    </w:p>
    <w:p>
      <w:pPr>
        <w:spacing w:line="360" w:lineRule="auto"/>
        <w:ind w:firstLine="560" w:firstLineChars="200"/>
        <w:outlineLvl w:val="1"/>
        <w:rPr>
          <w:rFonts w:hint="default" w:ascii="Times New Roman" w:hAnsi="Times New Roman" w:cs="Times New Roman"/>
          <w:sz w:val="28"/>
          <w:szCs w:val="28"/>
        </w:rPr>
      </w:pPr>
      <w:bookmarkStart w:id="45" w:name="_Toc20236"/>
      <w:r>
        <w:rPr>
          <w:rFonts w:hint="default" w:ascii="Times New Roman" w:hAnsi="Times New Roman" w:cs="Times New Roman"/>
          <w:sz w:val="28"/>
          <w:szCs w:val="28"/>
        </w:rPr>
        <w:t>5.10现场救援和工程抢险装备保障</w:t>
      </w:r>
      <w:bookmarkEnd w:id="45"/>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突发公共事件后，安委会利用现场救援和工程抢险装备信息数据库，快速准确调度，在最短时间内，把各类现场救援和工程抢险装备组织到最有效部位，迅速开展应急处置工作。根据应急处置需要，对现场救援和工程抢险装备进行科学合理调配，确保能迅速切断灾害链，防止次生灾害产生和蔓延。</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现场救援和工程抢险装备保障方面，可发挥区域内生产型企业的作用，加强交流与合作。</w:t>
      </w:r>
    </w:p>
    <w:p>
      <w:pPr>
        <w:spacing w:line="360" w:lineRule="auto"/>
        <w:ind w:firstLine="560" w:firstLineChars="200"/>
        <w:outlineLvl w:val="1"/>
        <w:rPr>
          <w:rFonts w:hint="default" w:ascii="Times New Roman" w:hAnsi="Times New Roman" w:cs="Times New Roman"/>
          <w:sz w:val="28"/>
          <w:szCs w:val="28"/>
        </w:rPr>
      </w:pPr>
      <w:bookmarkStart w:id="46" w:name="_Toc31831"/>
      <w:r>
        <w:rPr>
          <w:rFonts w:hint="default" w:ascii="Times New Roman" w:hAnsi="Times New Roman" w:cs="Times New Roman"/>
          <w:sz w:val="28"/>
          <w:szCs w:val="28"/>
        </w:rPr>
        <w:t>5.11社会动员保障</w:t>
      </w:r>
      <w:bookmarkEnd w:id="46"/>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由本区域各共青团、红十字会、学校等牵头，组建突发公共事件应急处置志愿者队伍，事件发生后，积极开展自救互救。积极提倡和鼓励企事业单位、社会团体和个人捐助社会救济资金。</w:t>
      </w:r>
    </w:p>
    <w:p>
      <w:pPr>
        <w:spacing w:line="360" w:lineRule="auto"/>
        <w:ind w:firstLine="560" w:firstLineChars="200"/>
        <w:outlineLvl w:val="1"/>
        <w:rPr>
          <w:rFonts w:hint="default" w:ascii="Times New Roman" w:hAnsi="Times New Roman" w:cs="Times New Roman"/>
          <w:sz w:val="28"/>
          <w:szCs w:val="28"/>
        </w:rPr>
      </w:pPr>
      <w:bookmarkStart w:id="47" w:name="_Toc19141"/>
      <w:r>
        <w:rPr>
          <w:rFonts w:hint="default" w:ascii="Times New Roman" w:hAnsi="Times New Roman" w:cs="Times New Roman"/>
          <w:sz w:val="28"/>
          <w:szCs w:val="28"/>
        </w:rPr>
        <w:t>5.12技术储备与保障</w:t>
      </w:r>
      <w:bookmarkEnd w:id="47"/>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建立应急处置工作科学决策咨询机制。对灾害事故应急处置实施重大决策和行动时，充分发挥专家库和各类专家的作用，建立事故（灾害）后果评价系统，及时进行科学论证和咨询。要大力整合资源，加大公共安全监测、预测、预警、预防和应急处置技术研发的投入，不断改进技术装备，建立健全公共安全应急技术平台，提高公共安全科技水平。注意发挥企业在公共安全领域的研发作用。</w:t>
      </w: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rPr>
          <w:rFonts w:hint="default" w:ascii="Times New Roman" w:hAnsi="Times New Roman" w:cs="Times New Roman"/>
          <w:color w:val="000000"/>
          <w:kern w:val="0"/>
          <w:sz w:val="28"/>
          <w:szCs w:val="28"/>
        </w:rPr>
      </w:pPr>
    </w:p>
    <w:p>
      <w:pPr>
        <w:spacing w:line="360" w:lineRule="auto"/>
        <w:jc w:val="center"/>
        <w:outlineLvl w:val="0"/>
        <w:rPr>
          <w:rFonts w:hint="default" w:ascii="Times New Roman" w:hAnsi="Times New Roman" w:cs="Times New Roman"/>
          <w:b/>
          <w:sz w:val="28"/>
          <w:szCs w:val="28"/>
        </w:rPr>
      </w:pPr>
      <w:bookmarkStart w:id="48" w:name="_Toc4606"/>
      <w:r>
        <w:rPr>
          <w:rFonts w:hint="default" w:ascii="Times New Roman" w:hAnsi="Times New Roman" w:cs="Times New Roman"/>
          <w:b/>
          <w:sz w:val="28"/>
          <w:szCs w:val="28"/>
        </w:rPr>
        <w:t>6 后期处置</w:t>
      </w:r>
      <w:bookmarkEnd w:id="48"/>
    </w:p>
    <w:p>
      <w:pPr>
        <w:spacing w:line="360" w:lineRule="auto"/>
        <w:ind w:firstLine="560" w:firstLineChars="200"/>
        <w:outlineLvl w:val="1"/>
        <w:rPr>
          <w:rFonts w:hint="default" w:ascii="Times New Roman" w:hAnsi="Times New Roman" w:cs="Times New Roman"/>
          <w:sz w:val="28"/>
          <w:szCs w:val="28"/>
        </w:rPr>
      </w:pPr>
      <w:bookmarkStart w:id="49" w:name="_Toc17528"/>
      <w:r>
        <w:rPr>
          <w:rFonts w:hint="default" w:ascii="Times New Roman" w:hAnsi="Times New Roman" w:cs="Times New Roman"/>
          <w:sz w:val="28"/>
          <w:szCs w:val="28"/>
        </w:rPr>
        <w:t>6.1恢复与重建</w:t>
      </w:r>
      <w:bookmarkEnd w:id="49"/>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灾害事故发生后，安委会和有关部门应当迅速采取措施，救济救助灾民，恢复正常的经济社会秩序。</w:t>
      </w:r>
      <w:r>
        <w:rPr>
          <w:rFonts w:hint="default" w:ascii="Times New Roman" w:hAnsi="Times New Roman" w:cs="Times New Roman"/>
          <w:color w:val="000000"/>
          <w:kern w:val="0"/>
          <w:sz w:val="28"/>
          <w:szCs w:val="28"/>
          <w:lang w:eastAsia="zh-CN"/>
        </w:rPr>
        <w:t>综合行政执法局</w:t>
      </w:r>
      <w:r>
        <w:rPr>
          <w:rFonts w:hint="default" w:ascii="Times New Roman" w:hAnsi="Times New Roman" w:cs="Times New Roman"/>
          <w:color w:val="000000"/>
          <w:kern w:val="0"/>
          <w:sz w:val="28"/>
          <w:szCs w:val="28"/>
        </w:rPr>
        <w:t>、社会治理和社会事业局等部门迅速设立灾民安置场所和救济物资供应站，依法做好灾民安置和救灾款物的接受、发放、使用与管理工作，确保灾民的基本生活，并做好灾民及其家属的安抚工作。社会治理和社会事业局做好突发公共事件现场消毒与疫病防治的组织、指导工作以及突发公共事件现场污染物的收集、清理与处理工作，并加强对现场环境质量的监测。要及时归还紧急调集、征用的物资或占用的房屋、土地，不能及时归还或造成损失的，应当依照国家规定给予补偿。</w:t>
      </w:r>
    </w:p>
    <w:p>
      <w:pPr>
        <w:spacing w:line="360" w:lineRule="auto"/>
        <w:ind w:firstLine="560" w:firstLineChars="200"/>
        <w:outlineLvl w:val="1"/>
        <w:rPr>
          <w:rFonts w:hint="default" w:ascii="Times New Roman" w:hAnsi="Times New Roman" w:cs="Times New Roman"/>
          <w:sz w:val="28"/>
          <w:szCs w:val="28"/>
        </w:rPr>
      </w:pPr>
      <w:bookmarkStart w:id="50" w:name="_Toc30094"/>
      <w:r>
        <w:rPr>
          <w:rFonts w:hint="default" w:ascii="Times New Roman" w:hAnsi="Times New Roman" w:cs="Times New Roman"/>
          <w:sz w:val="28"/>
          <w:szCs w:val="28"/>
        </w:rPr>
        <w:t>6.2社会救助</w:t>
      </w:r>
      <w:bookmarkEnd w:id="50"/>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根据救灾工作需要，在一定范围内组织动员社会各界开展救灾捐赠活动，民政部门、红十字会和慈善机构发动社会、个人或境外机构展开救援，并按有关规定负责管理捐赠款物的接受、分配、运输、发放工作。</w:t>
      </w:r>
    </w:p>
    <w:p>
      <w:pPr>
        <w:spacing w:line="360" w:lineRule="auto"/>
        <w:ind w:firstLine="560" w:firstLineChars="200"/>
        <w:outlineLvl w:val="1"/>
        <w:rPr>
          <w:rFonts w:hint="default" w:ascii="Times New Roman" w:hAnsi="Times New Roman" w:cs="Times New Roman"/>
          <w:sz w:val="28"/>
          <w:szCs w:val="28"/>
        </w:rPr>
      </w:pPr>
      <w:bookmarkStart w:id="51" w:name="_Toc9707"/>
      <w:r>
        <w:rPr>
          <w:rFonts w:hint="default" w:ascii="Times New Roman" w:hAnsi="Times New Roman" w:cs="Times New Roman"/>
          <w:sz w:val="28"/>
          <w:szCs w:val="28"/>
        </w:rPr>
        <w:t>6.3保险</w:t>
      </w:r>
      <w:bookmarkEnd w:id="51"/>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保险机构要在第一时间对突发公共事件造成的损失进行评估、审核和确认，抓紧进行理赔。鼓励灾害事故责任单位、各级政府、保险公司和群众积极参与灾害事故保险。</w:t>
      </w:r>
    </w:p>
    <w:p>
      <w:pPr>
        <w:spacing w:line="360" w:lineRule="auto"/>
        <w:ind w:firstLine="560" w:firstLineChars="200"/>
        <w:outlineLvl w:val="1"/>
        <w:rPr>
          <w:rFonts w:hint="default" w:ascii="Times New Roman" w:hAnsi="Times New Roman" w:cs="Times New Roman"/>
          <w:sz w:val="28"/>
          <w:szCs w:val="28"/>
        </w:rPr>
      </w:pPr>
      <w:bookmarkStart w:id="52" w:name="_Toc12903"/>
      <w:r>
        <w:rPr>
          <w:rFonts w:hint="default" w:ascii="Times New Roman" w:hAnsi="Times New Roman" w:cs="Times New Roman"/>
          <w:sz w:val="28"/>
          <w:szCs w:val="28"/>
        </w:rPr>
        <w:t>6.4调查总结和评估</w:t>
      </w:r>
      <w:bookmarkEnd w:id="52"/>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及时按照法定程序组织事件调查，提出调查报告。应当包括：事件发生过程；伤亡情况，所造成的政治、经济和社会等方面的影响；分析事件产生的原因，明确责任者的责任及对责任者的处理建议；提出今后应采取的防范措施和恢复重建等建议。</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发生的特别重大、重大或较大突发公共事件，安委会应当配合上级政府做好总结调查工作。安委会办公室组织有关部门于每年第一季度对上年度发生的突发公共事件进行全面评估，并向安委会汇报。</w:t>
      </w: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jc w:val="center"/>
        <w:outlineLvl w:val="0"/>
        <w:rPr>
          <w:rFonts w:hint="default" w:ascii="Times New Roman" w:hAnsi="Times New Roman" w:cs="Times New Roman"/>
          <w:b/>
          <w:sz w:val="28"/>
          <w:szCs w:val="28"/>
        </w:rPr>
      </w:pPr>
      <w:bookmarkStart w:id="53" w:name="_Toc15084"/>
      <w:r>
        <w:rPr>
          <w:rFonts w:hint="default" w:ascii="Times New Roman" w:hAnsi="Times New Roman" w:cs="Times New Roman"/>
          <w:b/>
          <w:sz w:val="28"/>
          <w:szCs w:val="28"/>
        </w:rPr>
        <w:t>7 教育、演习和监督管理</w:t>
      </w:r>
      <w:bookmarkEnd w:id="53"/>
    </w:p>
    <w:p>
      <w:pPr>
        <w:spacing w:line="360" w:lineRule="auto"/>
        <w:ind w:firstLine="560" w:firstLineChars="200"/>
        <w:outlineLvl w:val="1"/>
        <w:rPr>
          <w:rFonts w:hint="default" w:ascii="Times New Roman" w:hAnsi="Times New Roman" w:cs="Times New Roman"/>
          <w:sz w:val="28"/>
          <w:szCs w:val="28"/>
        </w:rPr>
      </w:pPr>
      <w:bookmarkStart w:id="54" w:name="_Toc17246"/>
      <w:r>
        <w:rPr>
          <w:rFonts w:hint="default" w:ascii="Times New Roman" w:hAnsi="Times New Roman" w:cs="Times New Roman"/>
          <w:sz w:val="28"/>
          <w:szCs w:val="28"/>
        </w:rPr>
        <w:t>7.1演习演练</w:t>
      </w:r>
      <w:bookmarkEnd w:id="54"/>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安委会协同相关应急指挥机构制定应急演练计划，定期组织突发公共事件应急处置综合或专项演练。应急演练时，邀请上级应急救援中心参与监督。演练要从实战角度出发，深入发动和依靠群众，普及防灾减灾知识和技能，切实提高应急救援能力。</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应急演练结束后，对演练进行全面总结和评价。总结报告应当包括演练地点、时间、气象条件等背景信息；演练方案和演练情景；参与演练的应急组织；演练目标和演练的范围；演练过程等基本内容。演练的评价包括对存在缺陷的评述和应急预案的完善、应急设施维护与更新等方面的意见和建议。</w:t>
      </w:r>
    </w:p>
    <w:p>
      <w:pPr>
        <w:spacing w:line="360" w:lineRule="auto"/>
        <w:ind w:firstLine="560" w:firstLineChars="200"/>
        <w:outlineLvl w:val="1"/>
        <w:rPr>
          <w:rFonts w:hint="default" w:ascii="Times New Roman" w:hAnsi="Times New Roman" w:cs="Times New Roman"/>
          <w:sz w:val="28"/>
          <w:szCs w:val="28"/>
        </w:rPr>
      </w:pPr>
      <w:bookmarkStart w:id="55" w:name="_Toc52"/>
      <w:r>
        <w:rPr>
          <w:rFonts w:hint="default" w:ascii="Times New Roman" w:hAnsi="Times New Roman" w:cs="Times New Roman"/>
          <w:sz w:val="28"/>
          <w:szCs w:val="28"/>
        </w:rPr>
        <w:t>7.2宣传教育和培训</w:t>
      </w:r>
      <w:bookmarkEnd w:id="55"/>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lang w:eastAsia="zh-CN"/>
        </w:rPr>
        <w:t>综合行政执法局</w:t>
      </w:r>
      <w:r>
        <w:rPr>
          <w:rFonts w:hint="default" w:ascii="Times New Roman" w:hAnsi="Times New Roman" w:cs="Times New Roman"/>
          <w:color w:val="000000"/>
          <w:kern w:val="0"/>
          <w:sz w:val="28"/>
          <w:szCs w:val="28"/>
        </w:rPr>
        <w:t>、社会治理和社会事业局、总工会、</w:t>
      </w:r>
      <w:r>
        <w:rPr>
          <w:rFonts w:hint="default" w:ascii="Times New Roman" w:hAnsi="Times New Roman" w:cs="Times New Roman"/>
          <w:color w:val="000000"/>
          <w:kern w:val="0"/>
          <w:sz w:val="28"/>
          <w:szCs w:val="28"/>
          <w:lang w:eastAsia="zh-CN"/>
        </w:rPr>
        <w:t>经发局</w:t>
      </w:r>
      <w:r>
        <w:rPr>
          <w:rFonts w:hint="default" w:ascii="Times New Roman" w:hAnsi="Times New Roman" w:cs="Times New Roman"/>
          <w:color w:val="000000"/>
          <w:kern w:val="0"/>
          <w:sz w:val="28"/>
          <w:szCs w:val="28"/>
        </w:rPr>
        <w:t>等部门，要通过各种媒体，采取多种形式，广泛宣传应急法律、法规和预防、避险、自救、互救、减灾等知识和技能，并有组织、有计划地为公民提供减灾知识和技能培训。要把正确应对和处理突发公共事件作为在校学生安全教育的重要内容，制定教育计划，有针对性地开展形式多样的教育活动。防灾减灾教育培训应当纳入党政领导干部培训内容。</w:t>
      </w:r>
    </w:p>
    <w:p>
      <w:pPr>
        <w:spacing w:line="360" w:lineRule="auto"/>
        <w:ind w:firstLine="560" w:firstLineChars="200"/>
        <w:outlineLvl w:val="1"/>
        <w:rPr>
          <w:rFonts w:hint="default" w:ascii="Times New Roman" w:hAnsi="Times New Roman" w:cs="Times New Roman"/>
          <w:sz w:val="28"/>
          <w:szCs w:val="28"/>
        </w:rPr>
      </w:pPr>
      <w:bookmarkStart w:id="56" w:name="_Toc21150"/>
      <w:r>
        <w:rPr>
          <w:rFonts w:hint="default" w:ascii="Times New Roman" w:hAnsi="Times New Roman" w:cs="Times New Roman"/>
          <w:sz w:val="28"/>
          <w:szCs w:val="28"/>
        </w:rPr>
        <w:t>7.3责任与奖惩</w:t>
      </w:r>
      <w:bookmarkEnd w:id="56"/>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突发公共事件应急处置工作实行行政领导负责制和责任追究制。对在突发公共事件应急管理工作中作出突出贡献的先进集体和个人要给予表彰和奖励。安委会有关主管部门在突发公共事件应急管理工作中有下列行为之一的，依法依纪对有关责任人员给予行政处分，构成犯罪的，依法追究刑事责任：</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（1）未依照规定履行报告职责，迟报、瞒报、漏报和谎报或者授意他人迟报、瞒报、漏报和谎报突发公共事件重要情况的；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（2）未依照规定完成突发公共事件应急处置所需设施、设备、急需物资的生产、供应、运输和储备的；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（3）突发公共事件发生后，对上级人民政府有关部门的调查不予配合，或者采取其他方式阻碍、干涉调查的；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（4）在突发公共事件调查、控制、救治工作中玩忽职守、失职、渎职的；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（5）有关部门应履行而拒不履行应急处理职责的；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（6）有其他失职、渎职行为的。</w:t>
      </w: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jc w:val="center"/>
        <w:outlineLvl w:val="0"/>
        <w:rPr>
          <w:rFonts w:hint="default" w:ascii="Times New Roman" w:hAnsi="Times New Roman" w:cs="Times New Roman"/>
          <w:b/>
          <w:sz w:val="28"/>
          <w:szCs w:val="28"/>
        </w:rPr>
      </w:pPr>
      <w:bookmarkStart w:id="57" w:name="_Toc24142"/>
      <w:r>
        <w:rPr>
          <w:rFonts w:hint="default" w:ascii="Times New Roman" w:hAnsi="Times New Roman" w:cs="Times New Roman"/>
          <w:b/>
          <w:sz w:val="28"/>
          <w:szCs w:val="28"/>
        </w:rPr>
        <w:t>8 附则</w:t>
      </w:r>
      <w:bookmarkEnd w:id="57"/>
    </w:p>
    <w:p>
      <w:pPr>
        <w:spacing w:line="520" w:lineRule="exact"/>
        <w:ind w:firstLine="560" w:firstLineChars="200"/>
        <w:outlineLvl w:val="1"/>
        <w:rPr>
          <w:rFonts w:hint="default" w:ascii="Times New Roman" w:hAnsi="Times New Roman" w:cs="Times New Roman"/>
          <w:sz w:val="28"/>
          <w:szCs w:val="28"/>
        </w:rPr>
      </w:pPr>
      <w:bookmarkStart w:id="58" w:name="_Toc6502"/>
      <w:r>
        <w:rPr>
          <w:rFonts w:hint="default" w:ascii="Times New Roman" w:hAnsi="Times New Roman" w:cs="Times New Roman"/>
          <w:sz w:val="28"/>
          <w:szCs w:val="28"/>
        </w:rPr>
        <w:t>8.1制定与解释</w:t>
      </w:r>
      <w:bookmarkEnd w:id="58"/>
    </w:p>
    <w:p>
      <w:pPr>
        <w:spacing w:line="520" w:lineRule="exact"/>
        <w:ind w:firstLine="560" w:firstLineChars="200"/>
        <w:outlineLvl w:val="2"/>
        <w:rPr>
          <w:rFonts w:hint="default" w:ascii="Times New Roman" w:hAnsi="Times New Roman" w:cs="Times New Roman"/>
          <w:sz w:val="28"/>
          <w:szCs w:val="28"/>
        </w:rPr>
      </w:pPr>
      <w:bookmarkStart w:id="59" w:name="_Toc22740"/>
      <w:r>
        <w:rPr>
          <w:rFonts w:hint="default" w:ascii="Times New Roman" w:hAnsi="Times New Roman" w:cs="Times New Roman"/>
          <w:sz w:val="28"/>
          <w:szCs w:val="28"/>
        </w:rPr>
        <w:t>8.1.1预案制定与实施</w:t>
      </w:r>
      <w:bookmarkEnd w:id="59"/>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本预案由太仓市城厢镇安委会制定并根据实际情况变化及时修订，由太仓市城厢镇安委会负责解释并组织实施。</w:t>
      </w:r>
    </w:p>
    <w:p>
      <w:pPr>
        <w:spacing w:line="520" w:lineRule="exact"/>
        <w:ind w:firstLine="560" w:firstLineChars="200"/>
        <w:outlineLvl w:val="2"/>
        <w:rPr>
          <w:rFonts w:hint="default" w:ascii="Times New Roman" w:hAnsi="Times New Roman" w:cs="Times New Roman"/>
          <w:sz w:val="28"/>
          <w:szCs w:val="28"/>
        </w:rPr>
      </w:pPr>
      <w:bookmarkStart w:id="60" w:name="_Toc26331"/>
      <w:r>
        <w:rPr>
          <w:rFonts w:hint="default" w:ascii="Times New Roman" w:hAnsi="Times New Roman" w:cs="Times New Roman"/>
          <w:sz w:val="28"/>
          <w:szCs w:val="28"/>
        </w:rPr>
        <w:t>8.1.2名词解释</w:t>
      </w:r>
      <w:bookmarkEnd w:id="60"/>
    </w:p>
    <w:p>
      <w:pPr>
        <w:spacing w:line="520" w:lineRule="exact"/>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（1）突发公共事件</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指突然发生，造成或者可能造成重大伤亡、重大财产损失和重大社会影响，危及公共安全的事件。</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（2）应急预案</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针对可能发生的事故，为迅速、有序地开展应急行动而预先制定的行动方案。</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（3）应急准备</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针对可能发生的事故，为迅速、有序地开展应急行动而预先进行的组织准备和应急保障。</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（4）预警</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灾害或灾难以及其他需要提防的危险发生之前，根据以往的总结的规律或观测得到的可能性前兆，向相关部门或人员发出紧急信号，报告危险情况，以避免危害在不知情或准备不足的的情况下发生，从而最大程度地减低危害所造成的损失的行为。</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（5）应急响应</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事故发生后，有关组织或人员采取的应急行动。</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 xml:space="preserve">（6）应急救援 </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应急响应过程中，为消除、减少事故危害，防止事故扩大或恶化，最大限度地降低事故造成的损失或危害而采取的救援措施或行动。</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（7）应急保障</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是在预案实施过程中涉及到的由指挥系统、通信、现场救援和工程抢险装备、应急队伍、交通运输、医疗卫生、治安、物资、资金和应急避难场所等的支援。</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（8）应急储备资金</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是根据《中华人民共和国预算法》有关条款，每年按照财政支出额的适当比例安排政府预备费，主要作为公共财政应急储备资金。</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（9）应急专项准备资金</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是安委会和财政部门在一般支出预算“其他支出”中增设的应对突发公共事件的专项准备资金。</w:t>
      </w:r>
    </w:p>
    <w:p>
      <w:pPr>
        <w:spacing w:line="360" w:lineRule="auto"/>
        <w:ind w:firstLine="560" w:firstLineChars="200"/>
        <w:outlineLvl w:val="1"/>
        <w:rPr>
          <w:rFonts w:hint="default" w:ascii="Times New Roman" w:hAnsi="Times New Roman" w:cs="Times New Roman"/>
          <w:sz w:val="28"/>
          <w:szCs w:val="28"/>
        </w:rPr>
      </w:pPr>
      <w:bookmarkStart w:id="61" w:name="_Toc15490"/>
      <w:r>
        <w:rPr>
          <w:rFonts w:hint="default" w:ascii="Times New Roman" w:hAnsi="Times New Roman" w:cs="Times New Roman"/>
          <w:sz w:val="28"/>
          <w:szCs w:val="28"/>
        </w:rPr>
        <w:t>8.2  预案管理与更新</w:t>
      </w:r>
      <w:bookmarkEnd w:id="61"/>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本预案由太仓市城厢镇安委会组织制定，安委会、安委办负责管理与实施。有关部门按照预案的要求履行各自职责，并制定相应的预案和保障计划。</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color w:val="000000"/>
          <w:kern w:val="0"/>
          <w:sz w:val="28"/>
          <w:szCs w:val="28"/>
        </w:rPr>
        <w:t>当本预案所依据的法律法规、部门职责或应急资源发生变化，或者在应急过程中发现存在问题和出现新的情况，安委会应及时修订完善本预案。</w:t>
      </w:r>
    </w:p>
    <w:p>
      <w:pPr>
        <w:spacing w:line="360" w:lineRule="auto"/>
        <w:ind w:firstLine="560" w:firstLineChars="200"/>
        <w:outlineLvl w:val="1"/>
        <w:rPr>
          <w:rFonts w:hint="default" w:ascii="Times New Roman" w:hAnsi="Times New Roman" w:cs="Times New Roman"/>
          <w:sz w:val="28"/>
          <w:szCs w:val="28"/>
        </w:rPr>
      </w:pPr>
      <w:bookmarkStart w:id="62" w:name="_Toc20042"/>
      <w:r>
        <w:rPr>
          <w:rFonts w:hint="default" w:ascii="Times New Roman" w:hAnsi="Times New Roman" w:cs="Times New Roman"/>
          <w:sz w:val="28"/>
          <w:szCs w:val="28"/>
        </w:rPr>
        <w:t>8.3  实施时间</w:t>
      </w:r>
      <w:bookmarkEnd w:id="62"/>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本预案自发布之日起施行。</w:t>
      </w: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ind w:firstLine="560" w:firstLineChars="200"/>
        <w:rPr>
          <w:rFonts w:hint="default" w:ascii="Times New Roman" w:hAnsi="Times New Roman" w:cs="Times New Roman"/>
          <w:color w:val="000000"/>
          <w:kern w:val="0"/>
          <w:sz w:val="28"/>
          <w:szCs w:val="28"/>
        </w:rPr>
      </w:pPr>
    </w:p>
    <w:p>
      <w:pPr>
        <w:spacing w:line="360" w:lineRule="auto"/>
        <w:jc w:val="center"/>
        <w:outlineLvl w:val="0"/>
        <w:rPr>
          <w:rFonts w:hint="default" w:ascii="Times New Roman" w:hAnsi="Times New Roman" w:cs="Times New Roman"/>
          <w:b/>
          <w:sz w:val="28"/>
          <w:szCs w:val="28"/>
        </w:rPr>
      </w:pPr>
      <w:bookmarkStart w:id="63" w:name="_Toc27372"/>
      <w:r>
        <w:rPr>
          <w:rFonts w:hint="default" w:ascii="Times New Roman" w:hAnsi="Times New Roman" w:cs="Times New Roman"/>
          <w:b/>
          <w:sz w:val="28"/>
          <w:szCs w:val="28"/>
        </w:rPr>
        <w:t>9 附件</w:t>
      </w:r>
      <w:bookmarkEnd w:id="63"/>
    </w:p>
    <w:p>
      <w:pPr>
        <w:spacing w:line="360" w:lineRule="auto"/>
        <w:ind w:firstLine="560" w:firstLineChars="200"/>
        <w:outlineLvl w:val="1"/>
        <w:rPr>
          <w:rFonts w:hint="default" w:ascii="Times New Roman" w:hAnsi="Times New Roman" w:cs="Times New Roman"/>
          <w:sz w:val="28"/>
          <w:szCs w:val="28"/>
        </w:rPr>
      </w:pPr>
      <w:bookmarkStart w:id="64" w:name="_Toc16519"/>
      <w:r>
        <w:rPr>
          <w:rFonts w:hint="default" w:ascii="Times New Roman" w:hAnsi="Times New Roman" w:cs="Times New Roman"/>
          <w:sz w:val="28"/>
          <w:szCs w:val="28"/>
        </w:rPr>
        <w:t>9.1特别重大、重大和较大突发公共事件分级标准（试行）</w:t>
      </w:r>
      <w:bookmarkEnd w:id="64"/>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参照《苏州市突发公共事件总体应急预案》关于特别重大、重大和较大突发公共事件分类标准（试行）的规定，作为安委会各部门报送特别重大、重大以及较大突发公共事件信息的标准，并作为分级处置各类突发公共事件的依据。</w:t>
      </w:r>
    </w:p>
    <w:p>
      <w:pPr>
        <w:spacing w:line="360" w:lineRule="auto"/>
        <w:ind w:firstLine="560" w:firstLineChars="200"/>
        <w:rPr>
          <w:rFonts w:hint="default" w:ascii="Times New Roman" w:hAnsi="Times New Roman" w:cs="Times New Roman"/>
          <w:color w:val="000000"/>
          <w:kern w:val="0"/>
          <w:sz w:val="28"/>
          <w:szCs w:val="28"/>
        </w:rPr>
      </w:pPr>
      <w:bookmarkStart w:id="65" w:name="_Toc387222921"/>
      <w:r>
        <w:rPr>
          <w:rFonts w:hint="default" w:ascii="Times New Roman" w:hAnsi="Times New Roman" w:cs="Times New Roman"/>
          <w:color w:val="000000"/>
          <w:kern w:val="0"/>
          <w:sz w:val="28"/>
          <w:szCs w:val="28"/>
        </w:rPr>
        <w:t>一、自然灾害类</w:t>
      </w:r>
      <w:bookmarkEnd w:id="65"/>
    </w:p>
    <w:p>
      <w:pPr>
        <w:spacing w:line="360" w:lineRule="auto"/>
        <w:ind w:firstLine="560" w:firstLineChars="200"/>
        <w:rPr>
          <w:rFonts w:hint="default" w:ascii="Times New Roman" w:hAnsi="Times New Roman" w:cs="Times New Roman"/>
          <w:color w:val="000000"/>
          <w:kern w:val="0"/>
          <w:sz w:val="28"/>
          <w:szCs w:val="28"/>
        </w:rPr>
      </w:pPr>
      <w:bookmarkStart w:id="66" w:name="_Toc387222922"/>
      <w:r>
        <w:rPr>
          <w:rFonts w:hint="default" w:ascii="Times New Roman" w:hAnsi="Times New Roman" w:cs="Times New Roman"/>
          <w:color w:val="000000"/>
          <w:kern w:val="0"/>
          <w:sz w:val="28"/>
          <w:szCs w:val="28"/>
        </w:rPr>
        <w:t>（一）水旱灾害</w:t>
      </w:r>
      <w:bookmarkEnd w:id="66"/>
    </w:p>
    <w:p>
      <w:pPr>
        <w:keepNext w:val="0"/>
        <w:keepLines w:val="0"/>
        <w:pageBreakBefore w:val="0"/>
        <w:widowControl w:val="0"/>
        <w:numPr>
          <w:ilvl w:val="0"/>
          <w:numId w:val="1"/>
        </w:numPr>
        <w:tabs>
          <w:tab w:val="left" w:pos="1321"/>
          <w:tab w:val="clear" w:pos="900"/>
        </w:tabs>
        <w:kinsoku/>
        <w:wordWrap/>
        <w:overflowPunct/>
        <w:topLinePunct w:val="0"/>
        <w:autoSpaceDE/>
        <w:autoSpaceDN/>
        <w:bidi w:val="0"/>
        <w:adjustRightInd/>
        <w:snapToGrid/>
        <w:spacing w:line="360" w:lineRule="auto"/>
        <w:ind w:left="760" w:hanging="420"/>
        <w:textAlignment w:val="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特别重大水旱灾害包括：</w:t>
      </w:r>
    </w:p>
    <w:p>
      <w:pPr>
        <w:numPr>
          <w:ilvl w:val="0"/>
          <w:numId w:val="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重要河段及河海堤防发生决口，造成30人以上死亡（含失踪）；</w:t>
      </w:r>
    </w:p>
    <w:p>
      <w:pPr>
        <w:numPr>
          <w:ilvl w:val="0"/>
          <w:numId w:val="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洪水造成铁路干线、国家高速公路网和主要航道中断，48小时无法恢复通行；</w:t>
      </w:r>
    </w:p>
    <w:p>
      <w:pPr>
        <w:numPr>
          <w:ilvl w:val="0"/>
          <w:numId w:val="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包括本区域在内的多个街道发生极度干旱。</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760" w:hanging="420"/>
        <w:textAlignment w:val="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重大水旱灾害包括：</w:t>
      </w:r>
    </w:p>
    <w:p>
      <w:pPr>
        <w:numPr>
          <w:ilvl w:val="0"/>
          <w:numId w:val="3"/>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重要河段及河海堤防发生决口或出现重大险情；</w:t>
      </w:r>
    </w:p>
    <w:p>
      <w:pPr>
        <w:numPr>
          <w:ilvl w:val="0"/>
          <w:numId w:val="3"/>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包括本区域在内的多个街道发生严重洪涝灾害；</w:t>
      </w:r>
    </w:p>
    <w:p>
      <w:pPr>
        <w:numPr>
          <w:ilvl w:val="0"/>
          <w:numId w:val="3"/>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洪水造成铁路干线、国家高速公路网和主要航道通行中断，24小时无法恢复通行；</w:t>
      </w:r>
    </w:p>
    <w:p>
      <w:pPr>
        <w:numPr>
          <w:ilvl w:val="0"/>
          <w:numId w:val="3"/>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包括本区域在内的多个街道发生特大干旱。</w:t>
      </w:r>
    </w:p>
    <w:p>
      <w:pPr>
        <w:keepNext w:val="0"/>
        <w:keepLines w:val="0"/>
        <w:pageBreakBefore w:val="0"/>
        <w:widowControl w:val="0"/>
        <w:numPr>
          <w:ilvl w:val="0"/>
          <w:numId w:val="1"/>
        </w:numPr>
        <w:tabs>
          <w:tab w:val="left" w:pos="1321"/>
        </w:tabs>
        <w:kinsoku/>
        <w:wordWrap/>
        <w:overflowPunct/>
        <w:topLinePunct w:val="0"/>
        <w:autoSpaceDE/>
        <w:autoSpaceDN/>
        <w:bidi w:val="0"/>
        <w:adjustRightInd/>
        <w:snapToGrid/>
        <w:spacing w:line="360" w:lineRule="auto"/>
        <w:ind w:left="760" w:hanging="420"/>
        <w:textAlignment w:val="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较大水旱灾害包括：</w:t>
      </w:r>
    </w:p>
    <w:p>
      <w:pPr>
        <w:numPr>
          <w:ilvl w:val="0"/>
          <w:numId w:val="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本区域境内河段堤防发生决口或出现重大险情；</w:t>
      </w:r>
    </w:p>
    <w:p>
      <w:pPr>
        <w:numPr>
          <w:ilvl w:val="0"/>
          <w:numId w:val="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本区域多处发生严重洪涝灾害和干旱；</w:t>
      </w:r>
    </w:p>
    <w:p>
      <w:pPr>
        <w:numPr>
          <w:ilvl w:val="0"/>
          <w:numId w:val="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洪水造成铁路干线、国家高速公路网和航道通行中断，12小时无法恢复通行；</w:t>
      </w:r>
    </w:p>
    <w:p>
      <w:pPr>
        <w:numPr>
          <w:ilvl w:val="0"/>
          <w:numId w:val="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农作物受涝或受旱面积60万亩以上，或农作物绝收面积30万亩以上。</w:t>
      </w:r>
    </w:p>
    <w:p>
      <w:pPr>
        <w:spacing w:line="360" w:lineRule="auto"/>
        <w:ind w:firstLine="560" w:firstLineChars="200"/>
        <w:rPr>
          <w:rFonts w:hint="default" w:ascii="Times New Roman" w:hAnsi="Times New Roman" w:cs="Times New Roman"/>
          <w:color w:val="000000"/>
          <w:kern w:val="0"/>
          <w:sz w:val="28"/>
          <w:szCs w:val="28"/>
        </w:rPr>
      </w:pPr>
      <w:bookmarkStart w:id="67" w:name="_Toc387222923"/>
      <w:r>
        <w:rPr>
          <w:rFonts w:hint="default" w:ascii="Times New Roman" w:hAnsi="Times New Roman" w:cs="Times New Roman"/>
          <w:color w:val="000000"/>
          <w:kern w:val="0"/>
          <w:sz w:val="28"/>
          <w:szCs w:val="28"/>
        </w:rPr>
        <w:t>（二）气象灾害</w:t>
      </w:r>
      <w:bookmarkEnd w:id="67"/>
    </w:p>
    <w:p>
      <w:pPr>
        <w:keepNext w:val="0"/>
        <w:keepLines w:val="0"/>
        <w:pageBreakBefore w:val="0"/>
        <w:widowControl w:val="0"/>
        <w:numPr>
          <w:ilvl w:val="1"/>
          <w:numId w:val="4"/>
        </w:numPr>
        <w:kinsoku/>
        <w:wordWrap/>
        <w:overflowPunct/>
        <w:topLinePunct w:val="0"/>
        <w:autoSpaceDE/>
        <w:autoSpaceDN/>
        <w:bidi w:val="0"/>
        <w:adjustRightInd/>
        <w:snapToGrid/>
        <w:spacing w:line="360" w:lineRule="auto"/>
        <w:ind w:left="760" w:hanging="420"/>
        <w:textAlignment w:val="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特别重大气象灾害包括：</w:t>
      </w:r>
    </w:p>
    <w:p>
      <w:pPr>
        <w:numPr>
          <w:ilvl w:val="0"/>
          <w:numId w:val="5"/>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特大暴雨、大雪、龙卷风、沙尘暴、台风等极端天气气候事件影响50平方公里以上较大区域，造成30人以上死亡，或5000万元以上经济损失的气象灾害；</w:t>
      </w:r>
    </w:p>
    <w:p>
      <w:pPr>
        <w:numPr>
          <w:ilvl w:val="0"/>
          <w:numId w:val="5"/>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本区域范围内将出现极端天气气候事件或极强灾害性天气过程，并会造成特大人员伤亡和巨大经济损失的气象灾害；</w:t>
      </w:r>
    </w:p>
    <w:p>
      <w:pPr>
        <w:numPr>
          <w:ilvl w:val="0"/>
          <w:numId w:val="5"/>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在其他地区发生的可能对本区域经济社会产生重大影响的极端天气气候事件。</w:t>
      </w:r>
    </w:p>
    <w:p>
      <w:pPr>
        <w:keepNext w:val="0"/>
        <w:keepLines w:val="0"/>
        <w:pageBreakBefore w:val="0"/>
        <w:widowControl w:val="0"/>
        <w:numPr>
          <w:ilvl w:val="1"/>
          <w:numId w:val="4"/>
        </w:numPr>
        <w:kinsoku/>
        <w:wordWrap/>
        <w:overflowPunct/>
        <w:topLinePunct w:val="0"/>
        <w:autoSpaceDE/>
        <w:autoSpaceDN/>
        <w:bidi w:val="0"/>
        <w:adjustRightInd/>
        <w:snapToGrid/>
        <w:spacing w:line="360" w:lineRule="auto"/>
        <w:ind w:left="760" w:hanging="420"/>
        <w:textAlignment w:val="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重大气象灾害包括：</w:t>
      </w:r>
    </w:p>
    <w:p>
      <w:pPr>
        <w:numPr>
          <w:ilvl w:val="0"/>
          <w:numId w:val="6"/>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暴雨、冰雹、龙卷风、大雪、寒潮、沙尘暴、大风和台风等造成10人以上、30人以下死亡，或1000万元以上、5000万元以下经济损失的气象灾害；</w:t>
      </w:r>
    </w:p>
    <w:p>
      <w:pPr>
        <w:numPr>
          <w:ilvl w:val="0"/>
          <w:numId w:val="6"/>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对经济、社会及群众生产、生活等造成严重影响的高温、干旱、大雾、低温、霜冻、雷电等气象灾害；</w:t>
      </w:r>
    </w:p>
    <w:p>
      <w:pPr>
        <w:numPr>
          <w:ilvl w:val="0"/>
          <w:numId w:val="6"/>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因各种气象原因，造成国家高速公路网线路连续封闭12小时以上的。</w:t>
      </w:r>
    </w:p>
    <w:p>
      <w:pPr>
        <w:keepNext w:val="0"/>
        <w:keepLines w:val="0"/>
        <w:pageBreakBefore w:val="0"/>
        <w:widowControl w:val="0"/>
        <w:numPr>
          <w:ilvl w:val="1"/>
          <w:numId w:val="4"/>
        </w:numPr>
        <w:kinsoku/>
        <w:wordWrap/>
        <w:overflowPunct/>
        <w:topLinePunct w:val="0"/>
        <w:autoSpaceDE/>
        <w:autoSpaceDN/>
        <w:bidi w:val="0"/>
        <w:adjustRightInd/>
        <w:snapToGrid/>
        <w:spacing w:line="360" w:lineRule="auto"/>
        <w:ind w:left="760" w:hanging="420"/>
        <w:textAlignment w:val="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较大气象灾害包括：</w:t>
      </w:r>
    </w:p>
    <w:p>
      <w:pPr>
        <w:numPr>
          <w:ilvl w:val="0"/>
          <w:numId w:val="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暴雨、冰雹、龙卷风、大雪、寒潮、沙尘暴、大风和台风等造成10人以下死亡，或1000万元以下经济损失的气象灾害；</w:t>
      </w:r>
    </w:p>
    <w:p>
      <w:pPr>
        <w:numPr>
          <w:ilvl w:val="0"/>
          <w:numId w:val="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因各种气象原因，造成国家高速公路网线路连续封闭12小时；</w:t>
      </w:r>
    </w:p>
    <w:p>
      <w:pPr>
        <w:numPr>
          <w:ilvl w:val="0"/>
          <w:numId w:val="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农作物受灾面积60万亩以上，或农作物绝收30万亩以上。</w:t>
      </w:r>
    </w:p>
    <w:p>
      <w:pPr>
        <w:spacing w:line="360" w:lineRule="auto"/>
        <w:ind w:firstLine="560" w:firstLineChars="200"/>
        <w:rPr>
          <w:rFonts w:hint="default" w:ascii="Times New Roman" w:hAnsi="Times New Roman" w:cs="Times New Roman"/>
          <w:color w:val="000000"/>
          <w:kern w:val="0"/>
          <w:sz w:val="28"/>
          <w:szCs w:val="28"/>
        </w:rPr>
      </w:pPr>
      <w:bookmarkStart w:id="68" w:name="_Toc387222924"/>
      <w:r>
        <w:rPr>
          <w:rFonts w:hint="default" w:ascii="Times New Roman" w:hAnsi="Times New Roman" w:cs="Times New Roman"/>
          <w:color w:val="000000"/>
          <w:kern w:val="0"/>
          <w:sz w:val="28"/>
          <w:szCs w:val="28"/>
        </w:rPr>
        <w:t>（三）地震灾害</w:t>
      </w:r>
      <w:bookmarkEnd w:id="68"/>
    </w:p>
    <w:p>
      <w:pPr>
        <w:numPr>
          <w:ilvl w:val="1"/>
          <w:numId w:val="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特别重大地震灾害包括：</w:t>
      </w:r>
    </w:p>
    <w:p>
      <w:pPr>
        <w:numPr>
          <w:ilvl w:val="0"/>
          <w:numId w:val="8"/>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造成300人以上死亡，直接经济损失占全省上年地区生产总值1%以上的地震；</w:t>
      </w:r>
    </w:p>
    <w:p>
      <w:pPr>
        <w:numPr>
          <w:ilvl w:val="0"/>
          <w:numId w:val="8"/>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发生在人口较密集地区7.0级以上地震。</w:t>
      </w:r>
    </w:p>
    <w:p>
      <w:pPr>
        <w:numPr>
          <w:ilvl w:val="1"/>
          <w:numId w:val="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重大地震灾害包括：</w:t>
      </w:r>
    </w:p>
    <w:p>
      <w:pPr>
        <w:numPr>
          <w:ilvl w:val="0"/>
          <w:numId w:val="9"/>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造成50人以上、300人以下死亡，或造成一定经济损失的地震；</w:t>
      </w:r>
    </w:p>
    <w:p>
      <w:pPr>
        <w:numPr>
          <w:ilvl w:val="0"/>
          <w:numId w:val="9"/>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发生在本区域人口较密集地区4.0级以上、本区域其他地区5.0级以上、周边邻县（市）6.5级以上的地震。</w:t>
      </w:r>
    </w:p>
    <w:p>
      <w:pPr>
        <w:numPr>
          <w:ilvl w:val="1"/>
          <w:numId w:val="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较大地震灾害包括：</w:t>
      </w:r>
    </w:p>
    <w:p>
      <w:pPr>
        <w:numPr>
          <w:ilvl w:val="0"/>
          <w:numId w:val="10"/>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造成20人以上、50人以下伤亡，或造成一定经济损失和影响的地震；</w:t>
      </w:r>
    </w:p>
    <w:p>
      <w:pPr>
        <w:numPr>
          <w:ilvl w:val="0"/>
          <w:numId w:val="10"/>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发生在本区域4.0～5.0级的地震。</w:t>
      </w:r>
    </w:p>
    <w:p>
      <w:pPr>
        <w:spacing w:line="360" w:lineRule="auto"/>
        <w:ind w:firstLine="560" w:firstLineChars="200"/>
        <w:rPr>
          <w:rFonts w:hint="default" w:ascii="Times New Roman" w:hAnsi="Times New Roman" w:cs="Times New Roman"/>
          <w:color w:val="000000"/>
          <w:kern w:val="0"/>
          <w:sz w:val="28"/>
          <w:szCs w:val="28"/>
        </w:rPr>
      </w:pPr>
      <w:bookmarkStart w:id="69" w:name="_Toc387222925"/>
      <w:r>
        <w:rPr>
          <w:rFonts w:hint="default" w:ascii="Times New Roman" w:hAnsi="Times New Roman" w:cs="Times New Roman"/>
          <w:color w:val="000000"/>
          <w:kern w:val="0"/>
          <w:sz w:val="28"/>
          <w:szCs w:val="28"/>
        </w:rPr>
        <w:t>（四）地质灾害</w:t>
      </w:r>
      <w:bookmarkEnd w:id="69"/>
    </w:p>
    <w:p>
      <w:pPr>
        <w:numPr>
          <w:ilvl w:val="0"/>
          <w:numId w:val="11"/>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特别重大地质灾害包括：</w:t>
      </w:r>
    </w:p>
    <w:p>
      <w:pPr>
        <w:numPr>
          <w:ilvl w:val="1"/>
          <w:numId w:val="11"/>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因地面塌陷、地裂缝等灾害造成30人以上死亡，或直接经济损失1000万元以上的地质灾害；</w:t>
      </w:r>
    </w:p>
    <w:p>
      <w:pPr>
        <w:numPr>
          <w:ilvl w:val="1"/>
          <w:numId w:val="11"/>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受地质灾害威胁，需转移人数在1000人以上，或潜在可能造成的经济损失在1亿元以上的灾害险情；</w:t>
      </w:r>
    </w:p>
    <w:p>
      <w:pPr>
        <w:numPr>
          <w:ilvl w:val="1"/>
          <w:numId w:val="11"/>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因地质灾害造成重要河流被阻断，严重影响群众生命财产安全。</w:t>
      </w:r>
    </w:p>
    <w:p>
      <w:pPr>
        <w:numPr>
          <w:ilvl w:val="0"/>
          <w:numId w:val="11"/>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重大地质灾害包括：</w:t>
      </w:r>
    </w:p>
    <w:p>
      <w:pPr>
        <w:numPr>
          <w:ilvl w:val="1"/>
          <w:numId w:val="11"/>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因地面塌陷、地裂缝等灾害造成10人以上、30人以下死亡，或因灾害造成直接经济损失500万元以上、1000万元以下的地质灾害；</w:t>
      </w:r>
    </w:p>
    <w:p>
      <w:pPr>
        <w:numPr>
          <w:ilvl w:val="1"/>
          <w:numId w:val="11"/>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受地质灾害威胁，需转移人数在500人以上、1000人以下，或潜在经济损失5000万元以上、1亿元以下的灾害险情；</w:t>
      </w:r>
    </w:p>
    <w:p>
      <w:pPr>
        <w:numPr>
          <w:ilvl w:val="1"/>
          <w:numId w:val="11"/>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造成国家高速公路网线路和航道中断，或严重威胁群众生命财产安全、有重大社会影响的地质灾害。</w:t>
      </w:r>
    </w:p>
    <w:p>
      <w:pPr>
        <w:numPr>
          <w:ilvl w:val="0"/>
          <w:numId w:val="11"/>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较大地质灾害包括：</w:t>
      </w:r>
    </w:p>
    <w:p>
      <w:pPr>
        <w:numPr>
          <w:ilvl w:val="1"/>
          <w:numId w:val="11"/>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因地面塌陷、地裂缝等灾害造成5人以上、10人以下死亡，或因灾害造成直接经济损失200万元以上、500万元以下的地质灾害；</w:t>
      </w:r>
    </w:p>
    <w:p>
      <w:pPr>
        <w:numPr>
          <w:ilvl w:val="1"/>
          <w:numId w:val="11"/>
        </w:numPr>
        <w:tabs>
          <w:tab w:val="left" w:pos="900"/>
          <w:tab w:val="clear" w:pos="1478"/>
        </w:tabs>
        <w:spacing w:line="360" w:lineRule="auto"/>
        <w:ind w:left="1260" w:right="-313" w:rightChars="-149"/>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受地质灾害威胁，需转移人数在200人以上、500人以下，或潜在经济损失2000万元以上、5000万元以下的灾害险情。</w:t>
      </w:r>
    </w:p>
    <w:p>
      <w:pPr>
        <w:spacing w:line="360" w:lineRule="auto"/>
        <w:ind w:firstLine="560" w:firstLineChars="200"/>
        <w:rPr>
          <w:rFonts w:hint="default" w:ascii="Times New Roman" w:hAnsi="Times New Roman" w:cs="Times New Roman"/>
          <w:color w:val="000000"/>
          <w:kern w:val="0"/>
          <w:sz w:val="28"/>
          <w:szCs w:val="28"/>
        </w:rPr>
      </w:pPr>
      <w:bookmarkStart w:id="70" w:name="_Toc387222926"/>
      <w:r>
        <w:rPr>
          <w:rFonts w:hint="default" w:ascii="Times New Roman" w:hAnsi="Times New Roman" w:cs="Times New Roman"/>
          <w:color w:val="000000"/>
          <w:kern w:val="0"/>
          <w:sz w:val="28"/>
          <w:szCs w:val="28"/>
        </w:rPr>
        <w:t>（五）</w:t>
      </w:r>
      <w:bookmarkEnd w:id="70"/>
      <w:bookmarkStart w:id="71" w:name="_Toc387222927"/>
      <w:r>
        <w:rPr>
          <w:rFonts w:hint="default" w:ascii="Times New Roman" w:hAnsi="Times New Roman" w:cs="Times New Roman"/>
          <w:color w:val="000000"/>
          <w:kern w:val="0"/>
          <w:sz w:val="28"/>
          <w:szCs w:val="28"/>
        </w:rPr>
        <w:t>生物灾害</w:t>
      </w:r>
      <w:bookmarkEnd w:id="71"/>
    </w:p>
    <w:p>
      <w:pPr>
        <w:numPr>
          <w:ilvl w:val="0"/>
          <w:numId w:val="1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特别重大生物灾害包括：</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新传入我国的有害生物在包括苏州市在内的2个以上省辖市发生，对农业和林业造成巨大危害的生物灾害。</w:t>
      </w:r>
    </w:p>
    <w:p>
      <w:pPr>
        <w:numPr>
          <w:ilvl w:val="0"/>
          <w:numId w:val="1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重大生物灾害包括：</w:t>
      </w:r>
    </w:p>
    <w:p>
      <w:pPr>
        <w:numPr>
          <w:ilvl w:val="0"/>
          <w:numId w:val="1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因蝗虫、水稻条纹叶枯病、稻飞虱、水稻螟虫、小麦条锈病、松毛虫、杨树食叶害虫和蛀干类害虫等大面积成灾并造成严重经济损失的生物灾害；</w:t>
      </w:r>
    </w:p>
    <w:p>
      <w:pPr>
        <w:numPr>
          <w:ilvl w:val="0"/>
          <w:numId w:val="1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新传入我国的有害生物发生、流行，对农业和林业生产等造成严重威胁的生物灾害。</w:t>
      </w:r>
    </w:p>
    <w:p>
      <w:pPr>
        <w:numPr>
          <w:ilvl w:val="0"/>
          <w:numId w:val="1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较大生物灾害包括：</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因蝗虫、稻飞虱、水稻螟虫、小麦条锈病、草地螟、松毛虫、杨树食叶害虫和蛀干类害虫等在一定范围内成灾并造成较大经济损失的生物灾害。</w:t>
      </w:r>
    </w:p>
    <w:p>
      <w:pPr>
        <w:spacing w:line="360" w:lineRule="auto"/>
        <w:ind w:firstLine="560" w:firstLineChars="200"/>
        <w:rPr>
          <w:rFonts w:hint="default" w:ascii="Times New Roman" w:hAnsi="Times New Roman" w:cs="Times New Roman"/>
          <w:color w:val="000000"/>
          <w:kern w:val="0"/>
          <w:sz w:val="28"/>
          <w:szCs w:val="28"/>
        </w:rPr>
      </w:pPr>
      <w:bookmarkStart w:id="72" w:name="_Toc387222928"/>
      <w:r>
        <w:rPr>
          <w:rFonts w:hint="default" w:ascii="Times New Roman" w:hAnsi="Times New Roman" w:cs="Times New Roman"/>
          <w:color w:val="000000"/>
          <w:kern w:val="0"/>
          <w:sz w:val="28"/>
          <w:szCs w:val="28"/>
        </w:rPr>
        <w:t>二、事故灾难类</w:t>
      </w:r>
      <w:bookmarkEnd w:id="72"/>
    </w:p>
    <w:p>
      <w:pPr>
        <w:spacing w:line="360" w:lineRule="auto"/>
        <w:ind w:firstLine="560" w:firstLineChars="200"/>
        <w:rPr>
          <w:rFonts w:hint="default" w:ascii="Times New Roman" w:hAnsi="Times New Roman" w:cs="Times New Roman"/>
          <w:color w:val="000000"/>
          <w:kern w:val="0"/>
          <w:sz w:val="28"/>
          <w:szCs w:val="28"/>
        </w:rPr>
      </w:pPr>
      <w:bookmarkStart w:id="73" w:name="_Toc387222929"/>
      <w:r>
        <w:rPr>
          <w:rFonts w:hint="default" w:ascii="Times New Roman" w:hAnsi="Times New Roman" w:cs="Times New Roman"/>
          <w:color w:val="000000"/>
          <w:kern w:val="0"/>
          <w:sz w:val="28"/>
          <w:szCs w:val="28"/>
        </w:rPr>
        <w:t>（一）安全事故</w:t>
      </w:r>
      <w:bookmarkEnd w:id="73"/>
    </w:p>
    <w:p>
      <w:pPr>
        <w:numPr>
          <w:ilvl w:val="0"/>
          <w:numId w:val="1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特别重大安全事故包括：</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造成30人以上死亡（含失踪），或危及30人以上生命安全，或1亿元以上直接经济损失，或100人以上中毒（重伤），或需要紧急转移安置10万人以上的安全事故；</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国内外民用运输航空器在本区域内发生的坠机、撞机或紧急迫降等情况导致的特别重大飞行事故；</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危及30人以上生命安全的水上突发事件；</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国家高速公路网线路遭受破坏，造成行车中断，经抢修48小时内无法恢复通车；</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区域电网减供负荷达到事故前总负荷的30%以上，或造成重要区域减供负荷达到事故前总负荷的50%以上；或因重要发电厂、变电站、输变电设备遭受毁灭性破坏或打击，造成区域电网大面积停电，减供负荷达到事故前总负荷的20%以上，对区域电网安全稳定运行构成严重威胁；</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因自然灾害等不可抗拒的原因导致支付、清算系统处理中心发生故障或因人为破坏，造成整个支付、清算系统瘫痪的事故；</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城市5万户以上居民供气或供水连续停止48小时以上的事故；</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造成特别重大影响或损失的特种设备事故；</w:t>
      </w:r>
    </w:p>
    <w:p>
      <w:pPr>
        <w:numPr>
          <w:ilvl w:val="0"/>
          <w:numId w:val="1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大型集会和游园等群体性活动中因拥挤、踩踏等造成30人以上死亡的事故。</w:t>
      </w:r>
    </w:p>
    <w:p>
      <w:pPr>
        <w:numPr>
          <w:ilvl w:val="0"/>
          <w:numId w:val="1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重大安全事故包括：</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10人以上、30人以下死亡（含失踪），或危及10人以上、30人以下生命安全，或直接经济损失5000万元以上、1亿元以下的事故，或50人以上，100人以下中毒（重伤），或需紧急转移安置5万人以上、10万人以下的事故；</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国内外民用运输航空器在本区域内发生重大飞行事故；</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危及10人以上、30人以下生命安全的水上突发事件；</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国家高速公路网线路遭受破坏，或因灾严重损毁，造成通行中断，经抢修24小时内无法恢复通车；</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造成区域电网减供负荷达到事故前总负荷的10％以上、30％以下，或造成重要区域减供负荷达到事故前总负荷的20％以上、50％以下；</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造成重大影响和损失的通信、信息网络、特种设备事故和道路交通、供水、燃气设施供应中断，或造成3万户以上居民停水、停气24小时以上的事故；</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大型集会和游园等群体性活动中，因拥挤、踩踏等造成10人以上、30人以下死亡的事故；</w:t>
      </w:r>
    </w:p>
    <w:p>
      <w:pPr>
        <w:numPr>
          <w:ilvl w:val="0"/>
          <w:numId w:val="16"/>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其他一些无法量化但性质严重，对社会稳定、经济建设造成重大影响的事故。</w:t>
      </w:r>
    </w:p>
    <w:p>
      <w:pPr>
        <w:numPr>
          <w:ilvl w:val="0"/>
          <w:numId w:val="1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较大安全事故包括：</w:t>
      </w:r>
    </w:p>
    <w:p>
      <w:pPr>
        <w:numPr>
          <w:ilvl w:val="0"/>
          <w:numId w:val="1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3人以上、10人以下死亡（含失踪），或危及3人以上、10人以下生命安全，或直接经济损失2000万元以上、5000万元以下的事故，或20人以上、50人以下中毒（重伤），或需紧急转移安置2万人以上、5万人以下的事故；</w:t>
      </w:r>
    </w:p>
    <w:p>
      <w:pPr>
        <w:numPr>
          <w:ilvl w:val="0"/>
          <w:numId w:val="1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危及3人以上、10人以下生命安全的水上突发事件；</w:t>
      </w:r>
    </w:p>
    <w:p>
      <w:pPr>
        <w:numPr>
          <w:ilvl w:val="0"/>
          <w:numId w:val="1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铁路干线、国家高速公路网线路遭受破坏，或因灾严重损毁，造成通行中断，经抢修12小时内无法恢复通车；</w:t>
      </w:r>
    </w:p>
    <w:p>
      <w:pPr>
        <w:numPr>
          <w:ilvl w:val="0"/>
          <w:numId w:val="1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造成一定影响和损失的通信、信息网络、特种设备事故和道路交通、供水、燃气设施供应中断，或造成1万户以上、3万户以下居民停水、停气12小时以上的事故；</w:t>
      </w:r>
    </w:p>
    <w:p>
      <w:pPr>
        <w:numPr>
          <w:ilvl w:val="0"/>
          <w:numId w:val="1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造成区域电网减供负荷接近事故前总负荷的10％，或造成重要区域减供负荷接近事故前总负荷的20%；</w:t>
      </w:r>
    </w:p>
    <w:p>
      <w:pPr>
        <w:numPr>
          <w:ilvl w:val="0"/>
          <w:numId w:val="1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大型集会和游园等群体性活动中，因拥挤、踩踏等造成3人以上、10人以下死亡的事故。</w:t>
      </w:r>
    </w:p>
    <w:p>
      <w:pPr>
        <w:spacing w:line="360" w:lineRule="auto"/>
        <w:ind w:firstLine="560" w:firstLineChars="200"/>
        <w:rPr>
          <w:rFonts w:hint="default" w:ascii="Times New Roman" w:hAnsi="Times New Roman" w:cs="Times New Roman"/>
          <w:color w:val="000000"/>
          <w:kern w:val="0"/>
          <w:sz w:val="28"/>
          <w:szCs w:val="28"/>
        </w:rPr>
      </w:pPr>
      <w:bookmarkStart w:id="74" w:name="_Toc387222930"/>
      <w:r>
        <w:rPr>
          <w:rFonts w:hint="default" w:ascii="Times New Roman" w:hAnsi="Times New Roman" w:cs="Times New Roman"/>
          <w:color w:val="000000"/>
          <w:kern w:val="0"/>
          <w:sz w:val="28"/>
          <w:szCs w:val="28"/>
        </w:rPr>
        <w:t>（二）环境污染和生态破坏事故</w:t>
      </w:r>
      <w:bookmarkEnd w:id="74"/>
    </w:p>
    <w:p>
      <w:pPr>
        <w:numPr>
          <w:ilvl w:val="0"/>
          <w:numId w:val="18"/>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特别重大环境污染和生态破坏事故包括：</w:t>
      </w:r>
    </w:p>
    <w:p>
      <w:pPr>
        <w:numPr>
          <w:ilvl w:val="0"/>
          <w:numId w:val="1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30人以上死亡，或100人以上中毒（重伤）；或因环境事件需疏散、转移群众5万人以上，或直接经济损失1000万元以上，或区域生态功能严重丧失，或濒危物种生存环境遭到严重污染，或因环境污染使当地正常的经济、社会秩序受到严重影响，或1、2类放射源失控造成大范围严重辐射污染后果的；</w:t>
      </w:r>
    </w:p>
    <w:p>
      <w:pPr>
        <w:numPr>
          <w:ilvl w:val="0"/>
          <w:numId w:val="1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因危险化学品（含剧毒品）生产和贮运中发生泄漏，严重影响人民群众生产、生活和生态环境的污染事故；</w:t>
      </w:r>
    </w:p>
    <w:p>
      <w:pPr>
        <w:numPr>
          <w:ilvl w:val="0"/>
          <w:numId w:val="19"/>
        </w:numPr>
        <w:tabs>
          <w:tab w:val="left" w:pos="1260"/>
          <w:tab w:val="clear" w:pos="1478"/>
        </w:tabs>
        <w:spacing w:line="360" w:lineRule="auto"/>
        <w:ind w:left="1260" w:right="-334" w:rightChars="-159"/>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高致病病毒、细菌等微生物在实验室研究过程中造成的特大污染事故；</w:t>
      </w:r>
    </w:p>
    <w:p>
      <w:pPr>
        <w:numPr>
          <w:ilvl w:val="0"/>
          <w:numId w:val="1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转基因生物对人类、动物、植物、微生物和生态系统构成严重威胁，或造成高度侵袭性、传染性、转移性、致病性和破坏性的灾害。</w:t>
      </w:r>
    </w:p>
    <w:p>
      <w:pPr>
        <w:numPr>
          <w:ilvl w:val="0"/>
          <w:numId w:val="18"/>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重大环境污染和生态破坏事故包括：</w:t>
      </w:r>
    </w:p>
    <w:p>
      <w:pPr>
        <w:numPr>
          <w:ilvl w:val="0"/>
          <w:numId w:val="2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10人以上、30以下死亡，或50人以上、100人以下中毒，或区域生态功能部分丧失或濒危物种生存环境受到污染；或因环境污染使当地经济、社会秩序受到较大影响，疏散转移群众1万人以上、5万人以下的；或1、2类放射源丢失、被盗或失控；</w:t>
      </w:r>
    </w:p>
    <w:p>
      <w:pPr>
        <w:numPr>
          <w:ilvl w:val="0"/>
          <w:numId w:val="2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因环境污染造成重要河流及沿海水域大面积污染，或县级以上城镇水源地取水中断的污染事件；</w:t>
      </w:r>
    </w:p>
    <w:p>
      <w:pPr>
        <w:numPr>
          <w:ilvl w:val="0"/>
          <w:numId w:val="2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由于自然、生物、人为因素造成国家重点保护野生动（植）物种群大批死亡或可能造成物种灭绝事件；</w:t>
      </w:r>
    </w:p>
    <w:p>
      <w:pPr>
        <w:numPr>
          <w:ilvl w:val="0"/>
          <w:numId w:val="2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进口再生原料严重环保超标和进口货物严重核辐射超标或含有爆炸物品的事件；</w:t>
      </w:r>
    </w:p>
    <w:p>
      <w:pPr>
        <w:numPr>
          <w:ilvl w:val="0"/>
          <w:numId w:val="2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非法倾倒、埋藏剧毒危险废物事件。</w:t>
      </w:r>
    </w:p>
    <w:p>
      <w:pPr>
        <w:numPr>
          <w:ilvl w:val="0"/>
          <w:numId w:val="18"/>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较大环境污染和生态破坏事故包括：</w:t>
      </w:r>
    </w:p>
    <w:p>
      <w:pPr>
        <w:numPr>
          <w:ilvl w:val="0"/>
          <w:numId w:val="21"/>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发生3人以上、10人以下死亡，或30人以上、50人以下中毒；或因环境污染使当地经济、社会秩序受到较大影响，疏散转移群众3000人以上、1万人以下的；</w:t>
      </w:r>
    </w:p>
    <w:p>
      <w:pPr>
        <w:numPr>
          <w:ilvl w:val="0"/>
          <w:numId w:val="21"/>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因环境污染造成部分河流及沿海水域部分面积污染，或多数镇水源地取水中断的污染事件；</w:t>
      </w:r>
    </w:p>
    <w:p>
      <w:pPr>
        <w:numPr>
          <w:ilvl w:val="0"/>
          <w:numId w:val="21"/>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由于自然、生物、人为因素造成国家重点保护野生动（植）物种群死亡事件；</w:t>
      </w:r>
    </w:p>
    <w:p>
      <w:pPr>
        <w:numPr>
          <w:ilvl w:val="0"/>
          <w:numId w:val="21"/>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环保基础设施因人为破坏、自然损坏、合同纠纷等突然停止运转，造成对环境安全的严重威胁，扰乱地方经济社会运行正常秩序。</w:t>
      </w:r>
    </w:p>
    <w:p>
      <w:pPr>
        <w:spacing w:line="360" w:lineRule="auto"/>
        <w:ind w:firstLine="560" w:firstLineChars="200"/>
        <w:rPr>
          <w:rFonts w:hint="default" w:ascii="Times New Roman" w:hAnsi="Times New Roman" w:cs="Times New Roman"/>
          <w:color w:val="000000"/>
          <w:kern w:val="0"/>
          <w:sz w:val="28"/>
          <w:szCs w:val="28"/>
        </w:rPr>
      </w:pPr>
      <w:bookmarkStart w:id="75" w:name="_Toc387222931"/>
      <w:r>
        <w:rPr>
          <w:rFonts w:hint="default" w:ascii="Times New Roman" w:hAnsi="Times New Roman" w:cs="Times New Roman"/>
          <w:color w:val="000000"/>
          <w:kern w:val="0"/>
          <w:sz w:val="28"/>
          <w:szCs w:val="28"/>
        </w:rPr>
        <w:t>三、公共卫生事件类</w:t>
      </w:r>
      <w:bookmarkEnd w:id="75"/>
    </w:p>
    <w:p>
      <w:pPr>
        <w:spacing w:line="360" w:lineRule="auto"/>
        <w:ind w:firstLine="560" w:firstLineChars="200"/>
        <w:rPr>
          <w:rFonts w:hint="default" w:ascii="Times New Roman" w:hAnsi="Times New Roman" w:cs="Times New Roman"/>
          <w:color w:val="000000"/>
          <w:kern w:val="0"/>
          <w:sz w:val="28"/>
          <w:szCs w:val="28"/>
        </w:rPr>
      </w:pPr>
      <w:bookmarkStart w:id="76" w:name="_Toc387222932"/>
      <w:r>
        <w:rPr>
          <w:rFonts w:hint="default" w:ascii="Times New Roman" w:hAnsi="Times New Roman" w:cs="Times New Roman"/>
          <w:color w:val="000000"/>
          <w:kern w:val="0"/>
          <w:sz w:val="28"/>
          <w:szCs w:val="28"/>
        </w:rPr>
        <w:t>（一）公共卫生事件</w:t>
      </w:r>
      <w:bookmarkEnd w:id="76"/>
    </w:p>
    <w:p>
      <w:pPr>
        <w:numPr>
          <w:ilvl w:val="0"/>
          <w:numId w:val="2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特别重大突发公共卫生事件包括：</w:t>
      </w:r>
    </w:p>
    <w:p>
      <w:pPr>
        <w:numPr>
          <w:ilvl w:val="0"/>
          <w:numId w:val="2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传染性非典型肺炎、人感染高致病性禽流感疫情波及包括本区域在内的多个县（市、区），且出现难以追踪传染源的病例，并有继续扩散的趋势；</w:t>
      </w:r>
    </w:p>
    <w:p>
      <w:pPr>
        <w:numPr>
          <w:ilvl w:val="0"/>
          <w:numId w:val="2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肺鼠疫、肺炭疽在本区域发生，疫情有扩散趋势；</w:t>
      </w:r>
    </w:p>
    <w:p>
      <w:pPr>
        <w:numPr>
          <w:ilvl w:val="0"/>
          <w:numId w:val="2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发生新传染病，或我国尚未发现的传染病在本区域发生，并有扩散趋势；或发现我国已消灭的传染病在本区域重新流行；</w:t>
      </w:r>
    </w:p>
    <w:p>
      <w:pPr>
        <w:numPr>
          <w:ilvl w:val="0"/>
          <w:numId w:val="2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发生烈性病菌株、毒株、致病因子等丢失事件；</w:t>
      </w:r>
    </w:p>
    <w:p>
      <w:pPr>
        <w:numPr>
          <w:ilvl w:val="0"/>
          <w:numId w:val="2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其他危害特别严重的突发公共卫生事件。</w:t>
      </w:r>
    </w:p>
    <w:p>
      <w:pPr>
        <w:numPr>
          <w:ilvl w:val="0"/>
          <w:numId w:val="2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重大突发公共卫生事件包括：</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在本区域范围内，１个平均潜伏期内发生５例以上肺鼠疫、肺炭疽病例，或相关联的疫情波及其他县（市、区）；</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腺鼠疫发生流行，在本区域范围内，１个平均潜伏期内多点连续发病20例以上；</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发生传染性非典型肺炎、人感染高致病性禽流感疑似病例；</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霍乱在本区域流行，１周内发病30例以上；</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乙类、丙类传染病疫情波及２个以上县（市、区），１周内发病水平超过前５年同期平均发病水平２倍以上；</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我国尚未发现的传染病在本区域发生，尚未造成扩散；</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发生群体性不明原因疾病，扩散到县以外的地区；</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发生重大医源性感染事件；</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预防接种或群体预防性用药出现人员死亡事件；</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一次食物中毒人数超过100人并出现死亡病例，或出现10例以上死亡病例；</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一次发生急性职业中毒50人以上，或死亡5人以上；</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境内外隐匿运输、邮寄烈性生物病原体、生物毒素造成本区域范围内人员感染或死亡的；</w:t>
      </w:r>
    </w:p>
    <w:p>
      <w:pPr>
        <w:numPr>
          <w:ilvl w:val="0"/>
          <w:numId w:val="2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其他危害严重的重大突发公共卫生事件。</w:t>
      </w:r>
    </w:p>
    <w:p>
      <w:pPr>
        <w:numPr>
          <w:ilvl w:val="0"/>
          <w:numId w:val="22"/>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较大突发公共卫生事件包括：</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霍乱在本区域发生，在1周内发病10～29例；或疫情波及2个及以上县（市、区），发病15～49例；或在本区域首次发生；</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1周内本区域乙类、丙类传染病发病水平超过前5年同期平均发病水平1倍以上；</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在本区域发现群体性不明原因疾病；</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食物中毒30～99人，无死亡病例报告；或食物中毒30人以下，但事故发生在学校、地区性或全国性重要活动期间；</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预防接种或学生预防性服药出现群体心因性反应或不良反应；</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个人全身受照剂量≥1Gy且受危害人数10人以下，或个人全身受照射剂量≥0.5Gy、受照人员剂量之和≥20Gy的放射性突发事件；</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发生急性职业病10～49人或死亡5人以下；</w:t>
      </w:r>
    </w:p>
    <w:p>
      <w:pPr>
        <w:numPr>
          <w:ilvl w:val="0"/>
          <w:numId w:val="2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其它对公众健康可能造成危害的突发事件。</w:t>
      </w:r>
    </w:p>
    <w:p>
      <w:pPr>
        <w:spacing w:line="360" w:lineRule="auto"/>
        <w:ind w:firstLine="560" w:firstLineChars="200"/>
        <w:rPr>
          <w:rFonts w:hint="default" w:ascii="Times New Roman" w:hAnsi="Times New Roman" w:cs="Times New Roman"/>
          <w:color w:val="000000"/>
          <w:kern w:val="0"/>
          <w:sz w:val="28"/>
          <w:szCs w:val="28"/>
        </w:rPr>
      </w:pPr>
      <w:bookmarkStart w:id="77" w:name="_Toc387222933"/>
      <w:r>
        <w:rPr>
          <w:rFonts w:hint="default" w:ascii="Times New Roman" w:hAnsi="Times New Roman" w:cs="Times New Roman"/>
          <w:color w:val="000000"/>
          <w:kern w:val="0"/>
          <w:sz w:val="28"/>
          <w:szCs w:val="28"/>
        </w:rPr>
        <w:t>（二）动物疫情</w:t>
      </w:r>
      <w:bookmarkEnd w:id="77"/>
    </w:p>
    <w:p>
      <w:pPr>
        <w:numPr>
          <w:ilvl w:val="0"/>
          <w:numId w:val="26"/>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特别重大动物疫情包括：</w:t>
      </w:r>
    </w:p>
    <w:p>
      <w:pPr>
        <w:numPr>
          <w:ilvl w:val="0"/>
          <w:numId w:val="2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高致病性禽流感在21日内，包括本区域在内的20个以上县（市、区）发生或10个以上县（市、区）连片发生疫情；</w:t>
      </w:r>
    </w:p>
    <w:p>
      <w:pPr>
        <w:numPr>
          <w:ilvl w:val="0"/>
          <w:numId w:val="27"/>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动物暴发疯牛病等人畜共患病感染到人，并继续大面积扩散蔓延。</w:t>
      </w:r>
    </w:p>
    <w:p>
      <w:pPr>
        <w:numPr>
          <w:ilvl w:val="0"/>
          <w:numId w:val="26"/>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重大动物疫情包括：</w:t>
      </w:r>
    </w:p>
    <w:p>
      <w:pPr>
        <w:numPr>
          <w:ilvl w:val="0"/>
          <w:numId w:val="28"/>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高致病性禽流感在21日内，包括本区域在内的多个县（市、区）发生疫情，或有20个以上疫点或5个以上县（市、区）连片发生疫情；</w:t>
      </w:r>
    </w:p>
    <w:p>
      <w:pPr>
        <w:numPr>
          <w:ilvl w:val="0"/>
          <w:numId w:val="28"/>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口蹄疫在14日内，包括本区域在内的多个相邻县或5个以上县（市、区）发生严重疫情，或有新的口蹄疫亚型出现并发生疫情；</w:t>
      </w:r>
    </w:p>
    <w:p>
      <w:pPr>
        <w:numPr>
          <w:ilvl w:val="0"/>
          <w:numId w:val="28"/>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在1个平均潜伏期内，包括本区域在内的20个县（市、区）发生猪瘟、新城疫疫情，或疫点数达到30个以上；</w:t>
      </w:r>
    </w:p>
    <w:p>
      <w:pPr>
        <w:numPr>
          <w:ilvl w:val="0"/>
          <w:numId w:val="28"/>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牛瘟、牛肺疫、疯牛病、非洲猪瘟、非洲马瘟等疫病传入本区域或在本区域发生；</w:t>
      </w:r>
    </w:p>
    <w:p>
      <w:pPr>
        <w:numPr>
          <w:ilvl w:val="0"/>
          <w:numId w:val="28"/>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在1个平均潜伏期内，布鲁氏菌病、结核病、狂犬病、炭疽等二类动物疫病呈现暴发流行，波及包括本区域在内的3个以上县，或其中的人畜共患病发生感染人的病例，并有继续扩散趋势。</w:t>
      </w:r>
    </w:p>
    <w:p>
      <w:pPr>
        <w:numPr>
          <w:ilvl w:val="0"/>
          <w:numId w:val="26"/>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较大动物疫情包括：</w:t>
      </w:r>
    </w:p>
    <w:p>
      <w:pPr>
        <w:numPr>
          <w:ilvl w:val="0"/>
          <w:numId w:val="2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高致病性禽流感在21日内，有20个以下疫点或2个以上、5个以下县（市、区）连片发生疫情；</w:t>
      </w:r>
    </w:p>
    <w:p>
      <w:pPr>
        <w:numPr>
          <w:ilvl w:val="0"/>
          <w:numId w:val="2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口蹄疫在14日内，包括本区域在内的2个以上、5个以下县（市、区）发生严重疫情；</w:t>
      </w:r>
    </w:p>
    <w:p>
      <w:pPr>
        <w:numPr>
          <w:ilvl w:val="0"/>
          <w:numId w:val="2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在1个平均潜伏期内，包括本区域在内的2个以上、5个以下县（市、区）发生猪瘟、新城疫疫情，或疫点数达到10个以上、30个以下；</w:t>
      </w:r>
    </w:p>
    <w:p>
      <w:pPr>
        <w:numPr>
          <w:ilvl w:val="0"/>
          <w:numId w:val="2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在1个平均潜伏期内，布鲁氏菌病、结核病、狂犬病、炭疽等二类动物疫病呈现流行趋势，或其中的人畜共患病发生感染人的病例。</w:t>
      </w:r>
    </w:p>
    <w:p>
      <w:pPr>
        <w:spacing w:line="360" w:lineRule="auto"/>
        <w:ind w:firstLine="560" w:firstLineChars="200"/>
        <w:rPr>
          <w:rFonts w:hint="default" w:ascii="Times New Roman" w:hAnsi="Times New Roman" w:cs="Times New Roman"/>
          <w:color w:val="000000"/>
          <w:kern w:val="0"/>
          <w:sz w:val="28"/>
          <w:szCs w:val="28"/>
        </w:rPr>
      </w:pPr>
      <w:bookmarkStart w:id="78" w:name="_Toc387222934"/>
      <w:r>
        <w:rPr>
          <w:rFonts w:hint="default" w:ascii="Times New Roman" w:hAnsi="Times New Roman" w:cs="Times New Roman"/>
          <w:color w:val="000000"/>
          <w:kern w:val="0"/>
          <w:sz w:val="28"/>
          <w:szCs w:val="28"/>
        </w:rPr>
        <w:t>四、社会安全事件类</w:t>
      </w:r>
      <w:bookmarkEnd w:id="78"/>
    </w:p>
    <w:p>
      <w:pPr>
        <w:spacing w:line="360" w:lineRule="auto"/>
        <w:ind w:firstLine="560" w:firstLineChars="200"/>
        <w:rPr>
          <w:rFonts w:hint="default" w:ascii="Times New Roman" w:hAnsi="Times New Roman" w:cs="Times New Roman"/>
          <w:color w:val="000000"/>
          <w:kern w:val="0"/>
          <w:sz w:val="28"/>
          <w:szCs w:val="28"/>
        </w:rPr>
      </w:pPr>
      <w:bookmarkStart w:id="79" w:name="_Toc387222935"/>
      <w:r>
        <w:rPr>
          <w:rFonts w:hint="default" w:ascii="Times New Roman" w:hAnsi="Times New Roman" w:cs="Times New Roman"/>
          <w:color w:val="000000"/>
          <w:kern w:val="0"/>
          <w:sz w:val="28"/>
          <w:szCs w:val="28"/>
        </w:rPr>
        <w:t>（一）群体性事件</w:t>
      </w:r>
      <w:bookmarkEnd w:id="79"/>
    </w:p>
    <w:p>
      <w:pPr>
        <w:numPr>
          <w:ilvl w:val="0"/>
          <w:numId w:val="30"/>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特别重大群体性事件包括：</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一次参与人数5000人以上，严重影响社会稳定的事件；</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冲击、围攻县级以上党政军机关和要害部门，打、砸、抢、烧镇以上党政军机关的事件；</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参与人员对抗性特征突出，已发生大规模的打、砸、抢、烧等违法犯罪行为；</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阻断铁路、国道、高速公路和重要交通枢纽、城市交通8小时以上停运，或阻挠、妨碍国家重点建设工程施工，造成24小时以上停工事件；</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造成10人以上死亡或者30人以上受伤，严重危害社会稳定的事件；</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学校内聚集事件失控，并未经批准走出校门进行大规模游行、集会、绝食、静坐、请愿等行为，引发不同地区连锁反应，严重影响社会稳定；</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参与人数500人以上，或造成重大人员伤亡的群体性械斗、冲突事件；</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参与人数在10人以上的暴狱事件；</w:t>
      </w:r>
    </w:p>
    <w:p>
      <w:pPr>
        <w:numPr>
          <w:ilvl w:val="0"/>
          <w:numId w:val="31"/>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出现全区范围或跨县（市、区）范围或跨行业的严重影响社会稳定的互动性连锁反应；</w:t>
      </w:r>
    </w:p>
    <w:p>
      <w:pPr>
        <w:numPr>
          <w:ilvl w:val="0"/>
          <w:numId w:val="31"/>
        </w:numPr>
        <w:tabs>
          <w:tab w:val="left" w:pos="900"/>
          <w:tab w:val="clear" w:pos="1478"/>
        </w:tabs>
        <w:spacing w:line="360" w:lineRule="auto"/>
        <w:ind w:left="900" w:hanging="3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其他视情需要作为特别重大群体性事件对待的事件。</w:t>
      </w:r>
    </w:p>
    <w:p>
      <w:pPr>
        <w:numPr>
          <w:ilvl w:val="0"/>
          <w:numId w:val="30"/>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重大群体性事件包括：</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参与人数在1000人以上、5000人以下，影响较大的非法集会游行示威、上访请愿、聚众闹事、罢工（市、课）等，或人数不多但涉及面广和有可能进京的非法集会和集体上访事件；</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造成3人以上、10人以下死亡，或10人以上、30人以下受伤群体性事件；</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学校校园网上出现大范围串联、煽动和蛊惑信息，校内聚集规模迅速扩大并出现多校串联聚集趋势，学校正常教育教学秩序受到严重影响甚至瘫痪，或因高校周边其它问题引发的群体性事件；</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参与人数200人以上、500人以下，或造成较大人员伤亡的群体性械斗、冲突事件；</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涉及境内外宗教组织背景的大型非法宗教活动，或因民族宗教问题引发的严重影响民族团结的群体性事件；</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因土地、资源、水域、海域等权属争议和环境污染、生态破坏引发的，造成严重后果的群体性事件；</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已出现跨县（市、区）范围或行业的影响社会稳定的连锁反应事件，或造成了较严重的危害和损失，事态仍可能进一步扩大和升级；</w:t>
      </w:r>
    </w:p>
    <w:p>
      <w:pPr>
        <w:numPr>
          <w:ilvl w:val="0"/>
          <w:numId w:val="3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其他视情需要作为重大群体性事件对待的事件。</w:t>
      </w:r>
    </w:p>
    <w:p>
      <w:pPr>
        <w:numPr>
          <w:ilvl w:val="0"/>
          <w:numId w:val="30"/>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较大群体性事件包括：</w:t>
      </w:r>
    </w:p>
    <w:p>
      <w:pPr>
        <w:numPr>
          <w:ilvl w:val="0"/>
          <w:numId w:val="3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参与人数在200人以上、1000人以下，影响社会稳定的事件；</w:t>
      </w:r>
    </w:p>
    <w:p>
      <w:pPr>
        <w:numPr>
          <w:ilvl w:val="0"/>
          <w:numId w:val="3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在重要场所、重点地区聚集人数在10人以上、100人以下，参与人员有明显过激行为的事件；</w:t>
      </w:r>
    </w:p>
    <w:p>
      <w:pPr>
        <w:numPr>
          <w:ilvl w:val="0"/>
          <w:numId w:val="3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已引发跨地区、跨行业的影响社会稳定的连锁反应事件；</w:t>
      </w:r>
    </w:p>
    <w:p>
      <w:pPr>
        <w:numPr>
          <w:ilvl w:val="0"/>
          <w:numId w:val="3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造成人员伤亡，但死亡人数在3人以下、受伤人数在10人以下的群体性事件；</w:t>
      </w:r>
    </w:p>
    <w:p>
      <w:pPr>
        <w:numPr>
          <w:ilvl w:val="0"/>
          <w:numId w:val="33"/>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其他视情需要作为较大群体性事件对待的事件。</w:t>
      </w:r>
    </w:p>
    <w:p>
      <w:pPr>
        <w:spacing w:line="360" w:lineRule="auto"/>
        <w:ind w:firstLine="560" w:firstLineChars="200"/>
        <w:rPr>
          <w:rFonts w:hint="default" w:ascii="Times New Roman" w:hAnsi="Times New Roman" w:cs="Times New Roman"/>
          <w:color w:val="000000"/>
          <w:kern w:val="0"/>
          <w:sz w:val="28"/>
          <w:szCs w:val="28"/>
        </w:rPr>
      </w:pPr>
      <w:bookmarkStart w:id="80" w:name="_Toc387222936"/>
      <w:r>
        <w:rPr>
          <w:rFonts w:hint="default" w:ascii="Times New Roman" w:hAnsi="Times New Roman" w:cs="Times New Roman"/>
          <w:color w:val="000000"/>
          <w:kern w:val="0"/>
          <w:sz w:val="28"/>
          <w:szCs w:val="28"/>
        </w:rPr>
        <w:t>（二）涉外突发事件</w:t>
      </w:r>
      <w:bookmarkEnd w:id="80"/>
    </w:p>
    <w:p>
      <w:pPr>
        <w:numPr>
          <w:ilvl w:val="0"/>
          <w:numId w:val="3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特别重大涉外突发事件包括：</w:t>
      </w:r>
    </w:p>
    <w:p>
      <w:pPr>
        <w:numPr>
          <w:ilvl w:val="0"/>
          <w:numId w:val="3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一次造成30人以上死亡或100人以上伤亡的境外涉及本区域或县内涉外事件；或劳务人员受伤害特别严重，在境外造成重大影响的劳务纠纷或突发事件；</w:t>
      </w:r>
    </w:p>
    <w:p>
      <w:pPr>
        <w:numPr>
          <w:ilvl w:val="0"/>
          <w:numId w:val="3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造成本区域驻外的机构和人员安全及财产重大损失，造成境外人员在本区域安全及重大财产损失，并具有重大政治和社会影响的涉外事件；</w:t>
      </w:r>
    </w:p>
    <w:p>
      <w:pPr>
        <w:numPr>
          <w:ilvl w:val="0"/>
          <w:numId w:val="35"/>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有关国家、地区发生特别重大突发事件，需要迅速撤离本区域驻外机构和人员的涉外事件。</w:t>
      </w:r>
    </w:p>
    <w:p>
      <w:pPr>
        <w:numPr>
          <w:ilvl w:val="0"/>
          <w:numId w:val="3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重大涉外突发事件包括：</w:t>
      </w:r>
    </w:p>
    <w:p>
      <w:pPr>
        <w:numPr>
          <w:ilvl w:val="0"/>
          <w:numId w:val="36"/>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一次事件造成10人以上、30人以下死亡，或50人以上、100人以下伤亡的境外涉及本区域或县内涉外事件；或劳务人员受伤害严重，在境外造成较大影响的劳务纠纷或突发事件；</w:t>
      </w:r>
    </w:p>
    <w:p>
      <w:pPr>
        <w:numPr>
          <w:ilvl w:val="0"/>
          <w:numId w:val="36"/>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造成或可能造成本区域驻外的机构和人员安全及较大财产损失，造成或可能造成境外人员在本区域安全及财产较大损失，并具有较大政治和社会影响的涉外事件；</w:t>
      </w:r>
    </w:p>
    <w:p>
      <w:pPr>
        <w:numPr>
          <w:ilvl w:val="0"/>
          <w:numId w:val="36"/>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有关国家、地区发生重大突发事件，需要迅速撤离本区域驻外机构和人员的涉外事件。</w:t>
      </w:r>
    </w:p>
    <w:p>
      <w:pPr>
        <w:numPr>
          <w:ilvl w:val="0"/>
          <w:numId w:val="34"/>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较大涉外突发事件包括：</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一次造成3人以上、10人以下死亡，或20人以上、50人以下伤亡的境外涉及本区域或县内涉外事件；或劳务人员受伤害轻微，在境外影响较小的一般性劳务纠纷或突发事件。</w:t>
      </w:r>
    </w:p>
    <w:p>
      <w:pPr>
        <w:spacing w:line="360" w:lineRule="auto"/>
        <w:ind w:firstLine="560" w:firstLineChars="200"/>
        <w:rPr>
          <w:rFonts w:hint="default" w:ascii="Times New Roman" w:hAnsi="Times New Roman" w:cs="Times New Roman"/>
          <w:color w:val="000000"/>
          <w:kern w:val="0"/>
          <w:sz w:val="28"/>
          <w:szCs w:val="28"/>
        </w:rPr>
      </w:pPr>
      <w:bookmarkStart w:id="81" w:name="_Toc387222937"/>
      <w:r>
        <w:rPr>
          <w:rFonts w:hint="default" w:ascii="Times New Roman" w:hAnsi="Times New Roman" w:cs="Times New Roman"/>
          <w:color w:val="000000"/>
          <w:kern w:val="0"/>
          <w:sz w:val="28"/>
          <w:szCs w:val="28"/>
        </w:rPr>
        <w:t>（三）恐怖袭击事件</w:t>
      </w:r>
      <w:bookmarkEnd w:id="81"/>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1．利用生物战剂、化学毒剂进行大规模袭击或攻击生产、贮存、运输生化毒物设施、工具的；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2．利用爆炸手段，袭击党政军首脑机关、警卫现场、城市标志性建筑物、公众聚集场所、国家重要基础设施、主要军事设施、民生设施的；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3．劫持航空器、轮船、火车等公共交通工具，造成严重危害后果的；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4．袭击、劫持警卫对象、国内外重要知名人士及大规模袭击、劫持平民，造成重大影响和危害的；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5．袭击外商投资企业等重要、敏感涉外场所的；</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6．大规模攻击国家机关、军队或民用计算机信息系统，构成重大危害的。</w:t>
      </w:r>
    </w:p>
    <w:p>
      <w:pPr>
        <w:spacing w:line="360" w:lineRule="auto"/>
        <w:ind w:firstLine="560" w:firstLineChars="200"/>
        <w:rPr>
          <w:rFonts w:hint="default" w:ascii="Times New Roman" w:hAnsi="Times New Roman" w:cs="Times New Roman"/>
          <w:color w:val="000000"/>
          <w:kern w:val="0"/>
          <w:sz w:val="28"/>
          <w:szCs w:val="28"/>
        </w:rPr>
      </w:pPr>
      <w:bookmarkStart w:id="82" w:name="_Toc387222938"/>
      <w:r>
        <w:rPr>
          <w:rFonts w:hint="default" w:ascii="Times New Roman" w:hAnsi="Times New Roman" w:cs="Times New Roman"/>
          <w:color w:val="000000"/>
          <w:kern w:val="0"/>
          <w:sz w:val="28"/>
          <w:szCs w:val="28"/>
        </w:rPr>
        <w:t>（四）刑事案件</w:t>
      </w:r>
      <w:bookmarkEnd w:id="82"/>
    </w:p>
    <w:p>
      <w:pPr>
        <w:numPr>
          <w:ilvl w:val="0"/>
          <w:numId w:val="3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特别重大刑事案件包括：</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一次性造成10人以上死亡的杀人、爆炸、纵火、毒气、投放危险物质和邮寄危险物品等案件，或在公共场所造成6人以上死亡的案件，或采取绑架、劫持人质等手段，造成恶劣社会影响或可能造成严重后果的案件；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抢劫金融机构或运钞车，盗窃金融机构现金100万元以上的案件；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在县内发生的劫持客轮和货轮等，或县内客轮和货轮等在省外或境外被劫持案件；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抢劫、走私、盗窃军（警）用枪械10支以上的案件；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危害性大的放射性材料或数量特大的炸药或雷管被盗、丢失案件；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走私危害性大的放射性材料，走私固体废物达100吨以上的案件；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制贩毒品（海洛因、冰毒）20公斤以上及涉枪贩毒案件；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盗窃、出卖、泄露及丢失国家秘密资料等可能造成严重后果的案件；</w:t>
      </w:r>
    </w:p>
    <w:p>
      <w:pPr>
        <w:numPr>
          <w:ilvl w:val="0"/>
          <w:numId w:val="38"/>
        </w:numPr>
        <w:tabs>
          <w:tab w:val="left" w:pos="90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攻击和破坏计算机网络、卫星通信、广播电视传输系统等，并对社会稳定造成特大影响的信息安全案件；</w:t>
      </w:r>
    </w:p>
    <w:p>
      <w:pPr>
        <w:numPr>
          <w:ilvl w:val="0"/>
          <w:numId w:val="38"/>
        </w:numPr>
        <w:tabs>
          <w:tab w:val="left" w:pos="900"/>
          <w:tab w:val="clear" w:pos="1478"/>
        </w:tabs>
        <w:spacing w:line="360" w:lineRule="auto"/>
        <w:ind w:left="1080" w:hanging="54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在本区域发生的涉外、涉港澳台侨重大刑事案件。</w:t>
      </w:r>
    </w:p>
    <w:p>
      <w:pPr>
        <w:numPr>
          <w:ilvl w:val="0"/>
          <w:numId w:val="3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重大刑事案件包括：</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一次性造成公共场所3人以上死亡，或学校内发生的造成人员伤亡、危害严重的杀人、爆炸、纵火、毒气、绑架、劫持人质和投放危险物质等案件；</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抢劫现金50万元以上或财物价值200万元以上，盗窃现金100万元以上或财物价值300万元以上，或抢劫金融机构或运钞车，盗窃金融机构现金30万元以上的案件；</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有组织团伙性制售假劣药品、医疗器械和有毒有害食品，对人体健康和生命安全造成威胁的案件；</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案值数额在2000万以上的走私、骗汇、逃汇、洗钱、金融诈骗案、增值税发票及其他票证案，面值在200万元以上的制贩假币案件；</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因假劣种子、化肥、农药等农用生产资料造成大面积绝收、减产的坑农案件；</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非法猎捕、采集国家重点保护野生动植物和破坏物种资源致使物种或种群面临灭绝危险的重大案件；</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制毒（海洛因、冰毒）5～20公斤、贩毒（海洛因、冰毒）500克以上、聚众吸毒40人以上及携带管制刀具贩毒案件；</w:t>
      </w:r>
    </w:p>
    <w:p>
      <w:pPr>
        <w:numPr>
          <w:ilvl w:val="0"/>
          <w:numId w:val="39"/>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涉及50人以上，或者偷渡人员较多，且有人员伤亡，在国际上造成一定影响的偷渡案件。</w:t>
      </w:r>
    </w:p>
    <w:p>
      <w:pPr>
        <w:numPr>
          <w:ilvl w:val="0"/>
          <w:numId w:val="37"/>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较大刑事案件包括：</w:t>
      </w:r>
    </w:p>
    <w:p>
      <w:pPr>
        <w:numPr>
          <w:ilvl w:val="0"/>
          <w:numId w:val="4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制售假劣药品、医疗器械和有毒有害食品，对人体健康和生命安全造成威胁的案件；</w:t>
      </w:r>
    </w:p>
    <w:p>
      <w:pPr>
        <w:numPr>
          <w:ilvl w:val="0"/>
          <w:numId w:val="4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因假劣种子、化肥、农药等农用生产资料造成一定面积绝收、减产的坑农案件；</w:t>
      </w:r>
    </w:p>
    <w:p>
      <w:pPr>
        <w:numPr>
          <w:ilvl w:val="0"/>
          <w:numId w:val="40"/>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涉及10人以上、50人以下，或者偷渡人员较多，且有人员伤亡，在国内造成一定影响的偷渡案件。</w:t>
      </w:r>
    </w:p>
    <w:p>
      <w:pPr>
        <w:spacing w:line="360" w:lineRule="auto"/>
        <w:ind w:firstLine="560" w:firstLineChars="200"/>
        <w:rPr>
          <w:rFonts w:hint="default" w:ascii="Times New Roman" w:hAnsi="Times New Roman" w:cs="Times New Roman"/>
          <w:color w:val="000000"/>
          <w:kern w:val="0"/>
          <w:sz w:val="28"/>
          <w:szCs w:val="28"/>
        </w:rPr>
      </w:pPr>
      <w:bookmarkStart w:id="83" w:name="_Toc387222939"/>
      <w:r>
        <w:rPr>
          <w:rFonts w:hint="default" w:ascii="Times New Roman" w:hAnsi="Times New Roman" w:cs="Times New Roman"/>
          <w:color w:val="000000"/>
          <w:kern w:val="0"/>
          <w:sz w:val="28"/>
          <w:szCs w:val="28"/>
        </w:rPr>
        <w:t>五、经济安全事件类</w:t>
      </w:r>
      <w:bookmarkEnd w:id="83"/>
    </w:p>
    <w:p>
      <w:pPr>
        <w:spacing w:line="360" w:lineRule="auto"/>
        <w:ind w:firstLine="560" w:firstLineChars="200"/>
        <w:rPr>
          <w:rFonts w:hint="default" w:ascii="Times New Roman" w:hAnsi="Times New Roman" w:cs="Times New Roman"/>
          <w:color w:val="000000"/>
          <w:kern w:val="0"/>
          <w:sz w:val="28"/>
          <w:szCs w:val="28"/>
        </w:rPr>
      </w:pPr>
      <w:bookmarkStart w:id="84" w:name="_Toc387222940"/>
      <w:r>
        <w:rPr>
          <w:rFonts w:hint="default" w:ascii="Times New Roman" w:hAnsi="Times New Roman" w:cs="Times New Roman"/>
          <w:color w:val="000000"/>
          <w:kern w:val="0"/>
          <w:sz w:val="28"/>
          <w:szCs w:val="28"/>
        </w:rPr>
        <w:t>（一）金融突发事件</w:t>
      </w:r>
      <w:bookmarkEnd w:id="84"/>
    </w:p>
    <w:p>
      <w:pPr>
        <w:numPr>
          <w:ilvl w:val="0"/>
          <w:numId w:val="41"/>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特别重大金融突发事件包括：</w:t>
      </w:r>
    </w:p>
    <w:p>
      <w:pPr>
        <w:numPr>
          <w:ilvl w:val="0"/>
          <w:numId w:val="42"/>
        </w:numPr>
        <w:tabs>
          <w:tab w:val="left" w:pos="1260"/>
          <w:tab w:val="clear" w:pos="1478"/>
        </w:tabs>
        <w:spacing w:line="360" w:lineRule="auto"/>
        <w:ind w:left="1260" w:right="-227" w:rightChars="-108"/>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在本区域发生的具有全国性影响的金融（含证券、期货）突发事件；</w:t>
      </w:r>
    </w:p>
    <w:p>
      <w:pPr>
        <w:numPr>
          <w:ilvl w:val="0"/>
          <w:numId w:val="42"/>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金融行业已出现或将要出现连锁反应，需要有关部门协同配合共同处置的金融突发事件。</w:t>
      </w:r>
    </w:p>
    <w:p>
      <w:pPr>
        <w:numPr>
          <w:ilvl w:val="0"/>
          <w:numId w:val="41"/>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重大金融突发事件包括：</w:t>
      </w:r>
    </w:p>
    <w:p>
      <w:pPr>
        <w:numPr>
          <w:ilvl w:val="0"/>
          <w:numId w:val="43"/>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在本区域发生的，对全市金融行业造成影响，但未造成全省或全国性影响的金融突发事件；</w:t>
      </w:r>
    </w:p>
    <w:p>
      <w:pPr>
        <w:numPr>
          <w:ilvl w:val="0"/>
          <w:numId w:val="43"/>
        </w:numPr>
        <w:tabs>
          <w:tab w:val="left" w:pos="108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在本区域发生的，省、市监管部门不能单独应对，需进行跨省、跨部门协调的金融突发事件。</w:t>
      </w:r>
    </w:p>
    <w:p>
      <w:pPr>
        <w:numPr>
          <w:ilvl w:val="0"/>
          <w:numId w:val="41"/>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较大金融突发事件包括：</w:t>
      </w:r>
    </w:p>
    <w:p>
      <w:pPr>
        <w:numPr>
          <w:ilvl w:val="0"/>
          <w:numId w:val="44"/>
        </w:numPr>
        <w:tabs>
          <w:tab w:val="left" w:pos="1260"/>
          <w:tab w:val="clear" w:pos="1478"/>
        </w:tabs>
        <w:spacing w:line="360" w:lineRule="auto"/>
        <w:ind w:left="1260" w:right="-334" w:rightChars="-159"/>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县外出现的，已经影响或极有可能影响本区域金融稳定的金融突发事件；</w:t>
      </w:r>
    </w:p>
    <w:p>
      <w:pPr>
        <w:numPr>
          <w:ilvl w:val="0"/>
          <w:numId w:val="44"/>
        </w:numPr>
        <w:tabs>
          <w:tab w:val="left" w:pos="1260"/>
          <w:tab w:val="clear" w:pos="1478"/>
        </w:tabs>
        <w:spacing w:line="360" w:lineRule="auto"/>
        <w:ind w:left="126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影响本区域金融机构正常运营，有可能对社会造成一定社会影响的金融突发事件。</w:t>
      </w:r>
    </w:p>
    <w:p>
      <w:pPr>
        <w:spacing w:line="360" w:lineRule="auto"/>
        <w:ind w:firstLine="560" w:firstLineChars="200"/>
        <w:rPr>
          <w:rFonts w:hint="default" w:ascii="Times New Roman" w:hAnsi="Times New Roman" w:cs="Times New Roman"/>
          <w:color w:val="000000"/>
          <w:kern w:val="0"/>
          <w:sz w:val="28"/>
          <w:szCs w:val="28"/>
        </w:rPr>
      </w:pPr>
      <w:bookmarkStart w:id="85" w:name="_Toc387222941"/>
      <w:r>
        <w:rPr>
          <w:rFonts w:hint="default" w:ascii="Times New Roman" w:hAnsi="Times New Roman" w:cs="Times New Roman"/>
          <w:color w:val="000000"/>
          <w:kern w:val="0"/>
          <w:sz w:val="28"/>
          <w:szCs w:val="28"/>
        </w:rPr>
        <w:t>（二）影响市场稳定的突发事件</w:t>
      </w:r>
      <w:bookmarkEnd w:id="85"/>
    </w:p>
    <w:p>
      <w:pPr>
        <w:numPr>
          <w:ilvl w:val="0"/>
          <w:numId w:val="45"/>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特别重大影响市场稳定的突发事件包括：</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在包括本区域在内的2个以上县（市、区）发生重要生活必需品市场异常波动，供应短缺。</w:t>
      </w:r>
    </w:p>
    <w:p>
      <w:pPr>
        <w:numPr>
          <w:ilvl w:val="0"/>
          <w:numId w:val="45"/>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重大影响市场稳定的突发事件包括：</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全区出现粮食市场急剧波动的状况。</w:t>
      </w:r>
    </w:p>
    <w:p>
      <w:pPr>
        <w:numPr>
          <w:ilvl w:val="0"/>
          <w:numId w:val="45"/>
        </w:numPr>
        <w:spacing w:line="360" w:lineRule="auto"/>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较大影响市场稳定的突发事件包括：</w:t>
      </w:r>
    </w:p>
    <w:p>
      <w:pPr>
        <w:spacing w:line="360" w:lineRule="auto"/>
        <w:ind w:right="-227" w:rightChars="-108"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全区出现居民集中购买生活必需品，部分监测点出现监控的商品脱销断档；或生活必需品市场供应紧张，监控商品价格不正常涨幅达到50%；或因其它突发事件，造成全区人民生活必需品市场急剧波动，出现供给危机。</w:t>
      </w:r>
    </w:p>
    <w:p>
      <w:pPr>
        <w:spacing w:line="360" w:lineRule="auto"/>
        <w:ind w:firstLine="560" w:firstLineChars="200"/>
        <w:rPr>
          <w:rFonts w:hint="default" w:ascii="Times New Roman" w:hAnsi="Times New Roman" w:cs="Times New Roman"/>
          <w:color w:val="000000"/>
          <w:kern w:val="0"/>
          <w:sz w:val="28"/>
          <w:szCs w:val="28"/>
        </w:rPr>
      </w:pPr>
      <w:r>
        <w:rPr>
          <w:rFonts w:hint="default" w:ascii="Times New Roman" w:hAnsi="Times New Roman" w:cs="Times New Roman"/>
          <w:color w:val="000000"/>
          <w:kern w:val="0"/>
          <w:sz w:val="28"/>
          <w:szCs w:val="28"/>
        </w:rPr>
        <w:t>对一些比较敏感或发生在敏感地区、敏感时间，或可能演化为特别重大、重大突发公共事件的信息报送和分级处置，不受上述标准限制。</w:t>
      </w:r>
    </w:p>
    <w:p>
      <w:pPr>
        <w:spacing w:line="360" w:lineRule="auto"/>
        <w:ind w:firstLine="420" w:firstLineChars="200"/>
        <w:rPr>
          <w:rFonts w:hint="default" w:ascii="Times New Roman" w:hAnsi="Times New Roman" w:cs="Times New Roman"/>
          <w:color w:val="000000"/>
          <w:kern w:val="0"/>
          <w:szCs w:val="21"/>
        </w:rPr>
      </w:pPr>
      <w:r>
        <w:rPr>
          <w:rFonts w:hint="default" w:ascii="Times New Roman" w:hAnsi="Times New Roman" w:cs="Times New Roman"/>
          <w:color w:val="000000"/>
          <w:kern w:val="0"/>
          <w:szCs w:val="21"/>
        </w:rPr>
        <w:t>注：上述标准中“以上”包括本数。</w:t>
      </w:r>
    </w:p>
    <w:p>
      <w:pPr>
        <w:spacing w:line="360" w:lineRule="auto"/>
        <w:ind w:firstLine="420" w:firstLineChars="200"/>
        <w:rPr>
          <w:rFonts w:hint="default" w:ascii="Times New Roman" w:hAnsi="Times New Roman" w:cs="Times New Roman"/>
          <w:color w:val="000000"/>
          <w:kern w:val="0"/>
          <w:szCs w:val="21"/>
        </w:rPr>
      </w:pPr>
    </w:p>
    <w:p>
      <w:pPr>
        <w:spacing w:line="360" w:lineRule="auto"/>
        <w:rPr>
          <w:rFonts w:hint="default" w:ascii="Times New Roman" w:hAnsi="Times New Roman" w:cs="Times New Roman"/>
          <w:color w:val="000000"/>
          <w:kern w:val="0"/>
          <w:szCs w:val="21"/>
        </w:rPr>
      </w:pPr>
    </w:p>
    <w:p>
      <w:pPr>
        <w:spacing w:line="360" w:lineRule="auto"/>
        <w:ind w:firstLine="420" w:firstLineChars="200"/>
        <w:rPr>
          <w:rFonts w:hint="default" w:ascii="Times New Roman" w:hAnsi="Times New Roman" w:cs="Times New Roman"/>
          <w:color w:val="000000"/>
          <w:kern w:val="0"/>
          <w:szCs w:val="21"/>
        </w:rPr>
      </w:pPr>
    </w:p>
    <w:p>
      <w:pPr>
        <w:spacing w:line="360" w:lineRule="auto"/>
        <w:ind w:firstLine="560" w:firstLineChars="200"/>
        <w:outlineLvl w:val="1"/>
        <w:rPr>
          <w:rFonts w:hint="default" w:ascii="Times New Roman" w:hAnsi="Times New Roman" w:cs="Times New Roman"/>
          <w:sz w:val="28"/>
          <w:szCs w:val="28"/>
        </w:rPr>
      </w:pPr>
      <w:bookmarkStart w:id="86" w:name="_Toc6365"/>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p>
    <w:p>
      <w:pPr>
        <w:spacing w:line="360" w:lineRule="auto"/>
        <w:ind w:firstLine="560" w:firstLineChars="200"/>
        <w:outlineLvl w:val="1"/>
        <w:rPr>
          <w:rFonts w:hint="default" w:ascii="Times New Roman" w:hAnsi="Times New Roman" w:cs="Times New Roman"/>
          <w:sz w:val="28"/>
          <w:szCs w:val="28"/>
        </w:rPr>
      </w:pPr>
      <w:r>
        <w:rPr>
          <w:rFonts w:hint="default" w:ascii="Times New Roman" w:hAnsi="Times New Roman" w:cs="Times New Roman"/>
          <w:sz w:val="28"/>
          <w:szCs w:val="28"/>
        </w:rPr>
        <w:t>9.2本区域发生突发事件的可能性</w:t>
      </w:r>
      <w:bookmarkEnd w:id="86"/>
    </w:p>
    <w:p>
      <w:pPr>
        <w:widowControl/>
        <w:spacing w:line="360" w:lineRule="auto"/>
        <w:ind w:firstLine="400"/>
        <w:jc w:val="left"/>
        <w:rPr>
          <w:rFonts w:hint="default" w:ascii="Times New Roman" w:hAnsi="Times New Roman" w:eastAsia="新宋体" w:cs="Times New Roman"/>
          <w:kern w:val="0"/>
          <w:sz w:val="28"/>
          <w:szCs w:val="28"/>
        </w:rPr>
      </w:pPr>
      <w:r>
        <w:rPr>
          <w:rFonts w:hint="default" w:ascii="Times New Roman" w:hAnsi="Times New Roman" w:cs="Times New Roman"/>
          <w:kern w:val="0"/>
          <w:sz w:val="28"/>
          <w:szCs w:val="28"/>
        </w:rPr>
        <w:t>比照国务院划分的突发公共事件类别，本区域可能发生的突发事件大致可以分为四类十一种：</w:t>
      </w:r>
    </w:p>
    <w:tbl>
      <w:tblPr>
        <w:tblStyle w:val="10"/>
        <w:tblW w:w="9654"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0"/>
        <w:gridCol w:w="1344"/>
        <w:gridCol w:w="77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类别</w:t>
            </w: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具体事件</w:t>
            </w:r>
          </w:p>
        </w:tc>
        <w:tc>
          <w:tcPr>
            <w:tcW w:w="7770"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事件描述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自然灾害</w:t>
            </w: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气象灾害</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本地区地处中纬度地区，属亚热带季风气候，四季分明，气候温和，雨量充沛。一年中，冬季盛行大陆来的偏北风，以寒冷少雨天气为主；夏季盛行海洋来的东南风，以炎热多雨天气为主；春秋两季为冬夏季风交替时期，常出现冷暖、干湿多变的天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widowControl/>
              <w:spacing w:line="340" w:lineRule="exact"/>
              <w:jc w:val="center"/>
              <w:rPr>
                <w:rFonts w:hint="default" w:ascii="Times New Roman" w:hAnsi="Times New Roman" w:cs="Times New Roman"/>
                <w:kern w:val="0"/>
                <w:szCs w:val="21"/>
              </w:rPr>
            </w:pP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地震灾害</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本地区属于江南地层区苏州～长兴小区的江苏部分，地震不强烈，历史上仅发生过1次5.1级地震。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事故灾难</w:t>
            </w: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重大交通运输事故</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本区域交通发达，以高速公路、国道、省道为主，同时也有水上运输等多种交通方式。交通事故既包括交通线路上所有直接造成生命财产损失的事故，也包括影响区域生产和经济活动的人流物流受阻等。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widowControl/>
              <w:spacing w:line="340" w:lineRule="exact"/>
              <w:jc w:val="center"/>
              <w:rPr>
                <w:rFonts w:hint="default" w:ascii="Times New Roman" w:hAnsi="Times New Roman" w:cs="Times New Roman"/>
                <w:kern w:val="0"/>
                <w:szCs w:val="21"/>
              </w:rPr>
            </w:pP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各类重大安全事故</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这类事故发生地点涉及工矿企业、建设工程、公共场所及机关、企事业单位，发生形态有火灾、燃爆、跨塌、泄漏等。事故牵扯面广，往往与行政审批有关，一旦发生，几乎都是责任事故。对本区域来说，防范安全类事故一直是区域应急的重中之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widowControl/>
              <w:spacing w:line="340" w:lineRule="exact"/>
              <w:jc w:val="center"/>
              <w:rPr>
                <w:rFonts w:hint="default" w:ascii="Times New Roman" w:hAnsi="Times New Roman" w:cs="Times New Roman"/>
                <w:kern w:val="0"/>
                <w:szCs w:val="21"/>
              </w:rPr>
            </w:pP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城市生命线事故</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供水、供电、供油、供气、供热等工程是区域运行和居民生活的基础，局部故障发生率比较高，发生问题后的影响面大，要警惕检修维护过程中的作业安全，以及局部故障演化成大范围的事故。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widowControl/>
              <w:spacing w:line="340" w:lineRule="exact"/>
              <w:jc w:val="center"/>
              <w:rPr>
                <w:rFonts w:hint="default" w:ascii="Times New Roman" w:hAnsi="Times New Roman" w:cs="Times New Roman"/>
                <w:kern w:val="0"/>
                <w:szCs w:val="21"/>
              </w:rPr>
            </w:pP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重大环境污染和生态破坏事故</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辖区内中外企业对环境指标的要求普遍较高，要防止区域建设和企业发展到一定周期，由设备设施老化造成的环境污染，同时，邻边地区扩散性污染和过境物流带来的污染也不容忽视。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突发公共卫生事件</w:t>
            </w: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重大传播疫情及群体性不明原因疾病</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经济的活跃同时伴随着人流的活跃，本区域流动人口占常驻人口的比例较大，如果发生一定范围的传染病，扩散速度比一般区域要快。要警惕如鼠疫、霍乱、炭疽病、传染性非典型肺炎等传播疫情。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widowControl/>
              <w:spacing w:line="340" w:lineRule="exact"/>
              <w:jc w:val="center"/>
              <w:rPr>
                <w:rFonts w:hint="default" w:ascii="Times New Roman" w:hAnsi="Times New Roman" w:cs="Times New Roman"/>
                <w:kern w:val="0"/>
                <w:szCs w:val="21"/>
              </w:rPr>
            </w:pP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重大食物和职业中毒</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对我辖区来说，这类事件的防范重点一是涉及有毒有害物质的生产企业和施工场所，二是就餐人数较为集中的餐饮企业、食品生产企业、集体食堂和中小学。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restart"/>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突发社会安全事件</w:t>
            </w: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重大刑事案件</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在公安部门和行政部门之间要有一个沟通协调机制，一旦发生重大刑事案件，有关领导和部门能够及时掌握情况，予以指导配合。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widowControl/>
              <w:spacing w:line="340" w:lineRule="exact"/>
              <w:jc w:val="center"/>
              <w:rPr>
                <w:rFonts w:hint="default" w:ascii="Times New Roman" w:hAnsi="Times New Roman" w:cs="Times New Roman"/>
                <w:kern w:val="0"/>
                <w:szCs w:val="21"/>
              </w:rPr>
            </w:pP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涉外突发事件</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随着经济的快速发展，进行商务访问、技术交流以及长期工作、生活的外藉人员大量增加，出现涉外事件的几率不断上升，外事无小事，加强涉外管理、建立完善的涉外事件预警机制成为当务之急。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40" w:type="dxa"/>
            <w:vMerge w:val="continue"/>
            <w:tcBorders>
              <w:tl2br w:val="nil"/>
              <w:tr2bl w:val="nil"/>
            </w:tcBorders>
            <w:vAlign w:val="center"/>
          </w:tcPr>
          <w:p>
            <w:pPr>
              <w:widowControl/>
              <w:spacing w:line="340" w:lineRule="exact"/>
              <w:jc w:val="center"/>
              <w:rPr>
                <w:rFonts w:hint="default" w:ascii="Times New Roman" w:hAnsi="Times New Roman" w:cs="Times New Roman"/>
                <w:kern w:val="0"/>
                <w:szCs w:val="21"/>
              </w:rPr>
            </w:pPr>
          </w:p>
        </w:tc>
        <w:tc>
          <w:tcPr>
            <w:tcW w:w="1344" w:type="dxa"/>
            <w:tcBorders>
              <w:tl2br w:val="nil"/>
              <w:tr2bl w:val="nil"/>
            </w:tcBorders>
            <w:vAlign w:val="center"/>
          </w:tcPr>
          <w:p>
            <w:pPr>
              <w:widowControl/>
              <w:spacing w:line="340" w:lineRule="exact"/>
              <w:jc w:val="center"/>
              <w:rPr>
                <w:rFonts w:hint="default" w:ascii="Times New Roman" w:hAnsi="Times New Roman" w:cs="Times New Roman"/>
                <w:kern w:val="0"/>
                <w:szCs w:val="21"/>
              </w:rPr>
            </w:pPr>
            <w:r>
              <w:rPr>
                <w:rFonts w:hint="default" w:ascii="Times New Roman" w:hAnsi="Times New Roman" w:cs="Times New Roman"/>
                <w:kern w:val="0"/>
                <w:szCs w:val="21"/>
              </w:rPr>
              <w:t>规模较大的群体性事件</w:t>
            </w:r>
          </w:p>
        </w:tc>
        <w:tc>
          <w:tcPr>
            <w:tcW w:w="7770" w:type="dxa"/>
            <w:tcBorders>
              <w:tl2br w:val="nil"/>
              <w:tr2bl w:val="nil"/>
            </w:tcBorders>
            <w:vAlign w:val="center"/>
          </w:tcPr>
          <w:p>
            <w:pPr>
              <w:widowControl/>
              <w:spacing w:line="340" w:lineRule="exact"/>
              <w:jc w:val="left"/>
              <w:rPr>
                <w:rFonts w:hint="default" w:ascii="Times New Roman" w:hAnsi="Times New Roman" w:cs="Times New Roman"/>
                <w:kern w:val="0"/>
                <w:szCs w:val="21"/>
              </w:rPr>
            </w:pPr>
            <w:r>
              <w:rPr>
                <w:rFonts w:hint="default" w:ascii="Times New Roman" w:hAnsi="Times New Roman" w:cs="Times New Roman"/>
                <w:kern w:val="0"/>
                <w:szCs w:val="21"/>
              </w:rPr>
              <w:t>区域发展和企业机制变化都会带来部分人群的利益调整，从而导致行政争议和劳资纠纷。近年来企业问题导致职工集体信访的情况比以往有所增加。随着公共场所和重大活动的增多，人群密集场所的秩序控制应当引起重视。</w:t>
            </w:r>
          </w:p>
        </w:tc>
      </w:tr>
    </w:tbl>
    <w:p>
      <w:pPr>
        <w:spacing w:line="360" w:lineRule="auto"/>
        <w:outlineLvl w:val="1"/>
        <w:rPr>
          <w:rFonts w:hint="default" w:ascii="Times New Roman" w:hAnsi="Times New Roman" w:cs="Times New Roman"/>
          <w:sz w:val="28"/>
          <w:szCs w:val="28"/>
        </w:rPr>
      </w:pPr>
      <w:bookmarkStart w:id="87" w:name="_Toc15524"/>
    </w:p>
    <w:p>
      <w:pPr>
        <w:spacing w:line="360" w:lineRule="auto"/>
        <w:ind w:left="0" w:leftChars="0" w:firstLine="420" w:firstLineChars="150"/>
        <w:outlineLvl w:val="1"/>
        <w:rPr>
          <w:rFonts w:hint="default" w:ascii="Times New Roman" w:hAnsi="Times New Roman" w:cs="Times New Roman"/>
          <w:color w:val="000000"/>
        </w:rPr>
        <w:sectPr>
          <w:footerReference r:id="rId10" w:type="default"/>
          <w:pgSz w:w="11906" w:h="16838"/>
          <w:pgMar w:top="2098" w:right="1474" w:bottom="1984" w:left="1474" w:header="709" w:footer="709" w:gutter="0"/>
          <w:pgNumType w:start="1"/>
          <w:cols w:space="720" w:num="1"/>
        </w:sectPr>
      </w:pPr>
      <w:r>
        <w:rPr>
          <w:rFonts w:hint="default" w:ascii="Times New Roman" w:hAnsi="Times New Roman" w:cs="Times New Roman"/>
          <w:color w:val="000000"/>
          <w:sz w:val="28"/>
          <w:szCs w:val="28"/>
        </w:rPr>
        <mc:AlternateContent>
          <mc:Choice Requires="wpg">
            <w:drawing>
              <wp:anchor distT="0" distB="0" distL="114300" distR="114300" simplePos="0" relativeHeight="251661312" behindDoc="0" locked="0" layoutInCell="1" allowOverlap="1">
                <wp:simplePos x="0" y="0"/>
                <wp:positionH relativeFrom="column">
                  <wp:posOffset>570230</wp:posOffset>
                </wp:positionH>
                <wp:positionV relativeFrom="paragraph">
                  <wp:posOffset>698500</wp:posOffset>
                </wp:positionV>
                <wp:extent cx="4385310" cy="6630670"/>
                <wp:effectExtent l="4445" t="8255" r="10795" b="9525"/>
                <wp:wrapNone/>
                <wp:docPr id="318" name="组合 400"/>
                <wp:cNvGraphicFramePr/>
                <a:graphic xmlns:a="http://schemas.openxmlformats.org/drawingml/2006/main">
                  <a:graphicData uri="http://schemas.microsoft.com/office/word/2010/wordprocessingGroup">
                    <wpg:wgp>
                      <wpg:cNvGrpSpPr/>
                      <wpg:grpSpPr>
                        <a:xfrm>
                          <a:off x="0" y="0"/>
                          <a:ext cx="4385310" cy="6630670"/>
                          <a:chOff x="2308" y="1942"/>
                          <a:chExt cx="7409" cy="12324"/>
                        </a:xfrm>
                        <a:effectLst/>
                      </wpg:grpSpPr>
                      <wps:wsp>
                        <wps:cNvPr id="246" name="文本框 246"/>
                        <wps:cNvSpPr txBox="1"/>
                        <wps:spPr>
                          <a:xfrm>
                            <a:off x="4317" y="5686"/>
                            <a:ext cx="720" cy="468"/>
                          </a:xfrm>
                          <a:prstGeom prst="rect">
                            <a:avLst/>
                          </a:prstGeom>
                          <a:noFill/>
                          <a:ln w="9525">
                            <a:noFill/>
                          </a:ln>
                          <a:effectLst/>
                        </wps:spPr>
                        <wps:txbx>
                          <w:txbxContent>
                            <w:p>
                              <w:pPr>
                                <w:rPr>
                                  <w:szCs w:val="21"/>
                                </w:rPr>
                              </w:pPr>
                              <w:r>
                                <w:rPr>
                                  <w:rFonts w:hint="eastAsia" w:ascii="宋体" w:hAnsi="宋体"/>
                                  <w:szCs w:val="21"/>
                                </w:rPr>
                                <w:t>三级</w:t>
                              </w:r>
                            </w:p>
                          </w:txbxContent>
                        </wps:txbx>
                        <wps:bodyPr upright="1"/>
                      </wps:wsp>
                      <wps:wsp>
                        <wps:cNvPr id="247" name="文本框 247"/>
                        <wps:cNvSpPr txBox="1"/>
                        <wps:spPr>
                          <a:xfrm>
                            <a:off x="7917" y="3970"/>
                            <a:ext cx="540" cy="468"/>
                          </a:xfrm>
                          <a:prstGeom prst="rect">
                            <a:avLst/>
                          </a:prstGeom>
                          <a:noFill/>
                          <a:ln w="9525">
                            <a:noFill/>
                          </a:ln>
                          <a:effectLst/>
                        </wps:spPr>
                        <wps:txbx>
                          <w:txbxContent>
                            <w:p>
                              <w:r>
                                <w:rPr>
                                  <w:rFonts w:eastAsia="Times New Roman"/>
                                </w:rPr>
                                <w:t>N</w:t>
                              </w:r>
                            </w:p>
                          </w:txbxContent>
                        </wps:txbx>
                        <wps:bodyPr upright="1"/>
                      </wps:wsp>
                      <wps:wsp>
                        <wps:cNvPr id="248" name="文本框 248"/>
                        <wps:cNvSpPr txBox="1"/>
                        <wps:spPr>
                          <a:xfrm>
                            <a:off x="4317" y="10678"/>
                            <a:ext cx="540" cy="468"/>
                          </a:xfrm>
                          <a:prstGeom prst="rect">
                            <a:avLst/>
                          </a:prstGeom>
                          <a:noFill/>
                          <a:ln w="9525">
                            <a:noFill/>
                          </a:ln>
                          <a:effectLst/>
                        </wps:spPr>
                        <wps:txbx>
                          <w:txbxContent>
                            <w:p>
                              <w:r>
                                <w:rPr>
                                  <w:rFonts w:eastAsia="Times New Roman"/>
                                </w:rPr>
                                <w:t>N</w:t>
                              </w:r>
                            </w:p>
                          </w:txbxContent>
                        </wps:txbx>
                        <wps:bodyPr upright="1"/>
                      </wps:wsp>
                      <wps:wsp>
                        <wps:cNvPr id="249" name="流程图: 决策 249"/>
                        <wps:cNvSpPr/>
                        <wps:spPr>
                          <a:xfrm>
                            <a:off x="5037" y="5374"/>
                            <a:ext cx="2340" cy="1558"/>
                          </a:xfrm>
                          <a:prstGeom prst="flowChartDecision">
                            <a:avLst/>
                          </a:prstGeom>
                          <a:solidFill>
                            <a:srgbClr val="FFFFFF"/>
                          </a:solidFill>
                          <a:ln w="9525" cap="flat" cmpd="sng">
                            <a:solidFill>
                              <a:srgbClr val="000000"/>
                            </a:solidFill>
                            <a:prstDash val="solid"/>
                            <a:miter/>
                            <a:headEnd type="none" w="med" len="med"/>
                            <a:tailEnd type="none" w="med" len="med"/>
                          </a:ln>
                          <a:effectLst/>
                        </wps:spPr>
                        <wps:bodyPr upright="1"/>
                      </wps:wsp>
                      <wps:wsp>
                        <wps:cNvPr id="250" name="文本框 250"/>
                        <wps:cNvSpPr txBox="1"/>
                        <wps:spPr>
                          <a:xfrm>
                            <a:off x="5548" y="5842"/>
                            <a:ext cx="1260" cy="780"/>
                          </a:xfrm>
                          <a:prstGeom prst="rect">
                            <a:avLst/>
                          </a:prstGeom>
                          <a:noFill/>
                          <a:ln w="9525">
                            <a:noFill/>
                          </a:ln>
                          <a:effectLst/>
                        </wps:spPr>
                        <wps:txbx>
                          <w:txbxContent>
                            <w:p>
                              <w:pPr>
                                <w:rPr>
                                  <w:rFonts w:ascii="宋体" w:hAnsi="宋体"/>
                                  <w:szCs w:val="21"/>
                                </w:rPr>
                              </w:pPr>
                              <w:r>
                                <w:rPr>
                                  <w:rFonts w:hint="eastAsia" w:ascii="宋体" w:hAnsi="宋体"/>
                                  <w:szCs w:val="21"/>
                                </w:rPr>
                                <w:t>警情判断响应级别</w:t>
                              </w:r>
                            </w:p>
                          </w:txbxContent>
                        </wps:txbx>
                        <wps:bodyPr upright="1"/>
                      </wps:wsp>
                      <wpg:grpSp>
                        <wpg:cNvPr id="253" name="组合 253"/>
                        <wpg:cNvGrpSpPr/>
                        <wpg:grpSpPr>
                          <a:xfrm>
                            <a:off x="4497" y="1942"/>
                            <a:ext cx="3060" cy="1404"/>
                            <a:chOff x="3470" y="943"/>
                            <a:chExt cx="2661" cy="1222"/>
                          </a:xfrm>
                          <a:effectLst/>
                        </wpg:grpSpPr>
                        <wps:wsp>
                          <wps:cNvPr id="251" name="爆炸形 2 251"/>
                          <wps:cNvSpPr/>
                          <wps:spPr>
                            <a:xfrm>
                              <a:off x="3470" y="943"/>
                              <a:ext cx="2661" cy="1222"/>
                            </a:xfrm>
                            <a:prstGeom prst="irregularSeal2">
                              <a:avLst/>
                            </a:prstGeom>
                            <a:solidFill>
                              <a:srgbClr val="FFFFFF"/>
                            </a:solidFill>
                            <a:ln w="9525" cap="flat" cmpd="sng">
                              <a:solidFill>
                                <a:srgbClr val="000000"/>
                              </a:solidFill>
                              <a:prstDash val="solid"/>
                              <a:miter/>
                              <a:headEnd type="none" w="med" len="med"/>
                              <a:tailEnd type="none" w="med" len="med"/>
                            </a:ln>
                            <a:effectLst/>
                          </wps:spPr>
                          <wps:bodyPr upright="1"/>
                        </wps:wsp>
                        <wps:wsp>
                          <wps:cNvPr id="252" name="文本框 252"/>
                          <wps:cNvSpPr txBox="1"/>
                          <wps:spPr>
                            <a:xfrm>
                              <a:off x="4253" y="1350"/>
                              <a:ext cx="1095" cy="408"/>
                            </a:xfrm>
                            <a:prstGeom prst="rect">
                              <a:avLst/>
                            </a:prstGeom>
                            <a:solidFill>
                              <a:srgbClr val="FFFFFF"/>
                            </a:solidFill>
                            <a:ln w="9525">
                              <a:noFill/>
                            </a:ln>
                            <a:effectLst/>
                          </wps:spPr>
                          <wps:txbx>
                            <w:txbxContent>
                              <w:p>
                                <w:pPr>
                                  <w:rPr>
                                    <w:rFonts w:ascii="宋体" w:hAnsi="宋体"/>
                                  </w:rPr>
                                </w:pPr>
                                <w:r>
                                  <w:rPr>
                                    <w:rFonts w:hint="eastAsia" w:ascii="宋体" w:hAnsi="宋体"/>
                                  </w:rPr>
                                  <w:t>事故发生</w:t>
                                </w:r>
                              </w:p>
                            </w:txbxContent>
                          </wps:txbx>
                          <wps:bodyPr upright="1"/>
                        </wps:wsp>
                      </wpg:grpSp>
                      <wps:wsp>
                        <wps:cNvPr id="254" name="文本框 254"/>
                        <wps:cNvSpPr txBox="1"/>
                        <wps:spPr>
                          <a:xfrm>
                            <a:off x="5037" y="3970"/>
                            <a:ext cx="2160" cy="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rPr>
                              </w:pPr>
                              <w:r>
                                <w:rPr>
                                  <w:rFonts w:hint="eastAsia" w:ascii="宋体" w:hAnsi="宋体"/>
                                </w:rPr>
                                <w:t>应急救援中心接警</w:t>
                              </w:r>
                            </w:p>
                          </w:txbxContent>
                        </wps:txbx>
                        <wps:bodyPr lIns="91440" tIns="118800" rIns="91440" bIns="45720" upright="1"/>
                      </wps:wsp>
                      <wps:wsp>
                        <wps:cNvPr id="255" name="文本框 255"/>
                        <wps:cNvSpPr txBox="1"/>
                        <wps:spPr>
                          <a:xfrm>
                            <a:off x="5217" y="7714"/>
                            <a:ext cx="1800" cy="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rPr>
                              </w:pPr>
                              <w:r>
                                <w:rPr>
                                  <w:rFonts w:hint="eastAsia" w:ascii="宋体" w:hAnsi="宋体"/>
                                </w:rPr>
                                <w:t>应急启动</w:t>
                              </w:r>
                            </w:p>
                          </w:txbxContent>
                        </wps:txbx>
                        <wps:bodyPr lIns="91440" tIns="118800" rIns="91440" bIns="45720" upright="1"/>
                      </wps:wsp>
                      <wps:wsp>
                        <wps:cNvPr id="256" name="文本框 256"/>
                        <wps:cNvSpPr txBox="1"/>
                        <wps:spPr>
                          <a:xfrm>
                            <a:off x="5137" y="9118"/>
                            <a:ext cx="1980" cy="6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rPr>
                              </w:pPr>
                              <w:r>
                                <w:rPr>
                                  <w:rFonts w:hint="eastAsia" w:ascii="宋体" w:hAnsi="宋体"/>
                                </w:rPr>
                                <w:t>救援行动</w:t>
                              </w:r>
                            </w:p>
                          </w:txbxContent>
                        </wps:txbx>
                        <wps:bodyPr lIns="91440" tIns="118800" rIns="91440" bIns="45720" upright="1"/>
                      </wps:wsp>
                      <wps:wsp>
                        <wps:cNvPr id="257" name="流程图: 决策 257"/>
                        <wps:cNvSpPr/>
                        <wps:spPr>
                          <a:xfrm>
                            <a:off x="5037" y="10522"/>
                            <a:ext cx="2520" cy="936"/>
                          </a:xfrm>
                          <a:prstGeom prst="flowChartDecision">
                            <a:avLst/>
                          </a:prstGeom>
                          <a:solidFill>
                            <a:srgbClr val="FFFFFF"/>
                          </a:solidFill>
                          <a:ln w="9525" cap="flat" cmpd="sng">
                            <a:solidFill>
                              <a:srgbClr val="000000"/>
                            </a:solidFill>
                            <a:prstDash val="solid"/>
                            <a:miter/>
                            <a:headEnd type="none" w="med" len="med"/>
                            <a:tailEnd type="none" w="med" len="med"/>
                          </a:ln>
                          <a:effectLst/>
                        </wps:spPr>
                        <wps:bodyPr upright="1"/>
                      </wps:wsp>
                      <wps:wsp>
                        <wps:cNvPr id="258" name="文本框 258"/>
                        <wps:cNvSpPr txBox="1"/>
                        <wps:spPr>
                          <a:xfrm>
                            <a:off x="5728" y="10803"/>
                            <a:ext cx="1163" cy="468"/>
                          </a:xfrm>
                          <a:prstGeom prst="rect">
                            <a:avLst/>
                          </a:prstGeom>
                          <a:noFill/>
                          <a:ln w="9525">
                            <a:noFill/>
                          </a:ln>
                          <a:effectLst/>
                        </wps:spPr>
                        <wps:txbx>
                          <w:txbxContent>
                            <w:p>
                              <w:pPr>
                                <w:jc w:val="center"/>
                                <w:rPr>
                                  <w:rFonts w:ascii="宋体" w:hAnsi="宋体"/>
                                </w:rPr>
                              </w:pPr>
                              <w:r>
                                <w:rPr>
                                  <w:rFonts w:hint="eastAsia" w:ascii="宋体" w:hAnsi="宋体"/>
                                </w:rPr>
                                <w:t>事态控制</w:t>
                              </w:r>
                            </w:p>
                          </w:txbxContent>
                        </wps:txbx>
                        <wps:bodyPr upright="1"/>
                      </wps:wsp>
                      <wps:wsp>
                        <wps:cNvPr id="259" name="文本框 259"/>
                        <wps:cNvSpPr txBox="1"/>
                        <wps:spPr>
                          <a:xfrm>
                            <a:off x="5217" y="12238"/>
                            <a:ext cx="1980" cy="62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rPr>
                              </w:pPr>
                              <w:r>
                                <w:rPr>
                                  <w:rFonts w:hint="eastAsia" w:ascii="宋体" w:hAnsi="宋体"/>
                                </w:rPr>
                                <w:t>应急恢复</w:t>
                              </w:r>
                            </w:p>
                          </w:txbxContent>
                        </wps:txbx>
                        <wps:bodyPr lIns="91440" tIns="118800" rIns="91440" bIns="45720" upright="1"/>
                      </wps:wsp>
                      <wps:wsp>
                        <wps:cNvPr id="260" name="文本框 260"/>
                        <wps:cNvSpPr txBox="1"/>
                        <wps:spPr>
                          <a:xfrm>
                            <a:off x="5217" y="13642"/>
                            <a:ext cx="2160" cy="624"/>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rPr>
                              </w:pPr>
                              <w:r>
                                <w:rPr>
                                  <w:rFonts w:hint="eastAsia" w:ascii="宋体" w:hAnsi="宋体"/>
                                </w:rPr>
                                <w:t>应急结束（关闭）</w:t>
                              </w:r>
                            </w:p>
                          </w:txbxContent>
                        </wps:txbx>
                        <wps:bodyPr lIns="91440" tIns="118800" rIns="91440" bIns="45720" upright="1"/>
                      </wps:wsp>
                      <wps:wsp>
                        <wps:cNvPr id="261" name="直接连接符 261"/>
                        <wps:cNvCnPr/>
                        <wps:spPr>
                          <a:xfrm>
                            <a:off x="6217" y="3034"/>
                            <a:ext cx="1" cy="936"/>
                          </a:xfrm>
                          <a:prstGeom prst="line">
                            <a:avLst/>
                          </a:prstGeom>
                          <a:ln w="9525" cap="flat" cmpd="sng">
                            <a:solidFill>
                              <a:srgbClr val="000000"/>
                            </a:solidFill>
                            <a:prstDash val="solid"/>
                            <a:headEnd type="none" w="med" len="med"/>
                            <a:tailEnd type="triangle" w="sm" len="lg"/>
                          </a:ln>
                          <a:effectLst/>
                        </wps:spPr>
                        <wps:bodyPr upright="1"/>
                      </wps:wsp>
                      <wps:wsp>
                        <wps:cNvPr id="262" name="直接连接符 262"/>
                        <wps:cNvCnPr/>
                        <wps:spPr>
                          <a:xfrm>
                            <a:off x="6217" y="4594"/>
                            <a:ext cx="1" cy="779"/>
                          </a:xfrm>
                          <a:prstGeom prst="line">
                            <a:avLst/>
                          </a:prstGeom>
                          <a:ln w="9525" cap="flat" cmpd="sng">
                            <a:solidFill>
                              <a:srgbClr val="000000"/>
                            </a:solidFill>
                            <a:prstDash val="solid"/>
                            <a:headEnd type="none" w="med" len="med"/>
                            <a:tailEnd type="triangle" w="sm" len="lg"/>
                          </a:ln>
                          <a:effectLst/>
                        </wps:spPr>
                        <wps:bodyPr upright="1"/>
                      </wps:wsp>
                      <wps:wsp>
                        <wps:cNvPr id="263" name="直接连接符 263"/>
                        <wps:cNvCnPr/>
                        <wps:spPr>
                          <a:xfrm>
                            <a:off x="6237" y="6934"/>
                            <a:ext cx="1" cy="779"/>
                          </a:xfrm>
                          <a:prstGeom prst="line">
                            <a:avLst/>
                          </a:prstGeom>
                          <a:ln w="9525" cap="flat" cmpd="sng">
                            <a:solidFill>
                              <a:srgbClr val="000000"/>
                            </a:solidFill>
                            <a:prstDash val="solid"/>
                            <a:headEnd type="none" w="med" len="med"/>
                            <a:tailEnd type="triangle" w="sm" len="lg"/>
                          </a:ln>
                          <a:effectLst/>
                        </wps:spPr>
                        <wps:bodyPr upright="1"/>
                      </wps:wsp>
                      <wps:wsp>
                        <wps:cNvPr id="264" name="直接连接符 264"/>
                        <wps:cNvCnPr/>
                        <wps:spPr>
                          <a:xfrm>
                            <a:off x="6297" y="8338"/>
                            <a:ext cx="1" cy="779"/>
                          </a:xfrm>
                          <a:prstGeom prst="line">
                            <a:avLst/>
                          </a:prstGeom>
                          <a:ln w="9525" cap="flat" cmpd="sng">
                            <a:solidFill>
                              <a:srgbClr val="000000"/>
                            </a:solidFill>
                            <a:prstDash val="solid"/>
                            <a:headEnd type="none" w="med" len="med"/>
                            <a:tailEnd type="triangle" w="sm" len="lg"/>
                          </a:ln>
                          <a:effectLst/>
                        </wps:spPr>
                        <wps:bodyPr upright="1"/>
                      </wps:wsp>
                      <wps:wsp>
                        <wps:cNvPr id="265" name="直接连接符 265"/>
                        <wps:cNvCnPr/>
                        <wps:spPr>
                          <a:xfrm>
                            <a:off x="6297" y="9742"/>
                            <a:ext cx="1" cy="779"/>
                          </a:xfrm>
                          <a:prstGeom prst="line">
                            <a:avLst/>
                          </a:prstGeom>
                          <a:ln w="9525" cap="flat" cmpd="sng">
                            <a:solidFill>
                              <a:srgbClr val="000000"/>
                            </a:solidFill>
                            <a:prstDash val="solid"/>
                            <a:headEnd type="none" w="med" len="med"/>
                            <a:tailEnd type="triangle" w="sm" len="lg"/>
                          </a:ln>
                          <a:effectLst/>
                        </wps:spPr>
                        <wps:bodyPr upright="1"/>
                      </wps:wsp>
                      <wps:wsp>
                        <wps:cNvPr id="266" name="直接连接符 266"/>
                        <wps:cNvCnPr/>
                        <wps:spPr>
                          <a:xfrm>
                            <a:off x="6297" y="11458"/>
                            <a:ext cx="1" cy="779"/>
                          </a:xfrm>
                          <a:prstGeom prst="line">
                            <a:avLst/>
                          </a:prstGeom>
                          <a:ln w="9525" cap="flat" cmpd="sng">
                            <a:solidFill>
                              <a:srgbClr val="000000"/>
                            </a:solidFill>
                            <a:prstDash val="solid"/>
                            <a:headEnd type="none" w="med" len="med"/>
                            <a:tailEnd type="triangle" w="sm" len="lg"/>
                          </a:ln>
                          <a:effectLst/>
                        </wps:spPr>
                        <wps:bodyPr upright="1"/>
                      </wps:wsp>
                      <wps:wsp>
                        <wps:cNvPr id="267" name="直接连接符 267"/>
                        <wps:cNvCnPr/>
                        <wps:spPr>
                          <a:xfrm>
                            <a:off x="6297" y="12862"/>
                            <a:ext cx="1" cy="779"/>
                          </a:xfrm>
                          <a:prstGeom prst="line">
                            <a:avLst/>
                          </a:prstGeom>
                          <a:ln w="9525" cap="flat" cmpd="sng">
                            <a:solidFill>
                              <a:srgbClr val="000000"/>
                            </a:solidFill>
                            <a:prstDash val="solid"/>
                            <a:headEnd type="none" w="med" len="med"/>
                            <a:tailEnd type="triangle" w="sm" len="lg"/>
                          </a:ln>
                          <a:effectLst/>
                        </wps:spPr>
                        <wps:bodyPr upright="1"/>
                      </wps:wsp>
                      <wps:wsp>
                        <wps:cNvPr id="268" name="文本框 268"/>
                        <wps:cNvSpPr txBox="1"/>
                        <wps:spPr>
                          <a:xfrm>
                            <a:off x="8277" y="3190"/>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rPr>
                              </w:pPr>
                              <w:r>
                                <w:rPr>
                                  <w:rFonts w:hint="eastAsia" w:ascii="宋体" w:hAnsi="宋体"/>
                                </w:rPr>
                                <w:t>信息反馈</w:t>
                              </w:r>
                            </w:p>
                          </w:txbxContent>
                        </wps:txbx>
                        <wps:bodyPr lIns="91440" tIns="46800" rIns="91440" bIns="45720" upright="1"/>
                      </wps:wsp>
                      <wps:wsp>
                        <wps:cNvPr id="269" name="直接连接符 269"/>
                        <wps:cNvCnPr/>
                        <wps:spPr>
                          <a:xfrm>
                            <a:off x="7088" y="9430"/>
                            <a:ext cx="620" cy="0"/>
                          </a:xfrm>
                          <a:prstGeom prst="line">
                            <a:avLst/>
                          </a:prstGeom>
                          <a:ln w="9525" cap="flat" cmpd="sng">
                            <a:solidFill>
                              <a:srgbClr val="000000"/>
                            </a:solidFill>
                            <a:prstDash val="solid"/>
                            <a:headEnd type="none" w="med" len="med"/>
                            <a:tailEnd type="none" w="med" len="med"/>
                          </a:ln>
                          <a:effectLst/>
                        </wps:spPr>
                        <wps:bodyPr upright="1"/>
                      </wps:wsp>
                      <wps:wsp>
                        <wps:cNvPr id="270" name="直接连接符 270"/>
                        <wps:cNvCnPr/>
                        <wps:spPr>
                          <a:xfrm>
                            <a:off x="7708" y="7090"/>
                            <a:ext cx="0" cy="5772"/>
                          </a:xfrm>
                          <a:prstGeom prst="line">
                            <a:avLst/>
                          </a:prstGeom>
                          <a:ln w="9525" cap="flat" cmpd="sng">
                            <a:solidFill>
                              <a:srgbClr val="000000"/>
                            </a:solidFill>
                            <a:prstDash val="solid"/>
                            <a:headEnd type="none" w="med" len="med"/>
                            <a:tailEnd type="none" w="med" len="med"/>
                          </a:ln>
                          <a:effectLst/>
                        </wps:spPr>
                        <wps:bodyPr upright="1"/>
                      </wps:wsp>
                      <wps:wsp>
                        <wps:cNvPr id="271" name="文本框 271"/>
                        <wps:cNvSpPr txBox="1"/>
                        <wps:spPr>
                          <a:xfrm>
                            <a:off x="8248" y="693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人员救助</w:t>
                              </w:r>
                            </w:p>
                          </w:txbxContent>
                        </wps:txbx>
                        <wps:bodyPr lIns="91440" tIns="46800" rIns="91440" bIns="45720" upright="1"/>
                      </wps:wsp>
                      <wps:wsp>
                        <wps:cNvPr id="272" name="文本框 272"/>
                        <wps:cNvSpPr txBox="1"/>
                        <wps:spPr>
                          <a:xfrm>
                            <a:off x="8248" y="771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警   戒</w:t>
                              </w:r>
                            </w:p>
                          </w:txbxContent>
                        </wps:txbx>
                        <wps:bodyPr lIns="91440" tIns="46800" rIns="91440" bIns="45720" upright="1"/>
                      </wps:wsp>
                      <wps:wsp>
                        <wps:cNvPr id="273" name="直接连接符 273"/>
                        <wps:cNvCnPr/>
                        <wps:spPr>
                          <a:xfrm>
                            <a:off x="7197" y="4282"/>
                            <a:ext cx="1800" cy="0"/>
                          </a:xfrm>
                          <a:prstGeom prst="line">
                            <a:avLst/>
                          </a:prstGeom>
                          <a:ln w="9525" cap="flat" cmpd="sng">
                            <a:solidFill>
                              <a:srgbClr val="000000"/>
                            </a:solidFill>
                            <a:prstDash val="solid"/>
                            <a:headEnd type="none" w="med" len="med"/>
                            <a:tailEnd type="none" w="med" len="med"/>
                          </a:ln>
                          <a:effectLst/>
                        </wps:spPr>
                        <wps:bodyPr upright="1"/>
                      </wps:wsp>
                      <wps:wsp>
                        <wps:cNvPr id="274" name="直接连接符 274"/>
                        <wps:cNvCnPr/>
                        <wps:spPr>
                          <a:xfrm>
                            <a:off x="8997" y="3658"/>
                            <a:ext cx="1" cy="624"/>
                          </a:xfrm>
                          <a:prstGeom prst="line">
                            <a:avLst/>
                          </a:prstGeom>
                          <a:ln w="9525" cap="flat" cmpd="sng">
                            <a:solidFill>
                              <a:srgbClr val="000000"/>
                            </a:solidFill>
                            <a:prstDash val="solid"/>
                            <a:headEnd type="none" w="med" len="med"/>
                            <a:tailEnd type="none" w="med" len="med"/>
                          </a:ln>
                          <a:effectLst/>
                        </wps:spPr>
                        <wps:bodyPr upright="1"/>
                      </wps:wsp>
                      <wps:wsp>
                        <wps:cNvPr id="275" name="文本框 275"/>
                        <wps:cNvSpPr txBox="1"/>
                        <wps:spPr>
                          <a:xfrm>
                            <a:off x="2308" y="5842"/>
                            <a:ext cx="1649"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pPr>
                              <w:r>
                                <w:rPr>
                                  <w:rFonts w:hint="eastAsia"/>
                                </w:rPr>
                                <w:t>报  警</w:t>
                              </w:r>
                            </w:p>
                          </w:txbxContent>
                        </wps:txbx>
                        <wps:bodyPr lIns="91440" tIns="10800" rIns="91440" bIns="45720" upright="1"/>
                      </wps:wsp>
                      <wps:wsp>
                        <wps:cNvPr id="276" name="文本框 276"/>
                        <wps:cNvSpPr txBox="1"/>
                        <wps:spPr>
                          <a:xfrm>
                            <a:off x="8248" y="927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rPr>
                              </w:pPr>
                              <w:r>
                                <w:rPr>
                                  <w:rFonts w:hint="eastAsia" w:ascii="宋体" w:hAnsi="宋体"/>
                                </w:rPr>
                                <w:t>人员疏散</w:t>
                              </w:r>
                            </w:p>
                          </w:txbxContent>
                        </wps:txbx>
                        <wps:bodyPr lIns="91440" tIns="46800" rIns="91440" bIns="45720" upright="1"/>
                      </wps:wsp>
                      <wps:wsp>
                        <wps:cNvPr id="277" name="文本框 277"/>
                        <wps:cNvSpPr txBox="1"/>
                        <wps:spPr>
                          <a:xfrm>
                            <a:off x="8248" y="849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医疗救护</w:t>
                              </w:r>
                            </w:p>
                          </w:txbxContent>
                        </wps:txbx>
                        <wps:bodyPr lIns="91440" tIns="46800" rIns="91440" bIns="45720" upright="1"/>
                      </wps:wsp>
                      <wps:wsp>
                        <wps:cNvPr id="278" name="文本框 278"/>
                        <wps:cNvSpPr txBox="1"/>
                        <wps:spPr>
                          <a:xfrm>
                            <a:off x="8248" y="10054"/>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环境保护</w:t>
                              </w:r>
                            </w:p>
                          </w:txbxContent>
                        </wps:txbx>
                        <wps:bodyPr lIns="91440" tIns="46800" rIns="91440" bIns="45720" upright="1"/>
                      </wps:wsp>
                      <wps:wsp>
                        <wps:cNvPr id="279" name="文本框 279"/>
                        <wps:cNvSpPr txBox="1"/>
                        <wps:spPr>
                          <a:xfrm>
                            <a:off x="8248" y="10990"/>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现场监测</w:t>
                              </w:r>
                            </w:p>
                          </w:txbxContent>
                        </wps:txbx>
                        <wps:bodyPr lIns="91440" tIns="46800" rIns="91440" bIns="45720" upright="1"/>
                      </wps:wsp>
                      <wps:wsp>
                        <wps:cNvPr id="280" name="文本框 280"/>
                        <wps:cNvSpPr txBox="1"/>
                        <wps:spPr>
                          <a:xfrm>
                            <a:off x="8248" y="11770"/>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专家支持</w:t>
                              </w:r>
                            </w:p>
                          </w:txbxContent>
                        </wps:txbx>
                        <wps:bodyPr lIns="91440" tIns="46800" rIns="91440" bIns="45720" upright="1"/>
                      </wps:wsp>
                      <wps:wsp>
                        <wps:cNvPr id="281" name="文本框 281"/>
                        <wps:cNvSpPr txBox="1"/>
                        <wps:spPr>
                          <a:xfrm>
                            <a:off x="8248" y="12550"/>
                            <a:ext cx="144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工程抢险</w:t>
                              </w:r>
                            </w:p>
                          </w:txbxContent>
                        </wps:txbx>
                        <wps:bodyPr lIns="91440" tIns="46800" rIns="91440" bIns="45720" upright="1"/>
                      </wps:wsp>
                      <wps:wsp>
                        <wps:cNvPr id="282" name="文本框 282"/>
                        <wps:cNvSpPr txBox="1"/>
                        <wps:spPr>
                          <a:xfrm>
                            <a:off x="2337" y="7246"/>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ascii="宋体" w:hAnsi="宋体"/>
                                  <w:szCs w:val="21"/>
                                </w:rPr>
                              </w:pPr>
                              <w:r>
                                <w:rPr>
                                  <w:rFonts w:hint="eastAsia" w:ascii="宋体" w:hAnsi="宋体"/>
                                  <w:szCs w:val="21"/>
                                </w:rPr>
                                <w:t>现场指挥到位</w:t>
                              </w:r>
                            </w:p>
                          </w:txbxContent>
                        </wps:txbx>
                        <wps:bodyPr lIns="91440" tIns="46800" rIns="91440" bIns="45720" upright="1"/>
                      </wps:wsp>
                      <wps:wsp>
                        <wps:cNvPr id="283" name="直接连接符 283"/>
                        <wps:cNvCnPr/>
                        <wps:spPr>
                          <a:xfrm>
                            <a:off x="4497" y="8026"/>
                            <a:ext cx="740" cy="1"/>
                          </a:xfrm>
                          <a:prstGeom prst="line">
                            <a:avLst/>
                          </a:prstGeom>
                          <a:ln w="9525" cap="flat" cmpd="sng">
                            <a:solidFill>
                              <a:srgbClr val="000000"/>
                            </a:solidFill>
                            <a:prstDash val="solid"/>
                            <a:headEnd type="none" w="med" len="med"/>
                            <a:tailEnd type="none" w="med" len="med"/>
                          </a:ln>
                          <a:effectLst/>
                        </wps:spPr>
                        <wps:bodyPr upright="1"/>
                      </wps:wsp>
                      <wps:wsp>
                        <wps:cNvPr id="284" name="文本框 284"/>
                        <wps:cNvSpPr txBox="1"/>
                        <wps:spPr>
                          <a:xfrm>
                            <a:off x="2337" y="7870"/>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ascii="宋体" w:hAnsi="宋体"/>
                                  <w:szCs w:val="21"/>
                                </w:rPr>
                              </w:pPr>
                              <w:r>
                                <w:rPr>
                                  <w:rFonts w:hint="eastAsia" w:ascii="宋体" w:hAnsi="宋体"/>
                                  <w:szCs w:val="21"/>
                                </w:rPr>
                                <w:t>应急资源调配</w:t>
                              </w:r>
                            </w:p>
                          </w:txbxContent>
                        </wps:txbx>
                        <wps:bodyPr lIns="91440" tIns="46800" rIns="91440" bIns="45720" upright="1"/>
                      </wps:wsp>
                      <wps:wsp>
                        <wps:cNvPr id="285" name="文本框 285"/>
                        <wps:cNvSpPr txBox="1"/>
                        <wps:spPr>
                          <a:xfrm>
                            <a:off x="2337" y="9274"/>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扩大应急</w:t>
                              </w:r>
                            </w:p>
                          </w:txbxContent>
                        </wps:txbx>
                        <wps:bodyPr lIns="91440" tIns="46800" rIns="91440" bIns="45720" upright="1"/>
                      </wps:wsp>
                      <wps:wsp>
                        <wps:cNvPr id="286" name="文本框 286"/>
                        <wps:cNvSpPr txBox="1"/>
                        <wps:spPr>
                          <a:xfrm>
                            <a:off x="2337" y="8494"/>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rPr>
                                  <w:rFonts w:ascii="宋体" w:hAnsi="宋体"/>
                                  <w:szCs w:val="21"/>
                                </w:rPr>
                              </w:pPr>
                              <w:r>
                                <w:rPr>
                                  <w:rFonts w:hint="eastAsia" w:ascii="宋体" w:hAnsi="宋体"/>
                                  <w:szCs w:val="21"/>
                                </w:rPr>
                                <w:t>应急人员到位</w:t>
                              </w:r>
                            </w:p>
                          </w:txbxContent>
                        </wps:txbx>
                        <wps:bodyPr lIns="91440" tIns="46800" rIns="91440" bIns="45720" upright="1"/>
                      </wps:wsp>
                      <wps:wsp>
                        <wps:cNvPr id="287" name="直接连接符 287"/>
                        <wps:cNvCnPr/>
                        <wps:spPr>
                          <a:xfrm>
                            <a:off x="4497" y="7402"/>
                            <a:ext cx="1" cy="1404"/>
                          </a:xfrm>
                          <a:prstGeom prst="line">
                            <a:avLst/>
                          </a:prstGeom>
                          <a:ln w="9525" cap="flat" cmpd="sng">
                            <a:solidFill>
                              <a:srgbClr val="000000"/>
                            </a:solidFill>
                            <a:prstDash val="solid"/>
                            <a:headEnd type="none" w="med" len="med"/>
                            <a:tailEnd type="none" w="med" len="med"/>
                          </a:ln>
                          <a:effectLst/>
                        </wps:spPr>
                        <wps:bodyPr upright="1"/>
                      </wps:wsp>
                      <wps:wsp>
                        <wps:cNvPr id="288" name="直接连接符 288"/>
                        <wps:cNvCnPr/>
                        <wps:spPr>
                          <a:xfrm flipH="1">
                            <a:off x="3957" y="10990"/>
                            <a:ext cx="1080" cy="0"/>
                          </a:xfrm>
                          <a:prstGeom prst="line">
                            <a:avLst/>
                          </a:prstGeom>
                          <a:ln w="9525" cap="flat" cmpd="sng">
                            <a:solidFill>
                              <a:srgbClr val="000000"/>
                            </a:solidFill>
                            <a:prstDash val="solid"/>
                            <a:headEnd type="none" w="med" len="med"/>
                            <a:tailEnd type="triangle" w="sm" len="lg"/>
                          </a:ln>
                          <a:effectLst/>
                        </wps:spPr>
                        <wps:bodyPr upright="1"/>
                      </wps:wsp>
                      <wps:wsp>
                        <wps:cNvPr id="289" name="直接连接符 289"/>
                        <wps:cNvCnPr/>
                        <wps:spPr>
                          <a:xfrm>
                            <a:off x="3957" y="9430"/>
                            <a:ext cx="1200" cy="1"/>
                          </a:xfrm>
                          <a:prstGeom prst="line">
                            <a:avLst/>
                          </a:prstGeom>
                          <a:ln w="9525" cap="flat" cmpd="sng">
                            <a:solidFill>
                              <a:srgbClr val="000000"/>
                            </a:solidFill>
                            <a:prstDash val="solid"/>
                            <a:headEnd type="none" w="med" len="med"/>
                            <a:tailEnd type="triangle" w="med" len="med"/>
                          </a:ln>
                          <a:effectLst/>
                        </wps:spPr>
                        <wps:bodyPr upright="1"/>
                      </wps:wsp>
                      <wps:wsp>
                        <wps:cNvPr id="290" name="文本框 290"/>
                        <wps:cNvSpPr txBox="1"/>
                        <wps:spPr>
                          <a:xfrm>
                            <a:off x="2337" y="11614"/>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现场清理</w:t>
                              </w:r>
                            </w:p>
                          </w:txbxContent>
                        </wps:txbx>
                        <wps:bodyPr lIns="91440" tIns="46800" rIns="91440" bIns="45720" upright="1"/>
                      </wps:wsp>
                      <wps:wsp>
                        <wps:cNvPr id="291" name="文本框 291"/>
                        <wps:cNvSpPr txBox="1"/>
                        <wps:spPr>
                          <a:xfrm>
                            <a:off x="2337" y="12862"/>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善后处理</w:t>
                              </w:r>
                            </w:p>
                          </w:txbxContent>
                        </wps:txbx>
                        <wps:bodyPr lIns="91440" tIns="46800" rIns="91440" bIns="45720" upright="1"/>
                      </wps:wsp>
                      <wps:wsp>
                        <wps:cNvPr id="292" name="文本框 292"/>
                        <wps:cNvSpPr txBox="1"/>
                        <wps:spPr>
                          <a:xfrm>
                            <a:off x="2337" y="12238"/>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解除警戒</w:t>
                              </w:r>
                            </w:p>
                          </w:txbxContent>
                        </wps:txbx>
                        <wps:bodyPr lIns="91440" tIns="46800" rIns="91440" bIns="45720" upright="1"/>
                      </wps:wsp>
                      <wps:wsp>
                        <wps:cNvPr id="293" name="文本框 293"/>
                        <wps:cNvSpPr txBox="1"/>
                        <wps:spPr>
                          <a:xfrm>
                            <a:off x="2337" y="13486"/>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事故调查</w:t>
                              </w:r>
                            </w:p>
                          </w:txbxContent>
                        </wps:txbx>
                        <wps:bodyPr lIns="91440" tIns="46800" rIns="91440" bIns="45720" upright="1"/>
                      </wps:wsp>
                      <wps:wsp>
                        <wps:cNvPr id="294" name="直接连接符 294"/>
                        <wps:cNvCnPr/>
                        <wps:spPr>
                          <a:xfrm>
                            <a:off x="4497" y="11926"/>
                            <a:ext cx="1" cy="1872"/>
                          </a:xfrm>
                          <a:prstGeom prst="line">
                            <a:avLst/>
                          </a:prstGeom>
                          <a:ln w="9525" cap="flat" cmpd="sng">
                            <a:solidFill>
                              <a:srgbClr val="000000"/>
                            </a:solidFill>
                            <a:prstDash val="solid"/>
                            <a:headEnd type="none" w="med" len="med"/>
                            <a:tailEnd type="none" w="med" len="med"/>
                          </a:ln>
                          <a:effectLst/>
                        </wps:spPr>
                        <wps:bodyPr upright="1"/>
                      </wps:wsp>
                      <wps:wsp>
                        <wps:cNvPr id="295" name="直接连接符 295"/>
                        <wps:cNvCnPr/>
                        <wps:spPr>
                          <a:xfrm>
                            <a:off x="4497" y="12550"/>
                            <a:ext cx="720" cy="0"/>
                          </a:xfrm>
                          <a:prstGeom prst="line">
                            <a:avLst/>
                          </a:prstGeom>
                          <a:ln w="9525" cap="flat" cmpd="sng">
                            <a:solidFill>
                              <a:srgbClr val="000000"/>
                            </a:solidFill>
                            <a:prstDash val="solid"/>
                            <a:headEnd type="none" w="med" len="med"/>
                            <a:tailEnd type="none" w="med" len="med"/>
                          </a:ln>
                          <a:effectLst/>
                        </wps:spPr>
                        <wps:bodyPr upright="1"/>
                      </wps:wsp>
                      <wps:wsp>
                        <wps:cNvPr id="296" name="直接连接符 296"/>
                        <wps:cNvCnPr/>
                        <wps:spPr>
                          <a:xfrm>
                            <a:off x="3957" y="11926"/>
                            <a:ext cx="540" cy="0"/>
                          </a:xfrm>
                          <a:prstGeom prst="line">
                            <a:avLst/>
                          </a:prstGeom>
                          <a:ln w="9525" cap="flat" cmpd="sng">
                            <a:solidFill>
                              <a:srgbClr val="000000"/>
                            </a:solidFill>
                            <a:prstDash val="solid"/>
                            <a:headEnd type="none" w="med" len="med"/>
                            <a:tailEnd type="none" w="med" len="med"/>
                          </a:ln>
                          <a:effectLst/>
                        </wps:spPr>
                        <wps:bodyPr upright="1"/>
                      </wps:wsp>
                      <wps:wsp>
                        <wps:cNvPr id="297" name="直接连接符 297"/>
                        <wps:cNvCnPr/>
                        <wps:spPr>
                          <a:xfrm>
                            <a:off x="3957" y="12394"/>
                            <a:ext cx="540" cy="1"/>
                          </a:xfrm>
                          <a:prstGeom prst="line">
                            <a:avLst/>
                          </a:prstGeom>
                          <a:ln w="9525" cap="flat" cmpd="sng">
                            <a:solidFill>
                              <a:srgbClr val="000000"/>
                            </a:solidFill>
                            <a:prstDash val="solid"/>
                            <a:headEnd type="none" w="med" len="med"/>
                            <a:tailEnd type="none" w="med" len="med"/>
                          </a:ln>
                          <a:effectLst/>
                        </wps:spPr>
                        <wps:bodyPr upright="1"/>
                      </wps:wsp>
                      <wps:wsp>
                        <wps:cNvPr id="298" name="直接连接符 298"/>
                        <wps:cNvCnPr/>
                        <wps:spPr>
                          <a:xfrm>
                            <a:off x="3957" y="13174"/>
                            <a:ext cx="540" cy="0"/>
                          </a:xfrm>
                          <a:prstGeom prst="line">
                            <a:avLst/>
                          </a:prstGeom>
                          <a:ln w="9525" cap="flat" cmpd="sng">
                            <a:solidFill>
                              <a:srgbClr val="000000"/>
                            </a:solidFill>
                            <a:prstDash val="solid"/>
                            <a:headEnd type="none" w="med" len="med"/>
                            <a:tailEnd type="none" w="med" len="med"/>
                          </a:ln>
                          <a:effectLst/>
                        </wps:spPr>
                        <wps:bodyPr upright="1"/>
                      </wps:wsp>
                      <wps:wsp>
                        <wps:cNvPr id="299" name="直接连接符 299"/>
                        <wps:cNvCnPr/>
                        <wps:spPr>
                          <a:xfrm>
                            <a:off x="3957" y="13798"/>
                            <a:ext cx="540" cy="0"/>
                          </a:xfrm>
                          <a:prstGeom prst="line">
                            <a:avLst/>
                          </a:prstGeom>
                          <a:ln w="9525" cap="flat" cmpd="sng">
                            <a:solidFill>
                              <a:srgbClr val="000000"/>
                            </a:solidFill>
                            <a:prstDash val="solid"/>
                            <a:headEnd type="none" w="med" len="med"/>
                            <a:tailEnd type="none" w="med" len="med"/>
                          </a:ln>
                          <a:effectLst/>
                        </wps:spPr>
                        <wps:bodyPr upright="1"/>
                      </wps:wsp>
                      <wps:wsp>
                        <wps:cNvPr id="300" name="直接连接符 300"/>
                        <wps:cNvCnPr/>
                        <wps:spPr>
                          <a:xfrm>
                            <a:off x="7708" y="12862"/>
                            <a:ext cx="540" cy="0"/>
                          </a:xfrm>
                          <a:prstGeom prst="line">
                            <a:avLst/>
                          </a:prstGeom>
                          <a:ln w="9525" cap="flat" cmpd="sng">
                            <a:solidFill>
                              <a:srgbClr val="000000"/>
                            </a:solidFill>
                            <a:prstDash val="solid"/>
                            <a:headEnd type="none" w="med" len="med"/>
                            <a:tailEnd type="none" w="med" len="med"/>
                          </a:ln>
                          <a:effectLst/>
                        </wps:spPr>
                        <wps:bodyPr upright="1"/>
                      </wps:wsp>
                      <wps:wsp>
                        <wps:cNvPr id="301" name="直接连接符 301"/>
                        <wps:cNvCnPr/>
                        <wps:spPr>
                          <a:xfrm>
                            <a:off x="3957" y="7402"/>
                            <a:ext cx="540" cy="0"/>
                          </a:xfrm>
                          <a:prstGeom prst="line">
                            <a:avLst/>
                          </a:prstGeom>
                          <a:ln w="9525" cap="flat" cmpd="sng">
                            <a:solidFill>
                              <a:srgbClr val="000000"/>
                            </a:solidFill>
                            <a:prstDash val="solid"/>
                            <a:headEnd type="none" w="med" len="med"/>
                            <a:tailEnd type="none" w="med" len="med"/>
                          </a:ln>
                          <a:effectLst/>
                        </wps:spPr>
                        <wps:bodyPr upright="1"/>
                      </wps:wsp>
                      <wps:wsp>
                        <wps:cNvPr id="302" name="直接连接符 302"/>
                        <wps:cNvCnPr/>
                        <wps:spPr>
                          <a:xfrm>
                            <a:off x="3957" y="8026"/>
                            <a:ext cx="540" cy="0"/>
                          </a:xfrm>
                          <a:prstGeom prst="line">
                            <a:avLst/>
                          </a:prstGeom>
                          <a:ln w="9525" cap="flat" cmpd="sng">
                            <a:solidFill>
                              <a:srgbClr val="000000"/>
                            </a:solidFill>
                            <a:prstDash val="solid"/>
                            <a:headEnd type="none" w="med" len="med"/>
                            <a:tailEnd type="none" w="med" len="med"/>
                          </a:ln>
                          <a:effectLst/>
                        </wps:spPr>
                        <wps:bodyPr upright="1"/>
                      </wps:wsp>
                      <wps:wsp>
                        <wps:cNvPr id="303" name="直接连接符 303"/>
                        <wps:cNvCnPr/>
                        <wps:spPr>
                          <a:xfrm>
                            <a:off x="3957" y="8806"/>
                            <a:ext cx="540" cy="0"/>
                          </a:xfrm>
                          <a:prstGeom prst="line">
                            <a:avLst/>
                          </a:prstGeom>
                          <a:ln w="9525" cap="flat" cmpd="sng">
                            <a:solidFill>
                              <a:srgbClr val="000000"/>
                            </a:solidFill>
                            <a:prstDash val="solid"/>
                            <a:headEnd type="none" w="med" len="med"/>
                            <a:tailEnd type="none" w="med" len="med"/>
                          </a:ln>
                          <a:effectLst/>
                        </wps:spPr>
                        <wps:bodyPr upright="1"/>
                      </wps:wsp>
                      <wps:wsp>
                        <wps:cNvPr id="304" name="直接连接符 304"/>
                        <wps:cNvCnPr/>
                        <wps:spPr>
                          <a:xfrm flipH="1">
                            <a:off x="3957" y="6154"/>
                            <a:ext cx="1080" cy="0"/>
                          </a:xfrm>
                          <a:prstGeom prst="line">
                            <a:avLst/>
                          </a:prstGeom>
                          <a:ln w="9525" cap="flat" cmpd="sng">
                            <a:solidFill>
                              <a:srgbClr val="000000"/>
                            </a:solidFill>
                            <a:prstDash val="solid"/>
                            <a:headEnd type="none" w="med" len="med"/>
                            <a:tailEnd type="triangle" w="sm" len="lg"/>
                          </a:ln>
                          <a:effectLst/>
                        </wps:spPr>
                        <wps:bodyPr upright="1"/>
                      </wps:wsp>
                      <wps:wsp>
                        <wps:cNvPr id="305" name="直接连接符 305"/>
                        <wps:cNvCnPr/>
                        <wps:spPr>
                          <a:xfrm flipH="1">
                            <a:off x="7557" y="2410"/>
                            <a:ext cx="1440" cy="0"/>
                          </a:xfrm>
                          <a:prstGeom prst="line">
                            <a:avLst/>
                          </a:prstGeom>
                          <a:ln w="9525" cap="flat" cmpd="sng">
                            <a:solidFill>
                              <a:srgbClr val="000000"/>
                            </a:solidFill>
                            <a:prstDash val="solid"/>
                            <a:headEnd type="none" w="med" len="med"/>
                            <a:tailEnd type="triangle" w="sm" len="lg"/>
                          </a:ln>
                          <a:effectLst/>
                        </wps:spPr>
                        <wps:bodyPr upright="1"/>
                      </wps:wsp>
                      <wps:wsp>
                        <wps:cNvPr id="306" name="直接连接符 306"/>
                        <wps:cNvCnPr/>
                        <wps:spPr>
                          <a:xfrm>
                            <a:off x="8997" y="2410"/>
                            <a:ext cx="0" cy="780"/>
                          </a:xfrm>
                          <a:prstGeom prst="line">
                            <a:avLst/>
                          </a:prstGeom>
                          <a:ln w="9525" cap="flat" cmpd="sng">
                            <a:solidFill>
                              <a:srgbClr val="000000"/>
                            </a:solidFill>
                            <a:prstDash val="solid"/>
                            <a:headEnd type="none" w="med" len="med"/>
                            <a:tailEnd type="none" w="med" len="med"/>
                          </a:ln>
                          <a:effectLst/>
                        </wps:spPr>
                        <wps:bodyPr upright="1"/>
                      </wps:wsp>
                      <wps:wsp>
                        <wps:cNvPr id="307" name="文本框 307"/>
                        <wps:cNvSpPr txBox="1"/>
                        <wps:spPr>
                          <a:xfrm>
                            <a:off x="5728" y="11614"/>
                            <a:ext cx="540" cy="468"/>
                          </a:xfrm>
                          <a:prstGeom prst="rect">
                            <a:avLst/>
                          </a:prstGeom>
                          <a:noFill/>
                          <a:ln w="9525">
                            <a:noFill/>
                          </a:ln>
                          <a:effectLst/>
                        </wps:spPr>
                        <wps:txbx>
                          <w:txbxContent>
                            <w:p>
                              <w:r>
                                <w:rPr>
                                  <w:rFonts w:eastAsia="Times New Roman"/>
                                </w:rPr>
                                <w:t>Y</w:t>
                              </w:r>
                            </w:p>
                          </w:txbxContent>
                        </wps:txbx>
                        <wps:bodyPr upright="1"/>
                      </wps:wsp>
                      <wps:wsp>
                        <wps:cNvPr id="308" name="文本框 308"/>
                        <wps:cNvSpPr txBox="1"/>
                        <wps:spPr>
                          <a:xfrm>
                            <a:off x="5728" y="7090"/>
                            <a:ext cx="540" cy="468"/>
                          </a:xfrm>
                          <a:prstGeom prst="rect">
                            <a:avLst/>
                          </a:prstGeom>
                          <a:noFill/>
                          <a:ln w="9525">
                            <a:noFill/>
                          </a:ln>
                          <a:effectLst/>
                        </wps:spPr>
                        <wps:txbx>
                          <w:txbxContent>
                            <w:p>
                              <w:r>
                                <w:rPr>
                                  <w:rFonts w:eastAsia="Times New Roman"/>
                                </w:rPr>
                                <w:t>Y</w:t>
                              </w:r>
                            </w:p>
                          </w:txbxContent>
                        </wps:txbx>
                        <wps:bodyPr upright="1"/>
                      </wps:wsp>
                      <wps:wsp>
                        <wps:cNvPr id="309" name="直接连接符 309"/>
                        <wps:cNvCnPr/>
                        <wps:spPr>
                          <a:xfrm>
                            <a:off x="7708" y="11926"/>
                            <a:ext cx="540" cy="0"/>
                          </a:xfrm>
                          <a:prstGeom prst="line">
                            <a:avLst/>
                          </a:prstGeom>
                          <a:ln w="9525" cap="flat" cmpd="sng">
                            <a:solidFill>
                              <a:srgbClr val="000000"/>
                            </a:solidFill>
                            <a:prstDash val="solid"/>
                            <a:headEnd type="none" w="med" len="med"/>
                            <a:tailEnd type="none" w="med" len="med"/>
                          </a:ln>
                          <a:effectLst/>
                        </wps:spPr>
                        <wps:bodyPr upright="1"/>
                      </wps:wsp>
                      <wps:wsp>
                        <wps:cNvPr id="310" name="直接连接符 310"/>
                        <wps:cNvCnPr/>
                        <wps:spPr>
                          <a:xfrm>
                            <a:off x="7708" y="11146"/>
                            <a:ext cx="540" cy="0"/>
                          </a:xfrm>
                          <a:prstGeom prst="line">
                            <a:avLst/>
                          </a:prstGeom>
                          <a:ln w="9525" cap="flat" cmpd="sng">
                            <a:solidFill>
                              <a:srgbClr val="000000"/>
                            </a:solidFill>
                            <a:prstDash val="solid"/>
                            <a:headEnd type="none" w="med" len="med"/>
                            <a:tailEnd type="none" w="med" len="med"/>
                          </a:ln>
                          <a:effectLst/>
                        </wps:spPr>
                        <wps:bodyPr upright="1"/>
                      </wps:wsp>
                      <wps:wsp>
                        <wps:cNvPr id="311" name="直接连接符 311"/>
                        <wps:cNvCnPr/>
                        <wps:spPr>
                          <a:xfrm>
                            <a:off x="7708" y="10210"/>
                            <a:ext cx="540" cy="0"/>
                          </a:xfrm>
                          <a:prstGeom prst="line">
                            <a:avLst/>
                          </a:prstGeom>
                          <a:ln w="9525" cap="flat" cmpd="sng">
                            <a:solidFill>
                              <a:srgbClr val="000000"/>
                            </a:solidFill>
                            <a:prstDash val="solid"/>
                            <a:headEnd type="none" w="med" len="med"/>
                            <a:tailEnd type="none" w="med" len="med"/>
                          </a:ln>
                          <a:effectLst/>
                        </wps:spPr>
                        <wps:bodyPr upright="1"/>
                      </wps:wsp>
                      <wps:wsp>
                        <wps:cNvPr id="312" name="直接连接符 312"/>
                        <wps:cNvCnPr/>
                        <wps:spPr>
                          <a:xfrm>
                            <a:off x="7708" y="9430"/>
                            <a:ext cx="540" cy="0"/>
                          </a:xfrm>
                          <a:prstGeom prst="line">
                            <a:avLst/>
                          </a:prstGeom>
                          <a:ln w="9525" cap="flat" cmpd="sng">
                            <a:solidFill>
                              <a:srgbClr val="000000"/>
                            </a:solidFill>
                            <a:prstDash val="solid"/>
                            <a:headEnd type="none" w="med" len="med"/>
                            <a:tailEnd type="none" w="med" len="med"/>
                          </a:ln>
                          <a:effectLst/>
                        </wps:spPr>
                        <wps:bodyPr upright="1"/>
                      </wps:wsp>
                      <wps:wsp>
                        <wps:cNvPr id="313" name="直接连接符 313"/>
                        <wps:cNvCnPr/>
                        <wps:spPr>
                          <a:xfrm>
                            <a:off x="7708" y="8650"/>
                            <a:ext cx="540" cy="0"/>
                          </a:xfrm>
                          <a:prstGeom prst="line">
                            <a:avLst/>
                          </a:prstGeom>
                          <a:ln w="9525" cap="flat" cmpd="sng">
                            <a:solidFill>
                              <a:srgbClr val="000000"/>
                            </a:solidFill>
                            <a:prstDash val="solid"/>
                            <a:headEnd type="none" w="med" len="med"/>
                            <a:tailEnd type="none" w="med" len="med"/>
                          </a:ln>
                          <a:effectLst/>
                        </wps:spPr>
                        <wps:bodyPr upright="1"/>
                      </wps:wsp>
                      <wps:wsp>
                        <wps:cNvPr id="314" name="直接连接符 314"/>
                        <wps:cNvCnPr/>
                        <wps:spPr>
                          <a:xfrm>
                            <a:off x="7708" y="7870"/>
                            <a:ext cx="540" cy="0"/>
                          </a:xfrm>
                          <a:prstGeom prst="line">
                            <a:avLst/>
                          </a:prstGeom>
                          <a:ln w="9525" cap="flat" cmpd="sng">
                            <a:solidFill>
                              <a:srgbClr val="000000"/>
                            </a:solidFill>
                            <a:prstDash val="solid"/>
                            <a:headEnd type="none" w="med" len="med"/>
                            <a:tailEnd type="none" w="med" len="med"/>
                          </a:ln>
                          <a:effectLst/>
                        </wps:spPr>
                        <wps:bodyPr upright="1"/>
                      </wps:wsp>
                      <wps:wsp>
                        <wps:cNvPr id="315" name="直接连接符 315"/>
                        <wps:cNvCnPr/>
                        <wps:spPr>
                          <a:xfrm>
                            <a:off x="7708" y="7090"/>
                            <a:ext cx="511" cy="0"/>
                          </a:xfrm>
                          <a:prstGeom prst="line">
                            <a:avLst/>
                          </a:prstGeom>
                          <a:ln w="9525" cap="flat" cmpd="sng">
                            <a:solidFill>
                              <a:srgbClr val="000000"/>
                            </a:solidFill>
                            <a:prstDash val="solid"/>
                            <a:headEnd type="none" w="med" len="med"/>
                            <a:tailEnd type="none" w="med" len="med"/>
                          </a:ln>
                          <a:effectLst/>
                        </wps:spPr>
                        <wps:bodyPr upright="1"/>
                      </wps:wsp>
                      <wps:wsp>
                        <wps:cNvPr id="316" name="直接连接符 316"/>
                        <wps:cNvCnPr/>
                        <wps:spPr>
                          <a:xfrm flipV="1">
                            <a:off x="3028" y="9742"/>
                            <a:ext cx="0" cy="1092"/>
                          </a:xfrm>
                          <a:prstGeom prst="line">
                            <a:avLst/>
                          </a:prstGeom>
                          <a:ln w="9525" cap="flat" cmpd="sng">
                            <a:solidFill>
                              <a:srgbClr val="000000"/>
                            </a:solidFill>
                            <a:prstDash val="solid"/>
                            <a:headEnd type="none" w="med" len="med"/>
                            <a:tailEnd type="triangle" w="med" len="med"/>
                          </a:ln>
                          <a:effectLst/>
                        </wps:spPr>
                        <wps:bodyPr upright="1"/>
                      </wps:wsp>
                      <wps:wsp>
                        <wps:cNvPr id="317" name="文本框 317"/>
                        <wps:cNvSpPr txBox="1"/>
                        <wps:spPr>
                          <a:xfrm>
                            <a:off x="2337" y="10758"/>
                            <a:ext cx="1620" cy="46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ascii="宋体" w:hAnsi="宋体"/>
                                  <w:szCs w:val="21"/>
                                </w:rPr>
                              </w:pPr>
                              <w:r>
                                <w:rPr>
                                  <w:rFonts w:hint="eastAsia" w:ascii="宋体" w:hAnsi="宋体"/>
                                  <w:szCs w:val="21"/>
                                </w:rPr>
                                <w:t>申请支援</w:t>
                              </w:r>
                            </w:p>
                          </w:txbxContent>
                        </wps:txbx>
                        <wps:bodyPr lIns="91440" tIns="46800" rIns="91440" bIns="45720" upright="1"/>
                      </wps:wsp>
                    </wpg:wgp>
                  </a:graphicData>
                </a:graphic>
              </wp:anchor>
            </w:drawing>
          </mc:Choice>
          <mc:Fallback>
            <w:pict>
              <v:group id="组合 400" o:spid="_x0000_s1026" o:spt="203" style="position:absolute;left:0pt;margin-left:44.9pt;margin-top:55pt;height:522.1pt;width:345.3pt;z-index:251661312;mso-width-relative:page;mso-height-relative:page;" coordorigin="2308,1942" coordsize="7409,12324" o:gfxdata="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">
                <o:lock v:ext="edit" aspectratio="f"/>
                <v:shape id="_x0000_s1026" o:spid="_x0000_s1026" o:spt="202" type="#_x0000_t202" style="position:absolute;left:4317;top:5686;height:468;width:720;" filled="f" stroked="f" coordsize="21600,21600" o:gfxdata="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5P0+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szCs w:val="21"/>
                          </w:rPr>
                        </w:pPr>
                        <w:r>
                          <w:rPr>
                            <w:rFonts w:hint="eastAsia" w:ascii="宋体" w:hAnsi="宋体"/>
                            <w:szCs w:val="21"/>
                          </w:rPr>
                          <w:t>三级</w:t>
                        </w:r>
                      </w:p>
                    </w:txbxContent>
                  </v:textbox>
                </v:shape>
                <v:shape id="_x0000_s1026" o:spid="_x0000_s1026" o:spt="202" type="#_x0000_t202" style="position:absolute;left:7917;top:3970;height:468;width:540;" filled="f" stroked="f" coordsize="21600,21600" o:gfxdata="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KhYp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rPr>
                            <w:rFonts w:eastAsia="Times New Roman"/>
                          </w:rPr>
                          <w:t>N</w:t>
                        </w:r>
                      </w:p>
                    </w:txbxContent>
                  </v:textbox>
                </v:shape>
                <v:shape id="_x0000_s1026" o:spid="_x0000_s1026" o:spt="202" type="#_x0000_t202" style="position:absolute;left:4317;top:10678;height:468;width:540;" filled="f" stroked="f" coordsize="21600,21600" o:gfxdata="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k3zNe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rPr>
                            <w:rFonts w:eastAsia="Times New Roman"/>
                          </w:rPr>
                          <w:t>N</w:t>
                        </w:r>
                      </w:p>
                    </w:txbxContent>
                  </v:textbox>
                </v:shape>
                <v:shape id="_x0000_s1026" o:spid="_x0000_s1026" o:spt="110" type="#_x0000_t110" style="position:absolute;left:5037;top:5374;height:1558;width:2340;" fillcolor="#FFFFFF" filled="t" stroked="t" coordsize="21600,21600" o:gfxdata="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88nG/&#10;AAAA3AAAAA8AAAAAAAAAAQAgAAAAIgAAAGRycy9kb3ducmV2LnhtbFBLAQIUABQAAAAIAIdO4kAz&#10;LwWeOwAAADkAAAAQAAAAAAAAAAEAIAAAAA4BAABkcnMvc2hhcGV4bWwueG1sUEsFBgAAAAAGAAYA&#10;WwEAALgDAAAAAA==&#10;">
                  <v:fill on="t" focussize="0,0"/>
                  <v:stroke color="#000000" joinstyle="miter"/>
                  <v:imagedata o:title=""/>
                  <o:lock v:ext="edit" aspectratio="f"/>
                </v:shape>
                <v:shape id="_x0000_s1026" o:spid="_x0000_s1026" o:spt="202" type="#_x0000_t202" style="position:absolute;left:5548;top:5842;height:780;width:1260;" filled="f" stroked="f" coordsize="21600,21600" o:gfxdata="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imFYM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rPr>
                            <w:rFonts w:ascii="宋体" w:hAnsi="宋体"/>
                            <w:szCs w:val="21"/>
                          </w:rPr>
                        </w:pPr>
                        <w:r>
                          <w:rPr>
                            <w:rFonts w:hint="eastAsia" w:ascii="宋体" w:hAnsi="宋体"/>
                            <w:szCs w:val="21"/>
                          </w:rPr>
                          <w:t>警情判断响应级别</w:t>
                        </w:r>
                      </w:p>
                    </w:txbxContent>
                  </v:textbox>
                </v:shape>
                <v:group id="_x0000_s1026" o:spid="_x0000_s1026" o:spt="203" style="position:absolute;left:4497;top:1942;height:1404;width:3060;" coordorigin="3470,943" coordsize="2661,1222" o:gfxdata="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13k3HvwAAANwAAAAPAAAAAAAAAAEAIAAAACIAAABkcnMvZG93bnJldi54&#10;bWxQSwECFAAUAAAACACHTuJAMy8FnjsAAAA5AAAAFQAAAAAAAAABACAAAAAOAQAAZHJzL2dyb3Vw&#10;c2hhcGV4bWwueG1sUEsFBgAAAAAGAAYAYAEAAMsDAAAAAA==&#10;">
                  <o:lock v:ext="edit" aspectratio="f"/>
                  <v:shape id="_x0000_s1026" o:spid="_x0000_s1026" o:spt="72" type="#_x0000_t72" style="position:absolute;left:3470;top:943;height:1222;width:2661;" fillcolor="#FFFFFF" filled="t" stroked="t" coordsize="21600,21600" o:gfxdata="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MV1H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shape>
                  <v:shape id="_x0000_s1026" o:spid="_x0000_s1026" o:spt="202" type="#_x0000_t202" style="position:absolute;left:4253;top:1350;height:408;width:1095;" fillcolor="#FFFFFF" filled="t" stroked="f" coordsize="21600,21600" o:gfxdata="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7KPRG5AAAA3AAA&#10;AA8AAAAAAAAAAQAgAAAAIgAAAGRycy9kb3ducmV2LnhtbFBLAQIUABQAAAAIAIdO4kAzLwWeOwAA&#10;ADkAAAAQAAAAAAAAAAEAIAAAAAgBAABkcnMvc2hhcGV4bWwueG1sUEsFBgAAAAAGAAYAWwEAALID&#10;AAAAAA==&#10;">
                    <v:fill on="t" focussize="0,0"/>
                    <v:stroke on="f"/>
                    <v:imagedata o:title=""/>
                    <o:lock v:ext="edit" aspectratio="f"/>
                    <v:textbox>
                      <w:txbxContent>
                        <w:p>
                          <w:pPr>
                            <w:rPr>
                              <w:rFonts w:ascii="宋体" w:hAnsi="宋体"/>
                            </w:rPr>
                          </w:pPr>
                          <w:r>
                            <w:rPr>
                              <w:rFonts w:hint="eastAsia" w:ascii="宋体" w:hAnsi="宋体"/>
                            </w:rPr>
                            <w:t>事故发生</w:t>
                          </w:r>
                        </w:p>
                      </w:txbxContent>
                    </v:textbox>
                  </v:shape>
                </v:group>
                <v:shape id="_x0000_s1026" o:spid="_x0000_s1026" o:spt="202" type="#_x0000_t202" style="position:absolute;left:5037;top:3970;height:625;width:2160;" fillcolor="#FFFFFF" filled="t" stroked="t" coordsize="21600,21600" o:gfxdata="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t32G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3.3mm,2.54mm,1.27mm">
                    <w:txbxContent>
                      <w:p>
                        <w:pPr>
                          <w:jc w:val="center"/>
                          <w:rPr>
                            <w:rFonts w:ascii="宋体" w:hAnsi="宋体"/>
                          </w:rPr>
                        </w:pPr>
                        <w:r>
                          <w:rPr>
                            <w:rFonts w:hint="eastAsia" w:ascii="宋体" w:hAnsi="宋体"/>
                          </w:rPr>
                          <w:t>应急救援中心接警</w:t>
                        </w:r>
                      </w:p>
                    </w:txbxContent>
                  </v:textbox>
                </v:shape>
                <v:shape id="_x0000_s1026" o:spid="_x0000_s1026" o:spt="202" type="#_x0000_t202" style="position:absolute;left:5217;top:7714;height:625;width:1800;" fillcolor="#FFFFFF" filled="t" stroked="t" coordsize="21600,21600" o:gfxdata="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GF6+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3.3mm,2.54mm,1.27mm">
                    <w:txbxContent>
                      <w:p>
                        <w:pPr>
                          <w:jc w:val="center"/>
                          <w:rPr>
                            <w:rFonts w:ascii="宋体" w:hAnsi="宋体"/>
                          </w:rPr>
                        </w:pPr>
                        <w:r>
                          <w:rPr>
                            <w:rFonts w:hint="eastAsia" w:ascii="宋体" w:hAnsi="宋体"/>
                          </w:rPr>
                          <w:t>应急启动</w:t>
                        </w:r>
                      </w:p>
                    </w:txbxContent>
                  </v:textbox>
                </v:shape>
                <v:shape id="_x0000_s1026" o:spid="_x0000_s1026" o:spt="202" type="#_x0000_t202" style="position:absolute;left:5137;top:9118;height:625;width:1980;" fillcolor="#FFFFFF" filled="t" stroked="t" coordsize="21600,21600" o:gfxdata="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s+SN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3.3mm,2.54mm,1.27mm">
                    <w:txbxContent>
                      <w:p>
                        <w:pPr>
                          <w:jc w:val="center"/>
                          <w:rPr>
                            <w:rFonts w:ascii="宋体" w:hAnsi="宋体"/>
                          </w:rPr>
                        </w:pPr>
                        <w:r>
                          <w:rPr>
                            <w:rFonts w:hint="eastAsia" w:ascii="宋体" w:hAnsi="宋体"/>
                          </w:rPr>
                          <w:t>救援行动</w:t>
                        </w:r>
                      </w:p>
                    </w:txbxContent>
                  </v:textbox>
                </v:shape>
                <v:shape id="_x0000_s1026" o:spid="_x0000_s1026" o:spt="110" type="#_x0000_t110" style="position:absolute;left:5037;top:10522;height:936;width:2520;" fillcolor="#FFFFFF" filled="t" stroked="t" coordsize="21600,21600" o:gfxdata="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K2VUW/&#10;AAAA3AAAAA8AAAAAAAAAAQAgAAAAIgAAAGRycy9kb3ducmV2LnhtbFBLAQIUABQAAAAIAIdO4kAz&#10;LwWeOwAAADkAAAAQAAAAAAAAAAEAIAAAAA4BAABkcnMvc2hhcGV4bWwueG1sUEsFBgAAAAAGAAYA&#10;WwEAALgDAAAAAA==&#10;">
                  <v:fill on="t" focussize="0,0"/>
                  <v:stroke color="#000000" joinstyle="miter"/>
                  <v:imagedata o:title=""/>
                  <o:lock v:ext="edit" aspectratio="f"/>
                </v:shape>
                <v:shape id="_x0000_s1026" o:spid="_x0000_s1026" o:spt="202" type="#_x0000_t202" style="position:absolute;left:5728;top:10803;height:468;width:1163;" filled="f" stroked="f" coordsize="21600,21600" o:gfxdata="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7loK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pPr>
                          <w:jc w:val="center"/>
                          <w:rPr>
                            <w:rFonts w:ascii="宋体" w:hAnsi="宋体"/>
                          </w:rPr>
                        </w:pPr>
                        <w:r>
                          <w:rPr>
                            <w:rFonts w:hint="eastAsia" w:ascii="宋体" w:hAnsi="宋体"/>
                          </w:rPr>
                          <w:t>事态控制</w:t>
                        </w:r>
                      </w:p>
                    </w:txbxContent>
                  </v:textbox>
                </v:shape>
                <v:shape id="_x0000_s1026" o:spid="_x0000_s1026" o:spt="202" type="#_x0000_t202" style="position:absolute;left:5217;top:12238;height:627;width:1980;" fillcolor="#FFFFFF" filled="t" stroked="t" coordsize="21600,21600" o:gfxdata="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scP+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3.3mm,2.54mm,1.27mm">
                    <w:txbxContent>
                      <w:p>
                        <w:pPr>
                          <w:jc w:val="center"/>
                          <w:rPr>
                            <w:rFonts w:ascii="宋体" w:hAnsi="宋体"/>
                          </w:rPr>
                        </w:pPr>
                        <w:r>
                          <w:rPr>
                            <w:rFonts w:hint="eastAsia" w:ascii="宋体" w:hAnsi="宋体"/>
                          </w:rPr>
                          <w:t>应急恢复</w:t>
                        </w:r>
                      </w:p>
                    </w:txbxContent>
                  </v:textbox>
                </v:shape>
                <v:shape id="_x0000_s1026" o:spid="_x0000_s1026" o:spt="202" type="#_x0000_t202" style="position:absolute;left:5217;top:13642;height:624;width:2160;" fillcolor="#FFFFFF" filled="t" stroked="t" coordsize="21600,21600" o:gfxdata="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Z6E9+5AAAA3A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inset="2.54mm,3.3mm,2.54mm,1.27mm">
                    <w:txbxContent>
                      <w:p>
                        <w:pPr>
                          <w:jc w:val="center"/>
                          <w:rPr>
                            <w:rFonts w:ascii="宋体" w:hAnsi="宋体"/>
                          </w:rPr>
                        </w:pPr>
                        <w:r>
                          <w:rPr>
                            <w:rFonts w:hint="eastAsia" w:ascii="宋体" w:hAnsi="宋体"/>
                          </w:rPr>
                          <w:t>应急结束（关闭）</w:t>
                        </w:r>
                      </w:p>
                    </w:txbxContent>
                  </v:textbox>
                </v:shape>
                <v:line id="_x0000_s1026" o:spid="_x0000_s1026" o:spt="20" style="position:absolute;left:6217;top:3034;height:936;width:1;" filled="f" stroked="t" coordsize="21600,21600" o:gfxdata="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sleb4A&#10;AADcAAAADwAAAAAAAAABACAAAAAiAAAAZHJzL2Rvd25yZXYueG1sUEsBAhQAFAAAAAgAh07iQDMv&#10;BZ47AAAAOQAAABAAAAAAAAAAAQAgAAAADQEAAGRycy9zaGFwZXhtbC54bWxQSwUGAAAAAAYABgBb&#10;AQAAtwMAAAAA&#10;">
                  <v:fill on="f" focussize="0,0"/>
                  <v:stroke color="#000000" joinstyle="round" endarrow="block" endarrowwidth="narrow" endarrowlength="long"/>
                  <v:imagedata o:title=""/>
                  <o:lock v:ext="edit" aspectratio="f"/>
                </v:line>
                <v:line id="_x0000_s1026" o:spid="_x0000_s1026" o:spt="20" style="position:absolute;left:6217;top:4594;height:779;width:1;" filled="f" stroked="t" coordsize="21600,21600" o:gfxdata="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m7Dr4A&#10;AADcAAAADwAAAAAAAAABACAAAAAiAAAAZHJzL2Rvd25yZXYueG1sUEsBAhQAFAAAAAgAh07iQDMv&#10;BZ47AAAAOQAAABAAAAAAAAAAAQAgAAAADQEAAGRycy9zaGFwZXhtbC54bWxQSwUGAAAAAAYABgBb&#10;AQAAtwMAAAAA&#10;">
                  <v:fill on="f" focussize="0,0"/>
                  <v:stroke color="#000000" joinstyle="round" endarrow="block" endarrowwidth="narrow" endarrowlength="long"/>
                  <v:imagedata o:title=""/>
                  <o:lock v:ext="edit" aspectratio="f"/>
                </v:line>
                <v:line id="_x0000_s1026" o:spid="_x0000_s1026" o:spt="20" style="position:absolute;left:6237;top:6934;height:779;width:1;" filled="f" stroked="t" coordsize="21600,21600" o:gfxdata="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VHpW/&#10;AAAA3A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line id="_x0000_s1026" o:spid="_x0000_s1026" o:spt="20" style="position:absolute;left:6297;top:8338;height:779;width:1;" filled="f" stroked="t" coordsize="21600,21600" o:gfxdata="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8huG/&#10;AAAA3A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line id="_x0000_s1026" o:spid="_x0000_s1026" o:spt="20" style="position:absolute;left:6297;top:9742;height:779;width:1;" filled="f" stroked="t" coordsize="21600,21600" o:gfxdata="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cCN6&#10;wAAAANwAAAAPAAAAAAAAAAEAIAAAACIAAABkcnMvZG93bnJldi54bWxQSwECFAAUAAAACACHTuJA&#10;My8FnjsAAAA5AAAAEAAAAAAAAAABACAAAAAPAQAAZHJzL3NoYXBleG1sLnhtbFBLBQYAAAAABgAG&#10;AFsBAAC5AwAAAAA=&#10;">
                  <v:fill on="f" focussize="0,0"/>
                  <v:stroke color="#000000" joinstyle="round" endarrow="block" endarrowwidth="narrow" endarrowlength="long"/>
                  <v:imagedata o:title=""/>
                  <o:lock v:ext="edit" aspectratio="f"/>
                </v:line>
                <v:line id="_x0000_s1026" o:spid="_x0000_s1026" o:spt="20" style="position:absolute;left:6297;top:11458;height:779;width:1;" filled="f" stroked="t" coordsize="21600,21600" o:gfxdata="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Dor0N&#10;wAAAANwAAAAPAAAAAAAAAAEAIAAAACIAAABkcnMvZG93bnJldi54bWxQSwECFAAUAAAACACHTuJA&#10;My8FnjsAAAA5AAAAEAAAAAAAAAABACAAAAAPAQAAZHJzL3NoYXBleG1sLnhtbFBLBQYAAAAABgAG&#10;AFsBAAC5AwAAAAA=&#10;">
                  <v:fill on="f" focussize="0,0"/>
                  <v:stroke color="#000000" joinstyle="round" endarrow="block" endarrowwidth="narrow" endarrowlength="long"/>
                  <v:imagedata o:title=""/>
                  <o:lock v:ext="edit" aspectratio="f"/>
                </v:line>
                <v:line id="_x0000_s1026" o:spid="_x0000_s1026" o:spt="20" style="position:absolute;left:6297;top:12862;height:779;width:1;" filled="f" stroked="t" coordsize="21600,21600" o:gfxdata="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zuGJa/&#10;AAAA3AAAAA8AAAAAAAAAAQAgAAAAIgAAAGRycy9kb3ducmV2LnhtbFBLAQIUABQAAAAIAIdO4kAz&#10;LwWeOwAAADkAAAAQAAAAAAAAAAEAIAAAAA4BAABkcnMvc2hhcGV4bWwueG1sUEsFBgAAAAAGAAYA&#10;WwEAALgDAAAAAA==&#10;">
                  <v:fill on="f" focussize="0,0"/>
                  <v:stroke color="#000000" joinstyle="round" endarrow="block" endarrowwidth="narrow" endarrowlength="long"/>
                  <v:imagedata o:title=""/>
                  <o:lock v:ext="edit" aspectratio="f"/>
                </v:line>
                <v:shape id="_x0000_s1026" o:spid="_x0000_s1026" o:spt="202" type="#_x0000_t202" style="position:absolute;left:8277;top:3190;height:468;width:1440;" fillcolor="#FFFFFF" filled="t" stroked="t" coordsize="21600,21600" o:gfxdata="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gtyO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jc w:val="center"/>
                          <w:rPr>
                            <w:rFonts w:ascii="宋体" w:hAnsi="宋体"/>
                          </w:rPr>
                        </w:pPr>
                        <w:r>
                          <w:rPr>
                            <w:rFonts w:hint="eastAsia" w:ascii="宋体" w:hAnsi="宋体"/>
                          </w:rPr>
                          <w:t>信息反馈</w:t>
                        </w:r>
                      </w:p>
                    </w:txbxContent>
                  </v:textbox>
                </v:shape>
                <v:line id="_x0000_s1026" o:spid="_x0000_s1026" o:spt="20" style="position:absolute;left:7088;top:9430;height:0;width:620;" filled="f" stroked="t" coordsize="21600,21600" o:gfxdata="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PbRm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708;top:7090;height:5772;width:0;" filled="f" stroked="t" coordsize="21600,21600" o:gfxdata="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3osm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shape id="_x0000_s1026" o:spid="_x0000_s1026" o:spt="202" type="#_x0000_t202" style="position:absolute;left:8248;top:6934;height:468;width:1440;" fillcolor="#FFFFFF" filled="t" stroked="t" coordsize="21600,21600" o:gfxdata="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6E14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人员救助</w:t>
                        </w:r>
                      </w:p>
                    </w:txbxContent>
                  </v:textbox>
                </v:shape>
                <v:shape id="_x0000_s1026" o:spid="_x0000_s1026" o:spt="202" type="#_x0000_t202" style="position:absolute;left:8248;top:7714;height:468;width:1440;" fillcolor="#FFFFFF" filled="t" stroked="t" coordsize="21600,21600" o:gfxdata="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OtMP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警   戒</w:t>
                        </w:r>
                      </w:p>
                    </w:txbxContent>
                  </v:textbox>
                </v:shape>
                <v:line id="_x0000_s1026" o:spid="_x0000_s1026" o:spt="20" style="position:absolute;left:7197;top:4282;height:0;width:1800;" filled="f" stroked="t" coordsize="21600,21600" o:gfxdata="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DBVR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8997;top:3658;height:624;width:1;" filled="f" stroked="t" coordsize="21600,21600" o:gfxdata="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ljS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_x0000_s1026" o:spid="_x0000_s1026" o:spt="202" type="#_x0000_t202" style="position:absolute;left:2308;top:5842;height:468;width:1649;" fillcolor="#FFFFFF" filled="t" stroked="t" coordsize="21600,21600" o:gfxdata="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MFoi&#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2.54mm,0.3mm,2.54mm,1.27mm">
                    <w:txbxContent>
                      <w:p>
                        <w:pPr>
                          <w:jc w:val="center"/>
                        </w:pPr>
                        <w:r>
                          <w:rPr>
                            <w:rFonts w:hint="eastAsia"/>
                          </w:rPr>
                          <w:t>报  警</w:t>
                        </w:r>
                      </w:p>
                    </w:txbxContent>
                  </v:textbox>
                </v:shape>
                <v:shape id="_x0000_s1026" o:spid="_x0000_s1026" o:spt="202" type="#_x0000_t202" style="position:absolute;left:8248;top:9274;height:468;width:1440;" fillcolor="#FFFFFF" filled="t" stroked="t" coordsize="21600,21600" o:gfxdata="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HVD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jc w:val="center"/>
                          <w:rPr>
                            <w:rFonts w:ascii="宋体" w:hAnsi="宋体"/>
                          </w:rPr>
                        </w:pPr>
                        <w:r>
                          <w:rPr>
                            <w:rFonts w:hint="eastAsia" w:ascii="宋体" w:hAnsi="宋体"/>
                          </w:rPr>
                          <w:t>人员疏散</w:t>
                        </w:r>
                      </w:p>
                    </w:txbxContent>
                  </v:textbox>
                </v:shape>
                <v:shape id="_x0000_s1026" o:spid="_x0000_s1026" o:spt="202" type="#_x0000_t202" style="position:absolute;left:8248;top:8494;height:468;width:1440;" fillcolor="#FFFFFF" filled="t" stroked="t" coordsize="21600,21600" o:gfxdata="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TXCX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医疗救护</w:t>
                        </w:r>
                      </w:p>
                    </w:txbxContent>
                  </v:textbox>
                </v:shape>
                <v:shape id="_x0000_s1026" o:spid="_x0000_s1026" o:spt="202" type="#_x0000_t202" style="position:absolute;left:8248;top:10054;height:468;width:1440;" fillcolor="#FFFFFF" filled="t" stroked="t" coordsize="21600,21600" o:gfxdata="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9Lk5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环境保护</w:t>
                        </w:r>
                      </w:p>
                    </w:txbxContent>
                  </v:textbox>
                </v:shape>
                <v:shape id="_x0000_s1026" o:spid="_x0000_s1026" o:spt="202" type="#_x0000_t202" style="position:absolute;left:8248;top:10990;height:468;width:1440;" fillcolor="#FFFFFF" filled="t" stroked="t" coordsize="21600,21600" o:gfxdata="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eQX6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现场监测</w:t>
                        </w:r>
                      </w:p>
                    </w:txbxContent>
                  </v:textbox>
                </v:shape>
                <v:shape id="_x0000_s1026" o:spid="_x0000_s1026" o:spt="202" type="#_x0000_t202" style="position:absolute;left:8248;top:11770;height:468;width:1440;" fillcolor="#FFFFFF" filled="t" stroked="t" coordsize="21600,21600" o:gfxdata="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cZjE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专家支持</w:t>
                        </w:r>
                      </w:p>
                    </w:txbxContent>
                  </v:textbox>
                </v:shape>
                <v:shape id="_x0000_s1026" o:spid="_x0000_s1026" o:spt="202" type="#_x0000_t202" style="position:absolute;left:8248;top:12550;height:468;width:1440;" fillcolor="#FFFFFF" filled="t" stroked="t" coordsize="21600,21600" o:gfxdata="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PT1f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工程抢险</w:t>
                        </w:r>
                      </w:p>
                    </w:txbxContent>
                  </v:textbox>
                </v:shape>
                <v:shape id="_x0000_s1026" o:spid="_x0000_s1026" o:spt="202" type="#_x0000_t202" style="position:absolute;left:2337;top:7246;height:468;width:1620;" fillcolor="#FFFFFF" filled="t" stroked="t" coordsize="21600,21600" o:gfxdata="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jK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rPr>
                            <w:rFonts w:ascii="宋体" w:hAnsi="宋体"/>
                            <w:szCs w:val="21"/>
                          </w:rPr>
                        </w:pPr>
                        <w:r>
                          <w:rPr>
                            <w:rFonts w:hint="eastAsia" w:ascii="宋体" w:hAnsi="宋体"/>
                            <w:szCs w:val="21"/>
                          </w:rPr>
                          <w:t>现场指挥到位</w:t>
                        </w:r>
                      </w:p>
                    </w:txbxContent>
                  </v:textbox>
                </v:shape>
                <v:line id="_x0000_s1026" o:spid="_x0000_s1026" o:spt="20" style="position:absolute;left:4497;top:8026;height:1;width:740;" filled="f" stroked="t" coordsize="21600,21600" o:gfxdata="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lld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_x0000_s1026" o:spid="_x0000_s1026" o:spt="202" type="#_x0000_t202" style="position:absolute;left:2337;top:7870;height:468;width:1620;" fillcolor="#FFFFFF" filled="t" stroked="t" coordsize="21600,21600" o:gfxdata="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qex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rPr>
                            <w:rFonts w:ascii="宋体" w:hAnsi="宋体"/>
                            <w:szCs w:val="21"/>
                          </w:rPr>
                        </w:pPr>
                        <w:r>
                          <w:rPr>
                            <w:rFonts w:hint="eastAsia" w:ascii="宋体" w:hAnsi="宋体"/>
                            <w:szCs w:val="21"/>
                          </w:rPr>
                          <w:t>应急资源调配</w:t>
                        </w:r>
                      </w:p>
                    </w:txbxContent>
                  </v:textbox>
                </v:shape>
                <v:shape id="_x0000_s1026" o:spid="_x0000_s1026" o:spt="202" type="#_x0000_t202" style="position:absolute;left:2337;top:9274;height:468;width:1620;" fillcolor="#FFFFFF" filled="t" stroked="t" coordsize="21600,21600" o:gfxdata="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Y7X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扩大应急</w:t>
                        </w:r>
                      </w:p>
                    </w:txbxContent>
                  </v:textbox>
                </v:shape>
                <v:shape id="_x0000_s1026" o:spid="_x0000_s1026" o:spt="202" type="#_x0000_t202" style="position:absolute;left:2337;top:8494;height:468;width:1620;" fillcolor="#FFFFFF" filled="t" stroked="t" coordsize="21600,21600" o:gfxdata="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NSlK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rPr>
                            <w:rFonts w:ascii="宋体" w:hAnsi="宋体"/>
                            <w:szCs w:val="21"/>
                          </w:rPr>
                        </w:pPr>
                        <w:r>
                          <w:rPr>
                            <w:rFonts w:hint="eastAsia" w:ascii="宋体" w:hAnsi="宋体"/>
                            <w:szCs w:val="21"/>
                          </w:rPr>
                          <w:t>应急人员到位</w:t>
                        </w:r>
                      </w:p>
                    </w:txbxContent>
                  </v:textbox>
                </v:shape>
                <v:line id="_x0000_s1026" o:spid="_x0000_s1026" o:spt="20" style="position:absolute;left:4497;top:7402;height:1404;width:1;" filled="f" stroked="t" coordsize="21600,21600" o:gfxdata="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Jjd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3957;top:10990;flip:x;height:0;width:1080;" filled="f" stroked="t" coordsize="21600,21600" o:gfxdata="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c8poLgAAADcAAAA&#10;DwAAAAAAAAABACAAAAAiAAAAZHJzL2Rvd25yZXYueG1sUEsBAhQAFAAAAAgAh07iQDMvBZ47AAAA&#10;OQAAABAAAAAAAAAAAQAgAAAABwEAAGRycy9zaGFwZXhtbC54bWxQSwUGAAAAAAYABgBbAQAAsQMA&#10;AAAA&#10;">
                  <v:fill on="f" focussize="0,0"/>
                  <v:stroke color="#000000" joinstyle="round" endarrow="block" endarrowwidth="narrow" endarrowlength="long"/>
                  <v:imagedata o:title=""/>
                  <o:lock v:ext="edit" aspectratio="f"/>
                </v:line>
                <v:line id="_x0000_s1026" o:spid="_x0000_s1026" o:spt="20" style="position:absolute;left:3957;top:9430;height:1;width:1200;" filled="f" stroked="t" coordsize="21600,21600" o:gfxdata="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xNQ2/&#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_x0000_s1026" o:spid="_x0000_s1026" o:spt="202" type="#_x0000_t202" style="position:absolute;left:2337;top:11614;height:468;width:1620;" fillcolor="#FFFFFF" filled="t" stroked="t" coordsize="21600,21600" o:gfxdata="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agOGb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现场清理</w:t>
                        </w:r>
                      </w:p>
                    </w:txbxContent>
                  </v:textbox>
                </v:shape>
                <v:shape id="_x0000_s1026" o:spid="_x0000_s1026" o:spt="202" type="#_x0000_t202" style="position:absolute;left:2337;top:12862;height:468;width:1620;" fillcolor="#FFFFFF" filled="t" stroked="t" coordsize="21600,21600" o:gfxdata="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5KuC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善后处理</w:t>
                        </w:r>
                      </w:p>
                    </w:txbxContent>
                  </v:textbox>
                </v:shape>
                <v:shape id="_x0000_s1026" o:spid="_x0000_s1026" o:spt="202" type="#_x0000_t202" style="position:absolute;left:2337;top:12238;height:468;width:1620;" fillcolor="#FFFFFF" filled="t" stroked="t" coordsize="21600,21600" o:gfxdata="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NjX1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解除警戒</w:t>
                        </w:r>
                      </w:p>
                    </w:txbxContent>
                  </v:textbox>
                </v:shape>
                <v:shape id="_x0000_s1026" o:spid="_x0000_s1026" o:spt="202" type="#_x0000_t202" style="position:absolute;left:2337;top:13486;height:468;width:1620;" fillcolor="#FFFFFF" filled="t" stroked="t" coordsize="21600,21600" o:gfxdata="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XqQb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事故调查</w:t>
                        </w:r>
                      </w:p>
                    </w:txbxContent>
                  </v:textbox>
                </v:shape>
                <v:line id="_x0000_s1026" o:spid="_x0000_s1026" o:spt="20" style="position:absolute;left:4497;top:11926;height:1872;width:1;" filled="f" stroked="t" coordsize="21600,21600" o:gfxdata="UEsDBAoAAAAAAIdO4kAAAAAAAAAAAAAAAAAEAAAAZHJzL1BLAwQUAAAACACHTuJAqOlr378AAADc&#10;AAAADwAAAGRycy9kb3ducmV2LnhtbEWPzWrDMBCE74W8g9hALyGW4pa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pa9+/&#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4497;top:12550;height:0;width:720;" filled="f" stroked="t" coordsize="21600,21600" o:gfxdata="UEsDBAoAAAAAAIdO4kAAAAAAAAAAAAAAAAAEAAAAZHJzL1BLAwQUAAAACACHTuJAx6XORL8AAADc&#10;AAAADwAAAGRycy9kb3ducmV2LnhtbEWPzWrDMBCE74W8g9hALyGW4tK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lzkS/&#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3957;top:11926;height:0;width:540;" filled="f" stroked="t" coordsize="21600,21600" o:gfxdata="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d1A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957;top:12394;height:1;width:540;" filled="f" stroked="t" coordsize="21600,21600" o:gfxdata="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79ai/&#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3957;top:13174;height:0;width:540;" filled="f" stroked="t" coordsize="21600,21600" o:gfxdata="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pGHa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3957;top:13798;height:0;width:540;" filled="f" stroked="t" coordsize="21600,21600" o:gfxdata="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ujEQ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7708;top:12862;height:0;width:540;" filled="f" stroked="t" coordsize="21600,21600" o:gfxdata="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598a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3957;top:7402;height:0;width:540;" filled="f" stroked="t" coordsize="21600,21600" o:gfxdata="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nVSX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_x0000_s1026" o:spid="_x0000_s1026" o:spt="20" style="position:absolute;left:3957;top:8026;height:0;width:540;" filled="f" stroked="t" coordsize="21600,21600" o:gfxdata="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p8wq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957;top:8806;height:0;width:540;" filled="f" stroked="t" coordsize="21600,21600" o:gfxdata="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nrab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3957;top:6154;flip:x;height:0;width:1080;" filled="f" stroked="t" coordsize="21600,21600" o:gfxdata="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sC9iugAAANwA&#10;AAAPAAAAAAAAAAEAIAAAACIAAABkcnMvZG93bnJldi54bWxQSwECFAAUAAAACACHTuJAMy8FnjsA&#10;AAA5AAAAEAAAAAAAAAABACAAAAAJAQAAZHJzL3NoYXBleG1sLnhtbFBLBQYAAAAABgAGAFsBAACz&#10;AwAAAAA=&#10;">
                  <v:fill on="f" focussize="0,0"/>
                  <v:stroke color="#000000" joinstyle="round" endarrow="block" endarrowwidth="narrow" endarrowlength="long"/>
                  <v:imagedata o:title=""/>
                  <o:lock v:ext="edit" aspectratio="f"/>
                </v:line>
                <v:line id="_x0000_s1026" o:spid="_x0000_s1026" o:spt="20" style="position:absolute;left:7557;top:2410;flip:x;height:0;width:1440;" filled="f" stroked="t" coordsize="21600,21600" o:gfxdata="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Ir5ugAAANwA&#10;AAAPAAAAAAAAAAEAIAAAACIAAABkcnMvZG93bnJldi54bWxQSwECFAAUAAAACACHTuJAMy8FnjsA&#10;AAA5AAAAEAAAAAAAAAABACAAAAAJAQAAZHJzL3NoYXBleG1sLnhtbFBLBQYAAAAABgAGAFsBAACz&#10;AwAAAAA=&#10;">
                  <v:fill on="f" focussize="0,0"/>
                  <v:stroke color="#000000" joinstyle="round" endarrow="block" endarrowwidth="narrow" endarrowlength="long"/>
                  <v:imagedata o:title=""/>
                  <o:lock v:ext="edit" aspectratio="f"/>
                </v:line>
                <v:line id="_x0000_s1026" o:spid="_x0000_s1026" o:spt="20" style="position:absolute;left:8997;top:2410;height:780;width:0;" filled="f" stroked="t" coordsize="21600,21600" o:gfxdata="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mcyim/&#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shape id="_x0000_s1026" o:spid="_x0000_s1026" o:spt="202" type="#_x0000_t202" style="position:absolute;left:5728;top:11614;height:468;width:540;" filled="f" stroked="f" coordsize="21600,21600" o:gfxdata="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I+74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rPr>
                            <w:rFonts w:eastAsia="Times New Roman"/>
                          </w:rPr>
                          <w:t>Y</w:t>
                        </w:r>
                      </w:p>
                    </w:txbxContent>
                  </v:textbox>
                </v:shape>
                <v:shape id="_x0000_s1026" o:spid="_x0000_s1026" o:spt="202" type="#_x0000_t202" style="position:absolute;left:5728;top:7090;height:468;width:540;" filled="f" stroked="f" coordsize="21600,21600" o:gfxdata="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5vHqK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rPr>
                            <w:rFonts w:eastAsia="Times New Roman"/>
                          </w:rPr>
                          <w:t>Y</w:t>
                        </w:r>
                      </w:p>
                    </w:txbxContent>
                  </v:textbox>
                </v:shape>
                <v:line id="_x0000_s1026" o:spid="_x0000_s1026" o:spt="20" style="position:absolute;left:7708;top:11926;height:0;width:540;" filled="f" stroked="t" coordsize="21600,21600" o:gfxdata="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gDXlu/&#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7708;top:11146;height:0;width:540;" filled="f" stroked="t" coordsize="21600,21600" o:gfxdata="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OBhG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7708;top:10210;height:0;width:540;" filled="f" stroked="t" coordsize="21600,21600" o:gfxdata="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sxIC/&#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7708;top:9430;height:0;width:540;" filled="f" stroked="t" coordsize="21600,21600" o:gfxdata="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Wv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7708;top:8650;height:0;width:540;" filled="f" stroked="t" coordsize="21600,21600" o:gfxdata="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Mv9s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708;top:7870;height:0;width:540;" filled="f" stroked="t" coordsize="21600,21600" o:gfxdata="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22cY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7708;top:7090;height:0;width:511;" filled="f" stroked="t" coordsize="21600,21600" o:gfxdata="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l8KD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028;top:9742;flip:y;height:1092;width:0;" filled="f" stroked="t" coordsize="21600,21600" o:gfxdata="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uzfV&#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shape id="_x0000_s1026" o:spid="_x0000_s1026" o:spt="202" type="#_x0000_t202" style="position:absolute;left:2337;top:10758;height:468;width:1620;" fillcolor="#FFFFFF" filled="t" stroked="t" coordsize="21600,21600" o:gfxdata="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c5qq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2.54mm,1.3mm,2.54mm,1.27mm">
                    <w:txbxContent>
                      <w:p>
                        <w:pPr>
                          <w:jc w:val="center"/>
                          <w:rPr>
                            <w:rFonts w:ascii="宋体" w:hAnsi="宋体"/>
                            <w:szCs w:val="21"/>
                          </w:rPr>
                        </w:pPr>
                        <w:r>
                          <w:rPr>
                            <w:rFonts w:hint="eastAsia" w:ascii="宋体" w:hAnsi="宋体"/>
                            <w:szCs w:val="21"/>
                          </w:rPr>
                          <w:t>申请支援</w:t>
                        </w:r>
                      </w:p>
                    </w:txbxContent>
                  </v:textbox>
                </v:shape>
              </v:group>
            </w:pict>
          </mc:Fallback>
        </mc:AlternateContent>
      </w:r>
      <w:r>
        <w:rPr>
          <w:rFonts w:hint="default" w:ascii="Times New Roman" w:hAnsi="Times New Roman" w:cs="Times New Roman"/>
          <w:sz w:val="28"/>
          <w:szCs w:val="28"/>
        </w:rPr>
        <w:t>9.</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突发公共事件应急处置流程图</w:t>
      </w:r>
      <w:bookmarkEnd w:id="87"/>
    </w:p>
    <w:p>
      <w:pPr>
        <w:spacing w:line="360" w:lineRule="auto"/>
        <w:ind w:firstLine="560" w:firstLineChars="200"/>
        <w:outlineLvl w:val="1"/>
        <w:rPr>
          <w:rFonts w:hint="default" w:ascii="Times New Roman" w:hAnsi="Times New Roman" w:cs="Times New Roman"/>
          <w:sz w:val="28"/>
          <w:szCs w:val="28"/>
        </w:rPr>
      </w:pPr>
      <w:bookmarkStart w:id="88" w:name="_Toc5085"/>
      <w:r>
        <w:rPr>
          <w:rFonts w:hint="default" w:ascii="Times New Roman" w:hAnsi="Times New Roman" w:cs="Times New Roman"/>
          <w:sz w:val="28"/>
          <w:szCs w:val="28"/>
        </w:rPr>
        <w:t>9.</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专家组名单</w:t>
      </w:r>
      <w:bookmarkEnd w:id="88"/>
    </w:p>
    <w:p>
      <w:pPr>
        <w:spacing w:line="360" w:lineRule="auto"/>
        <w:jc w:val="center"/>
        <w:rPr>
          <w:rFonts w:hint="default" w:ascii="Times New Roman" w:hAnsi="Times New Roman" w:cs="Times New Roman"/>
          <w:sz w:val="28"/>
          <w:szCs w:val="28"/>
        </w:rPr>
      </w:pPr>
      <w:r>
        <w:rPr>
          <w:rFonts w:hint="default" w:ascii="Times New Roman" w:hAnsi="Times New Roman" w:cs="Times New Roman"/>
          <w:sz w:val="28"/>
          <w:szCs w:val="28"/>
        </w:rPr>
        <w:t>苏州市安全、职业卫生专家</w:t>
      </w:r>
    </w:p>
    <w:tbl>
      <w:tblPr>
        <w:tblStyle w:val="10"/>
        <w:tblW w:w="9917" w:type="dxa"/>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850"/>
        <w:gridCol w:w="1083"/>
        <w:gridCol w:w="1284"/>
        <w:gridCol w:w="916"/>
        <w:gridCol w:w="1317"/>
        <w:gridCol w:w="2400"/>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850"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姓名</w:t>
            </w:r>
          </w:p>
        </w:tc>
        <w:tc>
          <w:tcPr>
            <w:tcW w:w="1083"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出生年月</w:t>
            </w:r>
          </w:p>
        </w:tc>
        <w:tc>
          <w:tcPr>
            <w:tcW w:w="1284"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职称</w:t>
            </w:r>
          </w:p>
        </w:tc>
        <w:tc>
          <w:tcPr>
            <w:tcW w:w="916"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学历</w:t>
            </w:r>
          </w:p>
        </w:tc>
        <w:tc>
          <w:tcPr>
            <w:tcW w:w="1317"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专业</w:t>
            </w:r>
          </w:p>
        </w:tc>
        <w:tc>
          <w:tcPr>
            <w:tcW w:w="2400"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工作单位</w:t>
            </w:r>
          </w:p>
        </w:tc>
        <w:tc>
          <w:tcPr>
            <w:tcW w:w="1400" w:type="dxa"/>
            <w:vAlign w:val="center"/>
          </w:tcPr>
          <w:p>
            <w:pPr>
              <w:spacing w:line="480" w:lineRule="exact"/>
              <w:jc w:val="center"/>
              <w:rPr>
                <w:rFonts w:hint="default" w:ascii="Times New Roman" w:hAnsi="Times New Roman" w:cs="Times New Roman"/>
                <w:b/>
                <w:bCs/>
                <w:szCs w:val="21"/>
              </w:rPr>
            </w:pPr>
            <w:r>
              <w:rPr>
                <w:rFonts w:hint="default" w:ascii="Times New Roman" w:hAnsi="Times New Roman" w:cs="Times New Roman"/>
                <w:b/>
                <w:bCs/>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施剑波</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1961.08</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大专</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化工</w:t>
            </w:r>
          </w:p>
        </w:tc>
        <w:tc>
          <w:tcPr>
            <w:tcW w:w="240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苏州科信安全技术评价公司</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65607048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2</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阙浩泉</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1950.09</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大学</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化学工程</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苏州大学</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69699161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3</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余剑民</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1937.01</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大学</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化工机械</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苏州化工设计室</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13962144711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4</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郭维克</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1943.09</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大学</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化机专业</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苏州化建控股有限公司</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13913566487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5</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杨海康</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1944.11</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研究生</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有机合成</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苏州大学化工学院</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13912638420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6</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许惠中</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1938.11</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大学</w:t>
            </w:r>
          </w:p>
        </w:tc>
        <w:tc>
          <w:tcPr>
            <w:tcW w:w="1317"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有机合成工艺学</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苏州市化工研究所</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13862165480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7</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赵兴农</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1946.07</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本科</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高分子</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原苏州化工局</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13052809386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8</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蒋焕华</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1945.12</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本科</w:t>
            </w:r>
          </w:p>
        </w:tc>
        <w:tc>
          <w:tcPr>
            <w:tcW w:w="1317"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基本有机合成化学</w:t>
            </w:r>
          </w:p>
        </w:tc>
        <w:tc>
          <w:tcPr>
            <w:tcW w:w="240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苏州嘉乐威企业发展有限公司</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13913117642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9</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薛焕清</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1945.11</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本科</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弱电专业</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原苏州化学工业局</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13862153326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10</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周景康</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1942.07</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大专</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机械制造</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苏州益民化工厂</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13862590533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11</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屠恒德</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1944.09</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本科</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化工机械</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原苏州染料厂</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13179600119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12</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游泳平</w:t>
            </w:r>
          </w:p>
        </w:tc>
        <w:tc>
          <w:tcPr>
            <w:tcW w:w="1083" w:type="dxa"/>
            <w:vAlign w:val="center"/>
          </w:tcPr>
          <w:p>
            <w:pPr>
              <w:spacing w:line="480" w:lineRule="exact"/>
              <w:jc w:val="center"/>
              <w:rPr>
                <w:rFonts w:hint="default" w:ascii="Times New Roman" w:hAnsi="Times New Roman" w:cs="Times New Roman"/>
                <w:szCs w:val="21"/>
              </w:rPr>
            </w:pP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本科</w:t>
            </w:r>
          </w:p>
        </w:tc>
        <w:tc>
          <w:tcPr>
            <w:tcW w:w="1317" w:type="dxa"/>
            <w:vAlign w:val="center"/>
          </w:tcPr>
          <w:p>
            <w:pPr>
              <w:spacing w:line="480" w:lineRule="exact"/>
              <w:jc w:val="center"/>
              <w:rPr>
                <w:rFonts w:hint="default" w:ascii="Times New Roman" w:hAnsi="Times New Roman" w:cs="Times New Roman"/>
                <w:szCs w:val="21"/>
              </w:rPr>
            </w:pP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原吴县化肥厂</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13906209578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张建平</w:t>
            </w:r>
          </w:p>
        </w:tc>
        <w:tc>
          <w:tcPr>
            <w:tcW w:w="1083" w:type="dxa"/>
            <w:vAlign w:val="center"/>
          </w:tcPr>
          <w:p>
            <w:pPr>
              <w:spacing w:line="480" w:lineRule="exact"/>
              <w:jc w:val="center"/>
              <w:rPr>
                <w:rFonts w:hint="default" w:ascii="Times New Roman" w:hAnsi="Times New Roman" w:cs="Times New Roman"/>
                <w:szCs w:val="21"/>
              </w:rPr>
            </w:pP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p>
        </w:tc>
        <w:tc>
          <w:tcPr>
            <w:tcW w:w="1317" w:type="dxa"/>
            <w:vAlign w:val="center"/>
          </w:tcPr>
          <w:p>
            <w:pPr>
              <w:spacing w:line="480" w:lineRule="exact"/>
              <w:jc w:val="center"/>
              <w:rPr>
                <w:rFonts w:hint="default" w:ascii="Times New Roman" w:hAnsi="Times New Roman" w:cs="Times New Roman"/>
                <w:szCs w:val="21"/>
              </w:rPr>
            </w:pP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苏化集团</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13962153614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14</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顾建萍</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1960.03</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本科</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化学工程</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原苏州三威集团</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13962122667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15</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张红卫</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1963.01</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本科</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高分子化工</w:t>
            </w:r>
          </w:p>
        </w:tc>
        <w:tc>
          <w:tcPr>
            <w:tcW w:w="240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河北省石油化工设计院有限公司苏州分院</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13915536059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16</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韩菊泉</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1962.01</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高工</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大学</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化工</w:t>
            </w:r>
          </w:p>
        </w:tc>
        <w:tc>
          <w:tcPr>
            <w:tcW w:w="240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中蓝连海设计研究院苏州园区分院</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13862095999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17</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赵尔壁</w:t>
            </w:r>
          </w:p>
        </w:tc>
        <w:tc>
          <w:tcPr>
            <w:tcW w:w="1083"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1949.02</w:t>
            </w: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副主任医师</w:t>
            </w:r>
          </w:p>
        </w:tc>
        <w:tc>
          <w:tcPr>
            <w:tcW w:w="916"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大学</w:t>
            </w: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医疗</w:t>
            </w:r>
          </w:p>
        </w:tc>
        <w:tc>
          <w:tcPr>
            <w:tcW w:w="2400"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苏州国环环境检测有限公司</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13862005938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18</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汤忆眉</w:t>
            </w:r>
          </w:p>
        </w:tc>
        <w:tc>
          <w:tcPr>
            <w:tcW w:w="1083" w:type="dxa"/>
            <w:vAlign w:val="center"/>
          </w:tcPr>
          <w:p>
            <w:pPr>
              <w:spacing w:line="480" w:lineRule="exact"/>
              <w:jc w:val="center"/>
              <w:rPr>
                <w:rFonts w:hint="default" w:ascii="Times New Roman" w:hAnsi="Times New Roman" w:cs="Times New Roman"/>
                <w:szCs w:val="21"/>
              </w:rPr>
            </w:pP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副主任医师</w:t>
            </w:r>
          </w:p>
        </w:tc>
        <w:tc>
          <w:tcPr>
            <w:tcW w:w="916" w:type="dxa"/>
            <w:vAlign w:val="center"/>
          </w:tcPr>
          <w:p>
            <w:pPr>
              <w:spacing w:line="480" w:lineRule="exact"/>
              <w:jc w:val="center"/>
              <w:rPr>
                <w:rFonts w:hint="default" w:ascii="Times New Roman" w:hAnsi="Times New Roman" w:cs="Times New Roman"/>
                <w:szCs w:val="21"/>
              </w:rPr>
            </w:pPr>
          </w:p>
        </w:tc>
        <w:tc>
          <w:tcPr>
            <w:tcW w:w="1317" w:type="dxa"/>
            <w:vAlign w:val="center"/>
          </w:tcPr>
          <w:p>
            <w:pPr>
              <w:spacing w:line="480" w:lineRule="exact"/>
              <w:jc w:val="center"/>
              <w:rPr>
                <w:rFonts w:hint="default" w:ascii="Times New Roman" w:hAnsi="Times New Roman" w:cs="Times New Roman"/>
                <w:szCs w:val="21"/>
              </w:rPr>
            </w:pP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苏州市卫生局</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13616219797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19</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肖卫</w:t>
            </w:r>
          </w:p>
        </w:tc>
        <w:tc>
          <w:tcPr>
            <w:tcW w:w="1083" w:type="dxa"/>
            <w:vAlign w:val="center"/>
          </w:tcPr>
          <w:p>
            <w:pPr>
              <w:spacing w:line="480" w:lineRule="exact"/>
              <w:jc w:val="center"/>
              <w:rPr>
                <w:rFonts w:hint="default" w:ascii="Times New Roman" w:hAnsi="Times New Roman" w:cs="Times New Roman"/>
                <w:szCs w:val="21"/>
              </w:rPr>
            </w:pP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教授</w:t>
            </w:r>
          </w:p>
        </w:tc>
        <w:tc>
          <w:tcPr>
            <w:tcW w:w="916" w:type="dxa"/>
            <w:vAlign w:val="center"/>
          </w:tcPr>
          <w:p>
            <w:pPr>
              <w:spacing w:line="480" w:lineRule="exact"/>
              <w:jc w:val="center"/>
              <w:rPr>
                <w:rFonts w:hint="default" w:ascii="Times New Roman" w:hAnsi="Times New Roman" w:cs="Times New Roman"/>
                <w:szCs w:val="21"/>
              </w:rPr>
            </w:pPr>
          </w:p>
        </w:tc>
        <w:tc>
          <w:tcPr>
            <w:tcW w:w="1317" w:type="dxa"/>
            <w:vAlign w:val="center"/>
          </w:tcPr>
          <w:p>
            <w:pPr>
              <w:spacing w:line="480" w:lineRule="exact"/>
              <w:jc w:val="center"/>
              <w:rPr>
                <w:rFonts w:hint="default" w:ascii="Times New Roman" w:hAnsi="Times New Roman" w:cs="Times New Roman"/>
                <w:szCs w:val="21"/>
              </w:rPr>
            </w:pP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苏州大学</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18994437986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20</w:t>
            </w:r>
          </w:p>
        </w:tc>
        <w:tc>
          <w:tcPr>
            <w:tcW w:w="85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张友久</w:t>
            </w:r>
          </w:p>
        </w:tc>
        <w:tc>
          <w:tcPr>
            <w:tcW w:w="1083" w:type="dxa"/>
            <w:vAlign w:val="center"/>
          </w:tcPr>
          <w:p>
            <w:pPr>
              <w:spacing w:line="480" w:lineRule="exact"/>
              <w:jc w:val="center"/>
              <w:rPr>
                <w:rFonts w:hint="default" w:ascii="Times New Roman" w:hAnsi="Times New Roman" w:cs="Times New Roman"/>
                <w:szCs w:val="21"/>
              </w:rPr>
            </w:pPr>
          </w:p>
        </w:tc>
        <w:tc>
          <w:tcPr>
            <w:tcW w:w="1284"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副研究员</w:t>
            </w:r>
          </w:p>
        </w:tc>
        <w:tc>
          <w:tcPr>
            <w:tcW w:w="916" w:type="dxa"/>
            <w:vAlign w:val="center"/>
          </w:tcPr>
          <w:p>
            <w:pPr>
              <w:spacing w:line="480" w:lineRule="exact"/>
              <w:jc w:val="center"/>
              <w:rPr>
                <w:rFonts w:hint="default" w:ascii="Times New Roman" w:hAnsi="Times New Roman" w:cs="Times New Roman"/>
                <w:szCs w:val="21"/>
              </w:rPr>
            </w:pPr>
          </w:p>
        </w:tc>
        <w:tc>
          <w:tcPr>
            <w:tcW w:w="1317"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放射专业</w:t>
            </w:r>
          </w:p>
        </w:tc>
        <w:tc>
          <w:tcPr>
            <w:tcW w:w="2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苏州大学</w:t>
            </w:r>
          </w:p>
        </w:tc>
        <w:tc>
          <w:tcPr>
            <w:tcW w:w="1400" w:type="dxa"/>
            <w:vAlign w:val="center"/>
          </w:tcPr>
          <w:p>
            <w:pPr>
              <w:spacing w:line="480" w:lineRule="exact"/>
              <w:jc w:val="center"/>
              <w:rPr>
                <w:rFonts w:hint="default" w:ascii="Times New Roman" w:hAnsi="Times New Roman" w:cs="Times New Roman"/>
                <w:szCs w:val="21"/>
              </w:rPr>
            </w:pPr>
            <w:r>
              <w:rPr>
                <w:rFonts w:hint="default" w:ascii="Times New Roman" w:hAnsi="Times New Roman" w:cs="Times New Roman"/>
                <w:szCs w:val="21"/>
              </w:rPr>
              <w:t>18914029877</w:t>
            </w:r>
          </w:p>
        </w:tc>
      </w:tr>
    </w:tbl>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sectPr>
          <w:pgSz w:w="11906" w:h="16838"/>
          <w:pgMar w:top="1440" w:right="1797" w:bottom="1440" w:left="1797" w:header="709" w:footer="709" w:gutter="0"/>
          <w:cols w:space="720" w:num="1"/>
          <w:docGrid w:type="linesAndChars" w:linePitch="360" w:charSpace="0"/>
        </w:sectPr>
      </w:pPr>
    </w:p>
    <w:p>
      <w:pPr>
        <w:jc w:val="center"/>
        <w:rPr>
          <w:rFonts w:hint="default" w:ascii="Times New Roman" w:hAnsi="Times New Roman" w:cs="Times New Roman"/>
          <w:color w:val="000000"/>
          <w:sz w:val="10"/>
          <w:szCs w:val="10"/>
        </w:rPr>
      </w:pPr>
      <w:bookmarkStart w:id="89" w:name="_Toc25450"/>
      <w:r>
        <w:rPr>
          <w:rFonts w:hint="default" w:ascii="Times New Roman" w:hAnsi="Times New Roman" w:cs="Times New Roman"/>
          <w:b/>
          <w:color w:val="000000"/>
          <w:kern w:val="0"/>
          <w:sz w:val="32"/>
          <w:szCs w:val="32"/>
        </w:rPr>
        <w:t>太仓市安全、职业卫生专家名单</w:t>
      </w:r>
    </w:p>
    <w:tbl>
      <w:tblPr>
        <w:tblStyle w:val="10"/>
        <w:tblW w:w="14250" w:type="dxa"/>
        <w:tblInd w:w="0" w:type="dxa"/>
        <w:tblLayout w:type="fixed"/>
        <w:tblCellMar>
          <w:top w:w="15" w:type="dxa"/>
          <w:left w:w="15" w:type="dxa"/>
          <w:bottom w:w="15" w:type="dxa"/>
          <w:right w:w="15" w:type="dxa"/>
        </w:tblCellMar>
      </w:tblPr>
      <w:tblGrid>
        <w:gridCol w:w="656"/>
        <w:gridCol w:w="919"/>
        <w:gridCol w:w="712"/>
        <w:gridCol w:w="1088"/>
        <w:gridCol w:w="3072"/>
        <w:gridCol w:w="1048"/>
        <w:gridCol w:w="2248"/>
        <w:gridCol w:w="1349"/>
        <w:gridCol w:w="2531"/>
        <w:gridCol w:w="627"/>
      </w:tblGrid>
      <w:tr>
        <w:tblPrEx>
          <w:tblCellMar>
            <w:top w:w="15" w:type="dxa"/>
            <w:left w:w="15" w:type="dxa"/>
            <w:bottom w:w="15" w:type="dxa"/>
            <w:right w:w="15" w:type="dxa"/>
          </w:tblCellMar>
        </w:tblPrEx>
        <w:trPr>
          <w:trHeight w:val="28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序号</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姓名</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性别</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专家级别</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单位全称</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单位性质</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职称级别</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现从事专业</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擅长行业专业</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b/>
                <w:color w:val="000000"/>
                <w:sz w:val="24"/>
              </w:rPr>
            </w:pPr>
            <w:r>
              <w:rPr>
                <w:rFonts w:hint="default" w:ascii="Times New Roman" w:hAnsi="Times New Roman" w:cs="Times New Roman"/>
                <w:b/>
                <w:color w:val="000000"/>
                <w:kern w:val="0"/>
                <w:sz w:val="24"/>
              </w:rPr>
              <w:t>备注</w:t>
            </w:r>
          </w:p>
        </w:tc>
      </w:tr>
      <w:tr>
        <w:tblPrEx>
          <w:tblCellMar>
            <w:top w:w="15" w:type="dxa"/>
            <w:left w:w="15" w:type="dxa"/>
            <w:bottom w:w="15" w:type="dxa"/>
            <w:right w:w="15" w:type="dxa"/>
          </w:tblCellMar>
        </w:tblPrEx>
        <w:trPr>
          <w:trHeight w:val="286"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张洪毅</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实用动力（中国）有限公司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化工、机械、轻工</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冯星</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太仓奥托立夫申达汽车安全系统有限公司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安全、消防、环境</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橡胶、机械、生物制药</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45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吴穷</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博格华纳汽车零部件（江苏）有限公司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机械、重工、轻工</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刘静洁</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女</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固特瑞模具（太仓）有限公司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EHS管理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机械、轻工</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4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朱民浩</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和路雪（中国）有限公司太仓分公司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食品、涉氨</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1411"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韩坦</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苏州金江铜业有限公司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中华人民共和国全国专业标准化技术委员会委员、全国工业产品生产许可证国家注册审查员（2006）</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有色金属加工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有色金属加工</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谢新宇</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太仓协鑫垃圾焚烧发电有限公司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设备安全管理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特种设备安全管理、安全管理、汽机专业管理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73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姜毓民</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化工、机械、工艺、特种设备</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9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于宁一</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化工、机械、工艺、特种设备</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286"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庞永鑫</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国家注册安全评价师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企业管理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周国民</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原太仓市安监局</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无</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化工、机械、工艺、特种设备</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马兴元</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太仓制药厂</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化工、机械、工艺、特种设备</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13</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陆美</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女</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太仓制药厂</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工艺、技术</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57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陆友俊</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苏州汉斯工业设备有限公司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化工、机械、工艺、特种设备</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曹国权</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国药集团致君（苏州）制药有限公司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薛建春</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太仓中化环保化工有限公司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6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李金安</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太仓中化环保化工有限公司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化工、机械、工艺、特种设备</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48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周军卫</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太仓洛克伍德颜料有限公司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42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19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张舟</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凯美科瑞亚（江苏）化工有限公司苏州分公司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梁秋龙</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中化蓝天霍尼韦尔新材料有限公司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合资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李峰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太仓沪试试剂有限公司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严晓辉</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艺康化学（太仓）有限公司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23</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周旭峰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太仓东华能源燃气有限公司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24</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陈正宙</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江苏长江石油化工有限公司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25</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茅伟刚</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太仓新太酒精有限公司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高级工程师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陆建平</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太仓阳鸿石化有限公司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钱建峰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苏州博纳化学科技有限公司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于翔川</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旭川化学（苏州）有限公司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29</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栁红毅</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旭川化学（苏州）有限公司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袁传敏</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雅本化学股份有限公司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注册安全工程师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31</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倪学仁</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太仓市金阳气体有限公司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工业气体</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田海峰</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太仓市金阳气体有限公司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工业气体</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6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33</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杨卫国</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优缔精细化工（苏州）有限公司</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外资</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工程师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安全管理</w:t>
            </w:r>
          </w:p>
        </w:tc>
        <w:tc>
          <w:tcPr>
            <w:tcW w:w="627" w:type="dxa"/>
            <w:tcBorders>
              <w:top w:val="single" w:color="000000" w:sz="4" w:space="0"/>
              <w:left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34</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徐波</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太仓市疾病预防控制中心</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事业</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主管医师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职业卫生</w:t>
            </w:r>
          </w:p>
        </w:tc>
        <w:tc>
          <w:tcPr>
            <w:tcW w:w="253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职业卫生</w:t>
            </w:r>
          </w:p>
        </w:tc>
        <w:tc>
          <w:tcPr>
            <w:tcW w:w="627" w:type="dxa"/>
            <w:tcBorders>
              <w:top w:val="single" w:color="000000" w:sz="4" w:space="0"/>
              <w:left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35</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米</w:t>
            </w:r>
            <w:r>
              <w:rPr>
                <w:rStyle w:val="13"/>
                <w:rFonts w:hint="default" w:ascii="Times New Roman" w:hAnsi="Times New Roman" w:cs="Times New Roman"/>
              </w:rPr>
              <w:t>凯</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太仓市疾病预防控制中心</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事业</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主管医师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职业卫生</w:t>
            </w:r>
          </w:p>
        </w:tc>
        <w:tc>
          <w:tcPr>
            <w:tcW w:w="253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职业卫生</w:t>
            </w:r>
          </w:p>
        </w:tc>
        <w:tc>
          <w:tcPr>
            <w:tcW w:w="627" w:type="dxa"/>
            <w:tcBorders>
              <w:top w:val="single" w:color="000000" w:sz="4" w:space="0"/>
              <w:left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36</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江海</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太仓市疾病预防控制中心</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事业</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副主任医师</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职业卫生</w:t>
            </w:r>
          </w:p>
        </w:tc>
        <w:tc>
          <w:tcPr>
            <w:tcW w:w="253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职业卫生</w:t>
            </w:r>
          </w:p>
        </w:tc>
        <w:tc>
          <w:tcPr>
            <w:tcW w:w="627" w:type="dxa"/>
            <w:tcBorders>
              <w:top w:val="single" w:color="000000" w:sz="4" w:space="0"/>
              <w:left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37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37</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蔡凡平</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江苏欣隆药业股份有限公司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民营</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总工程师</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化工、职业卫生</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color w:val="000000"/>
                <w:sz w:val="24"/>
              </w:rPr>
            </w:pP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38</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李俊</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中国石化销售有限公司江苏苏州太仓石油分公司</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央企</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无</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加油站管理</w:t>
            </w:r>
          </w:p>
        </w:tc>
        <w:tc>
          <w:tcPr>
            <w:tcW w:w="253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成品油油库储运、加油站安全</w:t>
            </w:r>
          </w:p>
        </w:tc>
        <w:tc>
          <w:tcPr>
            <w:tcW w:w="627"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特需</w:t>
            </w: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39</w:t>
            </w:r>
          </w:p>
        </w:tc>
        <w:tc>
          <w:tcPr>
            <w:tcW w:w="91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刘桂松</w:t>
            </w:r>
          </w:p>
        </w:tc>
        <w:tc>
          <w:tcPr>
            <w:tcW w:w="71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中石化壳牌（江苏）石油销售有限公司</w:t>
            </w:r>
          </w:p>
        </w:tc>
        <w:tc>
          <w:tcPr>
            <w:tcW w:w="10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合资</w:t>
            </w:r>
          </w:p>
        </w:tc>
        <w:tc>
          <w:tcPr>
            <w:tcW w:w="22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无</w:t>
            </w:r>
          </w:p>
        </w:tc>
        <w:tc>
          <w:tcPr>
            <w:tcW w:w="1349"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加油站管理</w:t>
            </w:r>
          </w:p>
        </w:tc>
        <w:tc>
          <w:tcPr>
            <w:tcW w:w="253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成品油油库储运、加油站安全</w:t>
            </w:r>
          </w:p>
        </w:tc>
        <w:tc>
          <w:tcPr>
            <w:tcW w:w="627" w:type="dxa"/>
            <w:tcBorders>
              <w:top w:val="single" w:color="000000" w:sz="4" w:space="0"/>
              <w:left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特需</w:t>
            </w:r>
          </w:p>
        </w:tc>
      </w:tr>
      <w:tr>
        <w:tblPrEx>
          <w:tblCellMar>
            <w:top w:w="15" w:type="dxa"/>
            <w:left w:w="15" w:type="dxa"/>
            <w:bottom w:w="15" w:type="dxa"/>
            <w:right w:w="15" w:type="dxa"/>
          </w:tblCellMar>
        </w:tblPrEx>
        <w:trPr>
          <w:trHeight w:val="63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40</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杨俊</w:t>
            </w:r>
          </w:p>
        </w:tc>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男</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中级</w:t>
            </w:r>
          </w:p>
        </w:tc>
        <w:tc>
          <w:tcPr>
            <w:tcW w:w="307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中国石油天然气股份有限公司江苏苏州销售分公司</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央企</w:t>
            </w:r>
          </w:p>
        </w:tc>
        <w:tc>
          <w:tcPr>
            <w:tcW w:w="22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无</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加油站管理</w:t>
            </w:r>
          </w:p>
        </w:tc>
        <w:tc>
          <w:tcPr>
            <w:tcW w:w="25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成品油油库储运、加油站安全</w:t>
            </w:r>
          </w:p>
        </w:tc>
        <w:tc>
          <w:tcPr>
            <w:tcW w:w="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Times New Roman" w:hAnsi="Times New Roman" w:cs="Times New Roman"/>
                <w:color w:val="000000"/>
                <w:sz w:val="24"/>
              </w:rPr>
            </w:pPr>
            <w:r>
              <w:rPr>
                <w:rFonts w:hint="default" w:ascii="Times New Roman" w:hAnsi="Times New Roman" w:cs="Times New Roman"/>
                <w:color w:val="000000"/>
                <w:kern w:val="0"/>
                <w:sz w:val="24"/>
              </w:rPr>
              <w:t>特需</w:t>
            </w:r>
          </w:p>
        </w:tc>
      </w:tr>
    </w:tbl>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rPr>
          <w:rFonts w:hint="default" w:ascii="Times New Roman" w:hAnsi="Times New Roman" w:cs="Times New Roman"/>
          <w:color w:val="000000"/>
          <w:sz w:val="10"/>
          <w:szCs w:val="10"/>
        </w:rPr>
      </w:pPr>
    </w:p>
    <w:p>
      <w:pPr>
        <w:spacing w:line="360" w:lineRule="auto"/>
        <w:ind w:firstLine="560" w:firstLineChars="200"/>
        <w:outlineLvl w:val="1"/>
        <w:rPr>
          <w:rFonts w:hint="default" w:ascii="Times New Roman" w:hAnsi="Times New Roman" w:cs="Times New Roman"/>
          <w:sz w:val="28"/>
          <w:szCs w:val="28"/>
        </w:rPr>
      </w:pPr>
      <w:r>
        <w:rPr>
          <w:rFonts w:hint="default" w:ascii="Times New Roman" w:hAnsi="Times New Roman" w:cs="Times New Roman"/>
          <w:sz w:val="28"/>
          <w:szCs w:val="28"/>
        </w:rPr>
        <w:t>9.</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应急机构组成及职责</w:t>
      </w:r>
      <w:bookmarkEnd w:id="89"/>
    </w:p>
    <w:p>
      <w:pPr>
        <w:spacing w:line="360" w:lineRule="auto"/>
        <w:jc w:val="center"/>
        <w:rPr>
          <w:rFonts w:hint="default" w:ascii="Times New Roman" w:hAnsi="Times New Roman" w:cs="Times New Roman"/>
          <w:b/>
          <w:bCs/>
          <w:sz w:val="24"/>
        </w:rPr>
      </w:pPr>
      <w:r>
        <w:rPr>
          <w:rFonts w:hint="default" w:ascii="Times New Roman" w:hAnsi="Times New Roman" w:cs="Times New Roman"/>
          <w:b/>
          <w:bCs/>
          <w:sz w:val="24"/>
        </w:rPr>
        <w:t>应急机构组成及职责</w:t>
      </w:r>
    </w:p>
    <w:tbl>
      <w:tblPr>
        <w:tblStyle w:val="10"/>
        <w:tblW w:w="1360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538"/>
        <w:gridCol w:w="2486"/>
        <w:gridCol w:w="2142"/>
        <w:gridCol w:w="67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686" w:type="dxa"/>
            <w:tcBorders>
              <w:top w:val="single" w:color="auto" w:sz="12" w:space="0"/>
            </w:tcBorders>
            <w:vAlign w:val="center"/>
          </w:tcPr>
          <w:p>
            <w:pPr>
              <w:spacing w:beforeLines="50"/>
              <w:jc w:val="center"/>
              <w:rPr>
                <w:rFonts w:hint="default" w:ascii="Times New Roman" w:hAnsi="Times New Roman" w:cs="Times New Roman"/>
                <w:b/>
                <w:bCs/>
                <w:szCs w:val="21"/>
              </w:rPr>
            </w:pPr>
            <w:r>
              <w:rPr>
                <w:rFonts w:hint="default" w:ascii="Times New Roman" w:hAnsi="Times New Roman" w:cs="Times New Roman"/>
                <w:b/>
                <w:bCs/>
                <w:szCs w:val="21"/>
              </w:rPr>
              <w:t>序号</w:t>
            </w:r>
          </w:p>
        </w:tc>
        <w:tc>
          <w:tcPr>
            <w:tcW w:w="1538" w:type="dxa"/>
            <w:tcBorders>
              <w:top w:val="single" w:color="auto" w:sz="12" w:space="0"/>
            </w:tcBorders>
            <w:vAlign w:val="center"/>
          </w:tcPr>
          <w:p>
            <w:pPr>
              <w:spacing w:beforeLines="50"/>
              <w:jc w:val="center"/>
              <w:rPr>
                <w:rFonts w:hint="default" w:ascii="Times New Roman" w:hAnsi="Times New Roman" w:cs="Times New Roman"/>
                <w:b/>
                <w:bCs/>
                <w:szCs w:val="21"/>
              </w:rPr>
            </w:pPr>
            <w:r>
              <w:rPr>
                <w:rFonts w:hint="default" w:ascii="Times New Roman" w:hAnsi="Times New Roman" w:cs="Times New Roman"/>
                <w:b/>
                <w:bCs/>
                <w:szCs w:val="21"/>
              </w:rPr>
              <w:t>应急机构名称</w:t>
            </w:r>
          </w:p>
        </w:tc>
        <w:tc>
          <w:tcPr>
            <w:tcW w:w="2486" w:type="dxa"/>
            <w:tcBorders>
              <w:top w:val="single" w:color="auto" w:sz="12" w:space="0"/>
            </w:tcBorders>
            <w:vAlign w:val="center"/>
          </w:tcPr>
          <w:p>
            <w:pPr>
              <w:spacing w:beforeLines="50"/>
              <w:jc w:val="center"/>
              <w:rPr>
                <w:rFonts w:hint="default" w:ascii="Times New Roman" w:hAnsi="Times New Roman" w:cs="Times New Roman"/>
                <w:b/>
                <w:bCs/>
                <w:szCs w:val="21"/>
              </w:rPr>
            </w:pPr>
            <w:r>
              <w:rPr>
                <w:rFonts w:hint="default" w:ascii="Times New Roman" w:hAnsi="Times New Roman" w:cs="Times New Roman"/>
                <w:b/>
                <w:bCs/>
                <w:szCs w:val="21"/>
              </w:rPr>
              <w:t>责任部门</w:t>
            </w:r>
          </w:p>
        </w:tc>
        <w:tc>
          <w:tcPr>
            <w:tcW w:w="2142" w:type="dxa"/>
            <w:tcBorders>
              <w:top w:val="single" w:color="auto" w:sz="12" w:space="0"/>
            </w:tcBorders>
            <w:vAlign w:val="center"/>
          </w:tcPr>
          <w:p>
            <w:pPr>
              <w:spacing w:beforeLines="50"/>
              <w:jc w:val="center"/>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责任人及联系方式</w:t>
            </w:r>
          </w:p>
        </w:tc>
        <w:tc>
          <w:tcPr>
            <w:tcW w:w="6756" w:type="dxa"/>
            <w:tcBorders>
              <w:top w:val="single" w:color="auto" w:sz="12" w:space="0"/>
            </w:tcBorders>
            <w:vAlign w:val="center"/>
          </w:tcPr>
          <w:p>
            <w:pPr>
              <w:spacing w:beforeLines="50"/>
              <w:jc w:val="center"/>
              <w:rPr>
                <w:rFonts w:hint="default" w:ascii="Times New Roman" w:hAnsi="Times New Roman" w:cs="Times New Roman"/>
                <w:b/>
                <w:bCs/>
                <w:szCs w:val="21"/>
              </w:rPr>
            </w:pPr>
            <w:r>
              <w:rPr>
                <w:rFonts w:hint="default" w:ascii="Times New Roman" w:hAnsi="Times New Roman" w:cs="Times New Roman"/>
                <w:b/>
                <w:bCs/>
                <w:szCs w:val="21"/>
              </w:rPr>
              <w:t>应急救援工作内容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1</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城厢镇应急救援中心</w:t>
            </w:r>
          </w:p>
        </w:tc>
        <w:tc>
          <w:tcPr>
            <w:tcW w:w="2486" w:type="dxa"/>
            <w:vAlign w:val="center"/>
          </w:tcPr>
          <w:p>
            <w:pPr>
              <w:rPr>
                <w:rFonts w:hint="default" w:ascii="Times New Roman" w:hAnsi="Times New Roman" w:cs="Times New Roman"/>
                <w:szCs w:val="21"/>
              </w:rPr>
            </w:pPr>
            <w:r>
              <w:rPr>
                <w:rFonts w:hint="default" w:ascii="Times New Roman" w:hAnsi="Times New Roman" w:cs="Times New Roman"/>
                <w:szCs w:val="21"/>
              </w:rPr>
              <w:t>安委办</w:t>
            </w:r>
          </w:p>
        </w:tc>
        <w:tc>
          <w:tcPr>
            <w:tcW w:w="2142" w:type="dxa"/>
            <w:vAlign w:val="center"/>
          </w:tcPr>
          <w:p>
            <w:pPr>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叶强 </w:t>
            </w:r>
          </w:p>
          <w:p>
            <w:pPr>
              <w:rPr>
                <w:rFonts w:hint="default" w:ascii="Times New Roman" w:hAnsi="Times New Roman" w:cs="Times New Roman"/>
                <w:szCs w:val="21"/>
                <w:highlight w:val="none"/>
              </w:rPr>
            </w:pPr>
            <w:r>
              <w:rPr>
                <w:rFonts w:hint="default" w:ascii="Times New Roman" w:hAnsi="Times New Roman" w:cs="Times New Roman"/>
                <w:szCs w:val="21"/>
                <w:highlight w:val="none"/>
              </w:rPr>
              <w:t>高成</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是城厢镇突发公共事件的最高指挥机构，负责本区内突发公共事件的应急指挥工作，职责如下：</w:t>
            </w:r>
          </w:p>
          <w:p>
            <w:pPr>
              <w:rPr>
                <w:rFonts w:hint="default" w:ascii="Times New Roman" w:hAnsi="Times New Roman" w:cs="Times New Roman"/>
                <w:szCs w:val="21"/>
              </w:rPr>
            </w:pPr>
            <w:r>
              <w:rPr>
                <w:rFonts w:hint="default" w:ascii="Times New Roman" w:hAnsi="Times New Roman" w:cs="Times New Roman"/>
                <w:szCs w:val="21"/>
              </w:rPr>
              <w:t>（1）接受事故报警，请示应急救援总指挥开启应急预案，并落实指令；</w:t>
            </w:r>
          </w:p>
          <w:p>
            <w:pPr>
              <w:rPr>
                <w:rFonts w:hint="default" w:ascii="Times New Roman" w:hAnsi="Times New Roman" w:cs="Times New Roman"/>
                <w:szCs w:val="21"/>
              </w:rPr>
            </w:pPr>
            <w:r>
              <w:rPr>
                <w:rFonts w:hint="default" w:ascii="Times New Roman" w:hAnsi="Times New Roman" w:cs="Times New Roman"/>
                <w:szCs w:val="21"/>
              </w:rPr>
              <w:t>（2）下达应急预案启动和终止指令；</w:t>
            </w:r>
          </w:p>
          <w:p>
            <w:pPr>
              <w:rPr>
                <w:rFonts w:hint="default" w:ascii="Times New Roman" w:hAnsi="Times New Roman" w:cs="Times New Roman"/>
                <w:szCs w:val="21"/>
              </w:rPr>
            </w:pPr>
            <w:r>
              <w:rPr>
                <w:rFonts w:hint="default" w:ascii="Times New Roman" w:hAnsi="Times New Roman" w:cs="Times New Roman"/>
                <w:szCs w:val="21"/>
              </w:rPr>
              <w:t>（3）负责应急救援工作的组织、指挥、协调和落实；统一协调社会救援力量；</w:t>
            </w:r>
          </w:p>
          <w:p>
            <w:pPr>
              <w:rPr>
                <w:rFonts w:hint="default" w:ascii="Times New Roman" w:hAnsi="Times New Roman" w:cs="Times New Roman"/>
                <w:szCs w:val="21"/>
              </w:rPr>
            </w:pPr>
            <w:r>
              <w:rPr>
                <w:rFonts w:hint="default" w:ascii="Times New Roman" w:hAnsi="Times New Roman" w:cs="Times New Roman"/>
                <w:szCs w:val="21"/>
              </w:rPr>
              <w:t>（4）确定应急救援指挥部人员名单和聘请的专家名单，并下达派出指令；</w:t>
            </w:r>
          </w:p>
          <w:p>
            <w:pPr>
              <w:rPr>
                <w:rFonts w:hint="default" w:ascii="Times New Roman" w:hAnsi="Times New Roman" w:cs="Times New Roman"/>
                <w:szCs w:val="21"/>
              </w:rPr>
            </w:pPr>
            <w:r>
              <w:rPr>
                <w:rFonts w:hint="default" w:ascii="Times New Roman" w:hAnsi="Times New Roman" w:cs="Times New Roman"/>
                <w:szCs w:val="21"/>
              </w:rPr>
              <w:t>（5）组织编制、修订事故应急救援预案，组织演练；</w:t>
            </w:r>
          </w:p>
          <w:p>
            <w:pPr>
              <w:rPr>
                <w:rFonts w:hint="default" w:ascii="Times New Roman" w:hAnsi="Times New Roman" w:cs="Times New Roman"/>
                <w:szCs w:val="21"/>
              </w:rPr>
            </w:pPr>
            <w:r>
              <w:rPr>
                <w:rFonts w:hint="default" w:ascii="Times New Roman" w:hAnsi="Times New Roman" w:cs="Times New Roman"/>
                <w:szCs w:val="21"/>
              </w:rPr>
              <w:t>（6）组织对重大事故进行调查，核发事故通报。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2</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应急救援</w:t>
            </w:r>
          </w:p>
          <w:p>
            <w:pPr>
              <w:jc w:val="center"/>
              <w:rPr>
                <w:rFonts w:hint="default" w:ascii="Times New Roman" w:hAnsi="Times New Roman" w:cs="Times New Roman"/>
                <w:szCs w:val="21"/>
              </w:rPr>
            </w:pPr>
            <w:r>
              <w:rPr>
                <w:rFonts w:hint="default" w:ascii="Times New Roman" w:hAnsi="Times New Roman" w:cs="Times New Roman"/>
                <w:szCs w:val="21"/>
              </w:rPr>
              <w:t>总指挥</w:t>
            </w:r>
          </w:p>
        </w:tc>
        <w:tc>
          <w:tcPr>
            <w:tcW w:w="2486" w:type="dxa"/>
            <w:vAlign w:val="center"/>
          </w:tcPr>
          <w:p>
            <w:pPr>
              <w:rPr>
                <w:rFonts w:hint="default" w:ascii="Times New Roman" w:hAnsi="Times New Roman" w:cs="Times New Roman"/>
                <w:szCs w:val="21"/>
              </w:rPr>
            </w:pPr>
            <w:r>
              <w:rPr>
                <w:rFonts w:hint="default" w:ascii="Times New Roman" w:hAnsi="Times New Roman" w:cs="Times New Roman"/>
                <w:szCs w:val="21"/>
              </w:rPr>
              <w:t>安委会</w:t>
            </w:r>
          </w:p>
        </w:tc>
        <w:tc>
          <w:tcPr>
            <w:tcW w:w="2142" w:type="dxa"/>
            <w:vAlign w:val="center"/>
          </w:tcPr>
          <w:p>
            <w:pPr>
              <w:rPr>
                <w:rFonts w:hint="default" w:ascii="Times New Roman" w:hAnsi="Times New Roman" w:cs="Times New Roman"/>
                <w:szCs w:val="21"/>
                <w:highlight w:val="none"/>
              </w:rPr>
            </w:pPr>
            <w:r>
              <w:rPr>
                <w:rFonts w:hint="default" w:ascii="Times New Roman" w:hAnsi="Times New Roman" w:cs="Times New Roman"/>
                <w:szCs w:val="21"/>
                <w:highlight w:val="none"/>
              </w:rPr>
              <w:t>顾强</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（1）负责宣布启动和解除应急救援预案的命令；</w:t>
            </w:r>
          </w:p>
          <w:p>
            <w:pPr>
              <w:rPr>
                <w:rFonts w:hint="default" w:ascii="Times New Roman" w:hAnsi="Times New Roman" w:cs="Times New Roman"/>
                <w:szCs w:val="21"/>
              </w:rPr>
            </w:pPr>
            <w:r>
              <w:rPr>
                <w:rFonts w:hint="default" w:ascii="Times New Roman" w:hAnsi="Times New Roman" w:cs="Times New Roman"/>
                <w:szCs w:val="21"/>
              </w:rPr>
              <w:t>（2）指挥应急救援小组有序开展救援工作；</w:t>
            </w:r>
          </w:p>
          <w:p>
            <w:pPr>
              <w:rPr>
                <w:rFonts w:hint="default" w:ascii="Times New Roman" w:hAnsi="Times New Roman" w:cs="Times New Roman"/>
                <w:szCs w:val="21"/>
              </w:rPr>
            </w:pPr>
            <w:r>
              <w:rPr>
                <w:rFonts w:hint="default" w:ascii="Times New Roman" w:hAnsi="Times New Roman" w:cs="Times New Roman"/>
                <w:szCs w:val="21"/>
              </w:rPr>
              <w:t>（3）向上级汇报事故情况，必要时向有关单位发出救援请求。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3</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安全警戒疏散组</w:t>
            </w:r>
          </w:p>
        </w:tc>
        <w:tc>
          <w:tcPr>
            <w:tcW w:w="2486" w:type="dxa"/>
            <w:vAlign w:val="center"/>
          </w:tcPr>
          <w:p>
            <w:pPr>
              <w:spacing w:line="276" w:lineRule="auto"/>
              <w:rPr>
                <w:rFonts w:hint="default" w:ascii="Times New Roman" w:hAnsi="Times New Roman" w:cs="Times New Roman"/>
                <w:szCs w:val="21"/>
              </w:rPr>
            </w:pPr>
            <w:r>
              <w:rPr>
                <w:rFonts w:hint="default" w:ascii="Times New Roman" w:hAnsi="Times New Roman" w:cs="Times New Roman"/>
                <w:szCs w:val="21"/>
              </w:rPr>
              <w:t>派出所、交警中队</w:t>
            </w:r>
          </w:p>
        </w:tc>
        <w:tc>
          <w:tcPr>
            <w:tcW w:w="2142" w:type="dxa"/>
            <w:vAlign w:val="center"/>
          </w:tcPr>
          <w:p>
            <w:pPr>
              <w:rPr>
                <w:rFonts w:hint="default" w:ascii="Times New Roman" w:hAnsi="Times New Roman" w:cs="Times New Roman"/>
                <w:szCs w:val="21"/>
                <w:highlight w:val="none"/>
              </w:rPr>
            </w:pPr>
            <w:r>
              <w:rPr>
                <w:rFonts w:hint="default" w:ascii="Times New Roman" w:hAnsi="Times New Roman" w:cs="Times New Roman"/>
                <w:szCs w:val="21"/>
                <w:highlight w:val="none"/>
              </w:rPr>
              <w:t>何  振</w:t>
            </w:r>
          </w:p>
          <w:p>
            <w:pPr>
              <w:rPr>
                <w:rFonts w:hint="default" w:ascii="Times New Roman" w:hAnsi="Times New Roman" w:cs="Times New Roman"/>
                <w:szCs w:val="21"/>
                <w:highlight w:val="none"/>
              </w:rPr>
            </w:pPr>
            <w:r>
              <w:rPr>
                <w:rFonts w:hint="default" w:ascii="Times New Roman" w:hAnsi="Times New Roman" w:cs="Times New Roman"/>
                <w:szCs w:val="21"/>
                <w:highlight w:val="none"/>
              </w:rPr>
              <w:t>周  丹</w:t>
            </w:r>
          </w:p>
          <w:p>
            <w:pPr>
              <w:rPr>
                <w:rFonts w:hint="default" w:ascii="Times New Roman" w:hAnsi="Times New Roman" w:cs="Times New Roman"/>
                <w:szCs w:val="21"/>
                <w:highlight w:val="none"/>
              </w:rPr>
            </w:pPr>
            <w:r>
              <w:rPr>
                <w:rFonts w:hint="default" w:ascii="Times New Roman" w:hAnsi="Times New Roman" w:cs="Times New Roman"/>
                <w:szCs w:val="21"/>
                <w:highlight w:val="none"/>
              </w:rPr>
              <w:t>刘  浩</w:t>
            </w:r>
          </w:p>
          <w:p>
            <w:pPr>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鲁亮</w:t>
            </w:r>
            <w:r>
              <w:rPr>
                <w:rFonts w:hint="eastAsia" w:cs="Times New Roman"/>
                <w:szCs w:val="21"/>
                <w:highlight w:val="none"/>
                <w:lang w:eastAsia="zh-CN"/>
              </w:rPr>
              <w:t>贤</w:t>
            </w:r>
          </w:p>
          <w:p>
            <w:pPr>
              <w:rPr>
                <w:rFonts w:hint="default" w:ascii="Times New Roman" w:hAnsi="Times New Roman" w:cs="Times New Roman"/>
                <w:szCs w:val="21"/>
                <w:highlight w:val="none"/>
              </w:rPr>
            </w:pP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（1）负责事故现场、外围道路交通疏导及管制，保证救援车辆、物资、人员畅通；</w:t>
            </w:r>
          </w:p>
          <w:p>
            <w:pPr>
              <w:rPr>
                <w:rFonts w:hint="default" w:ascii="Times New Roman" w:hAnsi="Times New Roman" w:cs="Times New Roman"/>
                <w:szCs w:val="21"/>
              </w:rPr>
            </w:pPr>
            <w:r>
              <w:rPr>
                <w:rFonts w:hint="default" w:ascii="Times New Roman" w:hAnsi="Times New Roman" w:cs="Times New Roman"/>
                <w:szCs w:val="21"/>
              </w:rPr>
              <w:t>（2）负责撤离现场人员安全疏散至集合点；</w:t>
            </w:r>
          </w:p>
          <w:p>
            <w:pPr>
              <w:rPr>
                <w:rFonts w:hint="default" w:ascii="Times New Roman" w:hAnsi="Times New Roman" w:cs="Times New Roman"/>
                <w:szCs w:val="21"/>
              </w:rPr>
            </w:pPr>
            <w:r>
              <w:rPr>
                <w:rFonts w:hint="default" w:ascii="Times New Roman" w:hAnsi="Times New Roman" w:cs="Times New Roman"/>
                <w:szCs w:val="21"/>
              </w:rPr>
              <w:t>（3）负责外围人员的安全疏散；</w:t>
            </w:r>
          </w:p>
          <w:p>
            <w:pPr>
              <w:rPr>
                <w:rFonts w:hint="default" w:ascii="Times New Roman" w:hAnsi="Times New Roman" w:cs="Times New Roman"/>
                <w:szCs w:val="21"/>
              </w:rPr>
            </w:pPr>
            <w:r>
              <w:rPr>
                <w:rFonts w:hint="default" w:ascii="Times New Roman" w:hAnsi="Times New Roman" w:cs="Times New Roman"/>
                <w:szCs w:val="21"/>
              </w:rPr>
              <w:t>（4）负责现场安全警戒。</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4</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抢险救灾组</w:t>
            </w:r>
          </w:p>
        </w:tc>
        <w:tc>
          <w:tcPr>
            <w:tcW w:w="2486" w:type="dxa"/>
            <w:vAlign w:val="center"/>
          </w:tcPr>
          <w:p>
            <w:pPr>
              <w:spacing w:line="276" w:lineRule="auto"/>
              <w:rPr>
                <w:rFonts w:hint="default" w:ascii="Times New Roman" w:hAnsi="Times New Roman" w:cs="Times New Roman"/>
                <w:szCs w:val="21"/>
              </w:rPr>
            </w:pPr>
            <w:r>
              <w:rPr>
                <w:rFonts w:hint="default" w:ascii="Times New Roman" w:hAnsi="Times New Roman" w:cs="Times New Roman"/>
                <w:szCs w:val="21"/>
              </w:rPr>
              <w:t>综合</w:t>
            </w:r>
            <w:r>
              <w:rPr>
                <w:rFonts w:hint="eastAsia" w:cs="Times New Roman"/>
                <w:szCs w:val="21"/>
                <w:lang w:val="en-US" w:eastAsia="zh-CN"/>
              </w:rPr>
              <w:t>行政</w:t>
            </w:r>
            <w:r>
              <w:rPr>
                <w:rFonts w:hint="default" w:ascii="Times New Roman" w:hAnsi="Times New Roman" w:cs="Times New Roman"/>
                <w:szCs w:val="21"/>
              </w:rPr>
              <w:t>执法局</w:t>
            </w:r>
          </w:p>
          <w:p>
            <w:pPr>
              <w:spacing w:line="276" w:lineRule="auto"/>
              <w:rPr>
                <w:rFonts w:hint="default" w:ascii="Times New Roman" w:hAnsi="Times New Roman" w:cs="Times New Roman"/>
                <w:szCs w:val="21"/>
              </w:rPr>
            </w:pPr>
            <w:r>
              <w:rPr>
                <w:rFonts w:hint="default" w:ascii="Times New Roman" w:hAnsi="Times New Roman" w:cs="Times New Roman"/>
                <w:szCs w:val="21"/>
              </w:rPr>
              <w:t>建设局</w:t>
            </w:r>
          </w:p>
          <w:p>
            <w:pPr>
              <w:spacing w:line="276" w:lineRule="auto"/>
              <w:rPr>
                <w:rFonts w:hint="default" w:ascii="Times New Roman" w:hAnsi="Times New Roman" w:cs="Times New Roman"/>
                <w:szCs w:val="21"/>
              </w:rPr>
            </w:pPr>
            <w:r>
              <w:rPr>
                <w:rFonts w:hint="eastAsia" w:cs="Times New Roman"/>
                <w:szCs w:val="21"/>
                <w:lang w:val="en-US" w:eastAsia="zh-CN"/>
              </w:rPr>
              <w:t>社会治理和社会事业</w:t>
            </w:r>
            <w:r>
              <w:rPr>
                <w:rFonts w:hint="default" w:ascii="Times New Roman" w:hAnsi="Times New Roman" w:cs="Times New Roman"/>
                <w:szCs w:val="21"/>
              </w:rPr>
              <w:t>局</w:t>
            </w:r>
          </w:p>
        </w:tc>
        <w:tc>
          <w:tcPr>
            <w:tcW w:w="2142" w:type="dxa"/>
            <w:vAlign w:val="center"/>
          </w:tcPr>
          <w:p>
            <w:pPr>
              <w:spacing w:line="276" w:lineRule="auto"/>
              <w:rPr>
                <w:rFonts w:hint="default" w:ascii="Times New Roman" w:hAnsi="Times New Roman" w:cs="Times New Roman"/>
                <w:szCs w:val="21"/>
                <w:highlight w:val="none"/>
              </w:rPr>
            </w:pPr>
            <w:r>
              <w:rPr>
                <w:rFonts w:hint="default" w:ascii="Times New Roman" w:hAnsi="Times New Roman" w:cs="Times New Roman"/>
                <w:szCs w:val="21"/>
                <w:highlight w:val="none"/>
              </w:rPr>
              <w:t>浦燕锋</w:t>
            </w:r>
          </w:p>
          <w:p>
            <w:pPr>
              <w:spacing w:line="276" w:lineRule="auto"/>
              <w:rPr>
                <w:rFonts w:hint="default" w:ascii="Times New Roman" w:hAnsi="Times New Roman" w:cs="Times New Roman"/>
                <w:szCs w:val="21"/>
                <w:highlight w:val="none"/>
              </w:rPr>
            </w:pPr>
            <w:r>
              <w:rPr>
                <w:rFonts w:hint="default" w:ascii="Times New Roman" w:hAnsi="Times New Roman" w:cs="Times New Roman"/>
                <w:szCs w:val="21"/>
                <w:highlight w:val="none"/>
              </w:rPr>
              <w:t>陈  俊</w:t>
            </w:r>
          </w:p>
          <w:p>
            <w:pPr>
              <w:spacing w:line="276" w:lineRule="auto"/>
              <w:rPr>
                <w:rFonts w:hint="default" w:ascii="Times New Roman" w:hAnsi="Times New Roman" w:cs="Times New Roman"/>
                <w:szCs w:val="21"/>
                <w:highlight w:val="none"/>
              </w:rPr>
            </w:pPr>
            <w:r>
              <w:rPr>
                <w:rFonts w:hint="default" w:ascii="Times New Roman" w:hAnsi="Times New Roman" w:cs="Times New Roman"/>
                <w:szCs w:val="21"/>
                <w:highlight w:val="none"/>
              </w:rPr>
              <w:t>陆丽峰</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（1）抢险：在保证安全的条件下，对事故现场及周围物资进行抢险；</w:t>
            </w:r>
          </w:p>
          <w:p>
            <w:pPr>
              <w:rPr>
                <w:rFonts w:hint="default" w:ascii="Times New Roman" w:hAnsi="Times New Roman" w:cs="Times New Roman"/>
                <w:szCs w:val="21"/>
              </w:rPr>
            </w:pPr>
            <w:r>
              <w:rPr>
                <w:rFonts w:hint="default" w:ascii="Times New Roman" w:hAnsi="Times New Roman" w:cs="Times New Roman"/>
                <w:szCs w:val="21"/>
              </w:rPr>
              <w:t>（2）抢救：抢救现场受围、受伤人员；</w:t>
            </w:r>
          </w:p>
          <w:p>
            <w:pPr>
              <w:rPr>
                <w:rFonts w:hint="default" w:ascii="Times New Roman" w:hAnsi="Times New Roman" w:cs="Times New Roman"/>
                <w:szCs w:val="21"/>
              </w:rPr>
            </w:pPr>
            <w:r>
              <w:rPr>
                <w:rFonts w:hint="default" w:ascii="Times New Roman" w:hAnsi="Times New Roman" w:cs="Times New Roman"/>
                <w:szCs w:val="21"/>
              </w:rPr>
              <w:t>（3）抢修：对可能造成更大事故已损坏的设备、设施，在采取安全措施前提下进行抢修；</w:t>
            </w:r>
          </w:p>
          <w:p>
            <w:pPr>
              <w:rPr>
                <w:rFonts w:hint="default" w:ascii="Times New Roman" w:hAnsi="Times New Roman" w:cs="Times New Roman"/>
                <w:szCs w:val="21"/>
              </w:rPr>
            </w:pPr>
            <w:r>
              <w:rPr>
                <w:rFonts w:hint="default" w:ascii="Times New Roman" w:hAnsi="Times New Roman" w:cs="Times New Roman"/>
                <w:szCs w:val="21"/>
              </w:rPr>
              <w:t>（4）泄漏处理：进行堵漏，用沙土覆盖、收容、转移等进行处理；</w:t>
            </w:r>
          </w:p>
          <w:p>
            <w:pPr>
              <w:rPr>
                <w:rFonts w:hint="default" w:ascii="Times New Roman" w:hAnsi="Times New Roman" w:cs="Times New Roman"/>
                <w:szCs w:val="21"/>
              </w:rPr>
            </w:pPr>
            <w:r>
              <w:rPr>
                <w:rFonts w:hint="default" w:ascii="Times New Roman" w:hAnsi="Times New Roman" w:cs="Times New Roman"/>
                <w:szCs w:val="21"/>
              </w:rPr>
              <w:t>（5）现场消洗：对事故现场进行消洗处置工作</w:t>
            </w:r>
          </w:p>
          <w:p>
            <w:pPr>
              <w:rPr>
                <w:rFonts w:hint="default" w:ascii="Times New Roman" w:hAnsi="Times New Roman" w:cs="Times New Roman"/>
                <w:szCs w:val="21"/>
              </w:rPr>
            </w:pPr>
            <w:r>
              <w:rPr>
                <w:rFonts w:hint="default" w:ascii="Times New Roman" w:hAnsi="Times New Roman" w:cs="Times New Roman"/>
                <w:szCs w:val="21"/>
              </w:rPr>
              <w:t>（由企业技术骨干及相关抢险、抢修人员组成）。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5</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灭火救援组</w:t>
            </w:r>
          </w:p>
        </w:tc>
        <w:tc>
          <w:tcPr>
            <w:tcW w:w="2486" w:type="dxa"/>
            <w:vAlign w:val="center"/>
          </w:tcPr>
          <w:p>
            <w:pPr>
              <w:rPr>
                <w:rFonts w:hint="default" w:ascii="Times New Roman" w:hAnsi="Times New Roman" w:cs="Times New Roman"/>
                <w:szCs w:val="21"/>
              </w:rPr>
            </w:pPr>
            <w:r>
              <w:rPr>
                <w:rFonts w:hint="eastAsia" w:cs="Times New Roman"/>
                <w:szCs w:val="21"/>
                <w:lang w:val="en-US" w:eastAsia="zh-CN"/>
              </w:rPr>
              <w:t>城西</w:t>
            </w:r>
            <w:r>
              <w:rPr>
                <w:rFonts w:hint="default" w:ascii="Times New Roman" w:hAnsi="Times New Roman" w:cs="Times New Roman"/>
                <w:szCs w:val="21"/>
              </w:rPr>
              <w:t>消防中队</w:t>
            </w:r>
          </w:p>
          <w:p>
            <w:pPr>
              <w:rPr>
                <w:rFonts w:hint="default" w:ascii="Times New Roman" w:hAnsi="Times New Roman" w:cs="Times New Roman"/>
                <w:szCs w:val="21"/>
              </w:rPr>
            </w:pPr>
            <w:r>
              <w:rPr>
                <w:rFonts w:hint="default" w:ascii="Times New Roman" w:hAnsi="Times New Roman" w:cs="Times New Roman"/>
                <w:szCs w:val="21"/>
              </w:rPr>
              <w:t>交警中队</w:t>
            </w:r>
          </w:p>
        </w:tc>
        <w:tc>
          <w:tcPr>
            <w:tcW w:w="2142" w:type="dxa"/>
            <w:vAlign w:val="center"/>
          </w:tcPr>
          <w:p>
            <w:pPr>
              <w:rPr>
                <w:rFonts w:hint="eastAsia" w:ascii="Times New Roman" w:hAnsi="Times New Roman" w:eastAsia="宋体" w:cs="Times New Roman"/>
                <w:szCs w:val="21"/>
                <w:highlight w:val="none"/>
                <w:lang w:eastAsia="zh-CN"/>
              </w:rPr>
            </w:pPr>
            <w:r>
              <w:rPr>
                <w:rFonts w:hint="default" w:ascii="Times New Roman" w:hAnsi="Times New Roman" w:cs="Times New Roman"/>
                <w:szCs w:val="21"/>
                <w:highlight w:val="none"/>
              </w:rPr>
              <w:t>单进</w:t>
            </w:r>
            <w:r>
              <w:rPr>
                <w:rFonts w:hint="eastAsia" w:cs="Times New Roman"/>
                <w:szCs w:val="21"/>
                <w:highlight w:val="none"/>
                <w:lang w:eastAsia="zh-CN"/>
              </w:rPr>
              <w:t>锋</w:t>
            </w:r>
          </w:p>
          <w:p>
            <w:pPr>
              <w:rPr>
                <w:rFonts w:hint="default" w:ascii="Times New Roman" w:hAnsi="Times New Roman" w:cs="Times New Roman"/>
                <w:szCs w:val="21"/>
                <w:highlight w:val="none"/>
              </w:rPr>
            </w:pPr>
            <w:r>
              <w:rPr>
                <w:rFonts w:hint="default" w:ascii="Times New Roman" w:hAnsi="Times New Roman" w:cs="Times New Roman"/>
                <w:szCs w:val="21"/>
                <w:highlight w:val="none"/>
              </w:rPr>
              <w:t>鲁亮</w:t>
            </w:r>
            <w:r>
              <w:rPr>
                <w:rFonts w:hint="eastAsia" w:cs="Times New Roman"/>
                <w:szCs w:val="21"/>
                <w:highlight w:val="none"/>
                <w:lang w:eastAsia="zh-CN"/>
              </w:rPr>
              <w:t>贤</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（1）根据火灾发生位置、特点和气象采取合适的灭火方案，进行灭火；</w:t>
            </w:r>
          </w:p>
          <w:p>
            <w:pPr>
              <w:rPr>
                <w:rFonts w:hint="default" w:ascii="Times New Roman" w:hAnsi="Times New Roman" w:cs="Times New Roman"/>
                <w:szCs w:val="21"/>
              </w:rPr>
            </w:pPr>
            <w:r>
              <w:rPr>
                <w:rFonts w:hint="default" w:ascii="Times New Roman" w:hAnsi="Times New Roman" w:cs="Times New Roman"/>
                <w:szCs w:val="21"/>
              </w:rPr>
              <w:t>（2）进行火场周边可能会引发二次事故的场所，应了解其特点进行应急处理，如隔离、移走、冷却等；</w:t>
            </w:r>
          </w:p>
          <w:p>
            <w:pPr>
              <w:rPr>
                <w:rFonts w:hint="default" w:ascii="Times New Roman" w:hAnsi="Times New Roman" w:cs="Times New Roman"/>
                <w:szCs w:val="21"/>
              </w:rPr>
            </w:pPr>
            <w:r>
              <w:rPr>
                <w:rFonts w:hint="default" w:ascii="Times New Roman" w:hAnsi="Times New Roman" w:cs="Times New Roman"/>
                <w:szCs w:val="21"/>
              </w:rPr>
              <w:t>（3）消防人员应注意防中毒等自身保护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6</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后勤保障组</w:t>
            </w:r>
          </w:p>
        </w:tc>
        <w:tc>
          <w:tcPr>
            <w:tcW w:w="2486" w:type="dxa"/>
            <w:vAlign w:val="center"/>
          </w:tcPr>
          <w:p>
            <w:pPr>
              <w:spacing w:line="276" w:lineRule="auto"/>
              <w:rPr>
                <w:rFonts w:hint="eastAsia" w:ascii="Times New Roman" w:hAnsi="Times New Roman" w:eastAsia="宋体" w:cs="Times New Roman"/>
                <w:szCs w:val="21"/>
                <w:lang w:val="en-US" w:eastAsia="zh-CN"/>
              </w:rPr>
            </w:pPr>
            <w:r>
              <w:rPr>
                <w:rFonts w:hint="default" w:ascii="Times New Roman" w:hAnsi="Times New Roman" w:cs="Times New Roman"/>
                <w:szCs w:val="21"/>
              </w:rPr>
              <w:t>党政办</w:t>
            </w:r>
            <w:r>
              <w:rPr>
                <w:rFonts w:hint="eastAsia" w:cs="Times New Roman"/>
                <w:szCs w:val="21"/>
                <w:lang w:val="en-US" w:eastAsia="zh-CN"/>
              </w:rPr>
              <w:t>公室</w:t>
            </w:r>
          </w:p>
          <w:p>
            <w:pPr>
              <w:spacing w:line="276" w:lineRule="auto"/>
              <w:rPr>
                <w:rFonts w:hint="default" w:ascii="Times New Roman" w:hAnsi="Times New Roman" w:eastAsia="宋体" w:cs="Times New Roman"/>
                <w:szCs w:val="21"/>
                <w:lang w:val="en-US" w:eastAsia="zh-CN"/>
              </w:rPr>
            </w:pPr>
            <w:r>
              <w:rPr>
                <w:rFonts w:hint="eastAsia" w:cs="Times New Roman"/>
                <w:szCs w:val="21"/>
                <w:lang w:val="en-US" w:eastAsia="zh-CN"/>
              </w:rPr>
              <w:t>社会治理和社会事业局</w:t>
            </w:r>
          </w:p>
        </w:tc>
        <w:tc>
          <w:tcPr>
            <w:tcW w:w="2142" w:type="dxa"/>
            <w:vAlign w:val="center"/>
          </w:tcPr>
          <w:p>
            <w:pPr>
              <w:rPr>
                <w:rFonts w:hint="default" w:ascii="Times New Roman" w:hAnsi="Times New Roman" w:cs="Times New Roman"/>
                <w:szCs w:val="21"/>
                <w:highlight w:val="none"/>
              </w:rPr>
            </w:pPr>
          </w:p>
          <w:p>
            <w:pPr>
              <w:rPr>
                <w:rFonts w:hint="default" w:ascii="Times New Roman" w:hAnsi="Times New Roman" w:cs="Times New Roman"/>
                <w:szCs w:val="21"/>
                <w:highlight w:val="none"/>
              </w:rPr>
            </w:pPr>
            <w:r>
              <w:rPr>
                <w:rFonts w:hint="default" w:ascii="Times New Roman" w:hAnsi="Times New Roman" w:cs="Times New Roman"/>
                <w:szCs w:val="21"/>
                <w:highlight w:val="none"/>
              </w:rPr>
              <w:t>成露</w:t>
            </w:r>
          </w:p>
          <w:p>
            <w:pPr>
              <w:rPr>
                <w:rFonts w:hint="default" w:ascii="Times New Roman" w:hAnsi="Times New Roman" w:cs="Times New Roman"/>
                <w:szCs w:val="21"/>
                <w:highlight w:val="none"/>
              </w:rPr>
            </w:pPr>
            <w:r>
              <w:rPr>
                <w:rFonts w:hint="default" w:ascii="Times New Roman" w:hAnsi="Times New Roman" w:cs="Times New Roman"/>
                <w:szCs w:val="21"/>
                <w:highlight w:val="none"/>
              </w:rPr>
              <w:t>浦春兰</w:t>
            </w:r>
          </w:p>
          <w:p>
            <w:pPr>
              <w:rPr>
                <w:rFonts w:hint="default" w:ascii="Times New Roman" w:hAnsi="Times New Roman" w:cs="Times New Roman"/>
                <w:szCs w:val="21"/>
                <w:highlight w:val="none"/>
              </w:rPr>
            </w:pP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（1）供应应急救援器材、物资；</w:t>
            </w:r>
          </w:p>
          <w:p>
            <w:pPr>
              <w:rPr>
                <w:rFonts w:hint="default" w:ascii="Times New Roman" w:hAnsi="Times New Roman" w:cs="Times New Roman"/>
                <w:szCs w:val="21"/>
              </w:rPr>
            </w:pPr>
            <w:r>
              <w:rPr>
                <w:rFonts w:hint="default" w:ascii="Times New Roman" w:hAnsi="Times New Roman" w:cs="Times New Roman"/>
                <w:szCs w:val="21"/>
              </w:rPr>
              <w:t>（2）对所缺的应急救援器材、物资，与周边单位联系供给；</w:t>
            </w:r>
          </w:p>
          <w:p>
            <w:pPr>
              <w:rPr>
                <w:rFonts w:hint="default" w:ascii="Times New Roman" w:hAnsi="Times New Roman" w:cs="Times New Roman"/>
                <w:szCs w:val="21"/>
              </w:rPr>
            </w:pPr>
            <w:r>
              <w:rPr>
                <w:rFonts w:hint="default" w:ascii="Times New Roman" w:hAnsi="Times New Roman" w:cs="Times New Roman"/>
                <w:szCs w:val="21"/>
              </w:rPr>
              <w:t>（3）进行车辆调度。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7</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医疗卫生组</w:t>
            </w:r>
          </w:p>
        </w:tc>
        <w:tc>
          <w:tcPr>
            <w:tcW w:w="2486" w:type="dxa"/>
            <w:vAlign w:val="center"/>
          </w:tcPr>
          <w:p>
            <w:pPr>
              <w:spacing w:line="276" w:lineRule="auto"/>
              <w:rPr>
                <w:rFonts w:hint="default" w:ascii="Times New Roman" w:hAnsi="Times New Roman" w:cs="Times New Roman"/>
                <w:szCs w:val="21"/>
              </w:rPr>
            </w:pPr>
            <w:r>
              <w:rPr>
                <w:rFonts w:hint="default" w:ascii="Times New Roman" w:hAnsi="Times New Roman" w:cs="Times New Roman"/>
                <w:szCs w:val="21"/>
              </w:rPr>
              <w:t>社会治理和社会事业局</w:t>
            </w:r>
          </w:p>
        </w:tc>
        <w:tc>
          <w:tcPr>
            <w:tcW w:w="2142" w:type="dxa"/>
            <w:vAlign w:val="center"/>
          </w:tcPr>
          <w:p>
            <w:pPr>
              <w:rPr>
                <w:rFonts w:hint="default" w:ascii="Times New Roman" w:hAnsi="Times New Roman" w:cs="Times New Roman"/>
                <w:szCs w:val="21"/>
                <w:highlight w:val="none"/>
              </w:rPr>
            </w:pPr>
            <w:r>
              <w:rPr>
                <w:rFonts w:hint="default" w:ascii="Times New Roman" w:hAnsi="Times New Roman" w:cs="Times New Roman"/>
                <w:szCs w:val="21"/>
                <w:highlight w:val="none"/>
              </w:rPr>
              <w:t>陆丽峰</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（1）及时抢救现场撤出的受伤人员，并移至安全处进行现场急救（如止血、固定包扎、心肺复苏等）；</w:t>
            </w:r>
          </w:p>
          <w:p>
            <w:pPr>
              <w:rPr>
                <w:rFonts w:hint="default" w:ascii="Times New Roman" w:hAnsi="Times New Roman" w:cs="Times New Roman"/>
                <w:szCs w:val="21"/>
              </w:rPr>
            </w:pPr>
            <w:r>
              <w:rPr>
                <w:rFonts w:hint="default" w:ascii="Times New Roman" w:hAnsi="Times New Roman" w:cs="Times New Roman"/>
                <w:szCs w:val="21"/>
              </w:rPr>
              <w:t>（2）对中毒、伤重的病人用救护车送往医院（并通知医院准备相应器材、药品等）。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8</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通讯组</w:t>
            </w:r>
          </w:p>
        </w:tc>
        <w:tc>
          <w:tcPr>
            <w:tcW w:w="2486" w:type="dxa"/>
            <w:vAlign w:val="center"/>
          </w:tcPr>
          <w:p>
            <w:pPr>
              <w:spacing w:line="276" w:lineRule="auto"/>
              <w:rPr>
                <w:rFonts w:hint="default" w:ascii="Times New Roman" w:hAnsi="Times New Roman" w:cs="Times New Roman"/>
                <w:szCs w:val="21"/>
              </w:rPr>
            </w:pPr>
            <w:r>
              <w:rPr>
                <w:rFonts w:hint="default" w:ascii="Times New Roman" w:hAnsi="Times New Roman" w:cs="Times New Roman"/>
                <w:szCs w:val="21"/>
              </w:rPr>
              <w:t>集成指挥中心</w:t>
            </w:r>
          </w:p>
          <w:p>
            <w:pPr>
              <w:spacing w:line="276" w:lineRule="auto"/>
              <w:rPr>
                <w:rFonts w:hint="default" w:ascii="Times New Roman" w:hAnsi="Times New Roman" w:cs="Times New Roman"/>
                <w:szCs w:val="21"/>
              </w:rPr>
            </w:pPr>
            <w:r>
              <w:rPr>
                <w:rFonts w:hint="default" w:ascii="Times New Roman" w:hAnsi="Times New Roman" w:cs="Times New Roman"/>
                <w:szCs w:val="21"/>
              </w:rPr>
              <w:t>行政审批局</w:t>
            </w:r>
          </w:p>
        </w:tc>
        <w:tc>
          <w:tcPr>
            <w:tcW w:w="2142" w:type="dxa"/>
            <w:vAlign w:val="center"/>
          </w:tcPr>
          <w:p>
            <w:pPr>
              <w:spacing w:line="276" w:lineRule="auto"/>
              <w:rPr>
                <w:rFonts w:hint="default" w:ascii="Times New Roman" w:hAnsi="Times New Roman" w:cs="Times New Roman"/>
                <w:szCs w:val="21"/>
                <w:highlight w:val="none"/>
                <w:lang w:eastAsia="zh-CN"/>
              </w:rPr>
            </w:pPr>
            <w:r>
              <w:rPr>
                <w:rFonts w:hint="default" w:ascii="Times New Roman" w:hAnsi="Times New Roman" w:cs="Times New Roman"/>
                <w:szCs w:val="21"/>
                <w:highlight w:val="none"/>
                <w:lang w:eastAsia="zh-CN"/>
              </w:rPr>
              <w:t>龚志刚</w:t>
            </w:r>
          </w:p>
          <w:p>
            <w:pPr>
              <w:spacing w:line="276" w:lineRule="auto"/>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景</w:t>
            </w:r>
            <w:r>
              <w:rPr>
                <w:rFonts w:hint="eastAsia" w:ascii="Times New Roman" w:hAnsi="Times New Roman" w:cs="Times New Roman"/>
                <w:szCs w:val="21"/>
                <w:highlight w:val="none"/>
                <w:lang w:val="en-US" w:eastAsia="zh-CN"/>
              </w:rPr>
              <w:t xml:space="preserve">  </w:t>
            </w:r>
            <w:r>
              <w:rPr>
                <w:rFonts w:hint="default" w:ascii="Times New Roman" w:hAnsi="Times New Roman" w:cs="Times New Roman"/>
                <w:szCs w:val="21"/>
                <w:highlight w:val="none"/>
              </w:rPr>
              <w:t xml:space="preserve">俊  </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（1）负责事故信息、咨询意见准确、迅速传递；</w:t>
            </w:r>
          </w:p>
          <w:p>
            <w:pPr>
              <w:rPr>
                <w:rFonts w:hint="default" w:ascii="Times New Roman" w:hAnsi="Times New Roman" w:cs="Times New Roman"/>
                <w:szCs w:val="21"/>
              </w:rPr>
            </w:pPr>
            <w:r>
              <w:rPr>
                <w:rFonts w:hint="default" w:ascii="Times New Roman" w:hAnsi="Times New Roman" w:cs="Times New Roman"/>
                <w:szCs w:val="21"/>
              </w:rPr>
              <w:t>（2）负责与现场各组、队的联络并向指挥部及时报告，传达指令；</w:t>
            </w:r>
          </w:p>
          <w:p>
            <w:pPr>
              <w:rPr>
                <w:rFonts w:hint="default" w:ascii="Times New Roman" w:hAnsi="Times New Roman" w:cs="Times New Roman"/>
                <w:szCs w:val="21"/>
              </w:rPr>
            </w:pPr>
            <w:r>
              <w:rPr>
                <w:rFonts w:hint="default" w:ascii="Times New Roman" w:hAnsi="Times New Roman" w:cs="Times New Roman"/>
                <w:szCs w:val="21"/>
              </w:rPr>
              <w:t>（3）负责与社会救援组织、机构联系。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9</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应急救援</w:t>
            </w:r>
          </w:p>
          <w:p>
            <w:pPr>
              <w:jc w:val="center"/>
              <w:rPr>
                <w:rFonts w:hint="default" w:ascii="Times New Roman" w:hAnsi="Times New Roman" w:cs="Times New Roman"/>
                <w:szCs w:val="21"/>
              </w:rPr>
            </w:pPr>
            <w:r>
              <w:rPr>
                <w:rFonts w:hint="default" w:ascii="Times New Roman" w:hAnsi="Times New Roman" w:cs="Times New Roman"/>
                <w:szCs w:val="21"/>
              </w:rPr>
              <w:t>专家组</w:t>
            </w:r>
          </w:p>
        </w:tc>
        <w:tc>
          <w:tcPr>
            <w:tcW w:w="2486" w:type="dxa"/>
            <w:vAlign w:val="center"/>
          </w:tcPr>
          <w:p>
            <w:pPr>
              <w:spacing w:line="276" w:lineRule="auto"/>
              <w:rPr>
                <w:rFonts w:hint="default" w:ascii="Times New Roman" w:hAnsi="Times New Roman" w:cs="Times New Roman"/>
                <w:szCs w:val="21"/>
              </w:rPr>
            </w:pPr>
            <w:r>
              <w:rPr>
                <w:rFonts w:hint="default" w:ascii="Times New Roman" w:hAnsi="Times New Roman" w:cs="Times New Roman"/>
                <w:szCs w:val="21"/>
              </w:rPr>
              <w:t>安委办</w:t>
            </w:r>
          </w:p>
        </w:tc>
        <w:tc>
          <w:tcPr>
            <w:tcW w:w="2142" w:type="dxa"/>
            <w:vAlign w:val="center"/>
          </w:tcPr>
          <w:p>
            <w:pPr>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王 </w:t>
            </w:r>
            <w:r>
              <w:rPr>
                <w:rFonts w:hint="eastAsia" w:cs="Times New Roman"/>
                <w:szCs w:val="21"/>
                <w:highlight w:val="none"/>
                <w:lang w:val="en-US" w:eastAsia="zh-CN"/>
              </w:rPr>
              <w:t xml:space="preserve"> </w:t>
            </w:r>
            <w:r>
              <w:rPr>
                <w:rFonts w:hint="default" w:ascii="Times New Roman" w:hAnsi="Times New Roman" w:cs="Times New Roman"/>
                <w:szCs w:val="21"/>
                <w:highlight w:val="none"/>
              </w:rPr>
              <w:t>炜</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（1）对事故应急救援提出方案和安全措施；</w:t>
            </w:r>
          </w:p>
          <w:p>
            <w:pPr>
              <w:rPr>
                <w:rFonts w:hint="default" w:ascii="Times New Roman" w:hAnsi="Times New Roman" w:cs="Times New Roman"/>
                <w:szCs w:val="21"/>
              </w:rPr>
            </w:pPr>
            <w:r>
              <w:rPr>
                <w:rFonts w:hint="default" w:ascii="Times New Roman" w:hAnsi="Times New Roman" w:cs="Times New Roman"/>
                <w:szCs w:val="21"/>
              </w:rPr>
              <w:t>（2）为现场指挥救援工作提供技术咨询。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10</w:t>
            </w:r>
          </w:p>
        </w:tc>
        <w:tc>
          <w:tcPr>
            <w:tcW w:w="1538" w:type="dxa"/>
            <w:vAlign w:val="center"/>
          </w:tcPr>
          <w:p>
            <w:pPr>
              <w:jc w:val="center"/>
              <w:rPr>
                <w:rFonts w:hint="default" w:ascii="Times New Roman" w:hAnsi="Times New Roman" w:cs="Times New Roman"/>
                <w:szCs w:val="21"/>
              </w:rPr>
            </w:pPr>
            <w:r>
              <w:rPr>
                <w:rFonts w:hint="default" w:ascii="Times New Roman" w:hAnsi="Times New Roman" w:cs="Times New Roman"/>
                <w:szCs w:val="21"/>
              </w:rPr>
              <w:t>综合管理组</w:t>
            </w:r>
          </w:p>
        </w:tc>
        <w:tc>
          <w:tcPr>
            <w:tcW w:w="2486" w:type="dxa"/>
            <w:vAlign w:val="center"/>
          </w:tcPr>
          <w:p>
            <w:pPr>
              <w:spacing w:line="276" w:lineRule="auto"/>
              <w:rPr>
                <w:rFonts w:hint="eastAsia" w:ascii="Times New Roman" w:hAnsi="Times New Roman" w:eastAsia="宋体" w:cs="Times New Roman"/>
                <w:szCs w:val="21"/>
                <w:lang w:val="en-US" w:eastAsia="zh-CN"/>
              </w:rPr>
            </w:pPr>
            <w:r>
              <w:rPr>
                <w:rFonts w:hint="default" w:ascii="Times New Roman" w:hAnsi="Times New Roman" w:cs="Times New Roman"/>
                <w:szCs w:val="21"/>
              </w:rPr>
              <w:t>党政办</w:t>
            </w:r>
            <w:r>
              <w:rPr>
                <w:rFonts w:hint="eastAsia" w:cs="Times New Roman"/>
                <w:szCs w:val="21"/>
                <w:lang w:val="en-US" w:eastAsia="zh-CN"/>
              </w:rPr>
              <w:t>公室</w:t>
            </w:r>
          </w:p>
          <w:p>
            <w:pPr>
              <w:spacing w:line="276" w:lineRule="auto"/>
              <w:rPr>
                <w:rFonts w:hint="default" w:ascii="Times New Roman" w:hAnsi="Times New Roman" w:cs="Times New Roman"/>
                <w:szCs w:val="21"/>
              </w:rPr>
            </w:pPr>
            <w:r>
              <w:rPr>
                <w:rFonts w:hint="default" w:ascii="Times New Roman" w:hAnsi="Times New Roman" w:cs="Times New Roman"/>
                <w:szCs w:val="21"/>
              </w:rPr>
              <w:t>安委办</w:t>
            </w:r>
          </w:p>
        </w:tc>
        <w:tc>
          <w:tcPr>
            <w:tcW w:w="2142" w:type="dxa"/>
            <w:vAlign w:val="center"/>
          </w:tcPr>
          <w:p>
            <w:pPr>
              <w:rPr>
                <w:rFonts w:hint="default" w:ascii="Times New Roman" w:hAnsi="Times New Roman" w:cs="Times New Roman"/>
                <w:szCs w:val="21"/>
                <w:highlight w:val="none"/>
              </w:rPr>
            </w:pPr>
            <w:r>
              <w:rPr>
                <w:rFonts w:hint="default" w:ascii="Times New Roman" w:hAnsi="Times New Roman" w:cs="Times New Roman"/>
                <w:szCs w:val="21"/>
                <w:highlight w:val="none"/>
              </w:rPr>
              <w:t>成</w:t>
            </w:r>
            <w:r>
              <w:rPr>
                <w:rFonts w:hint="eastAsia" w:cs="Times New Roman"/>
                <w:szCs w:val="21"/>
                <w:highlight w:val="none"/>
                <w:lang w:val="en-US" w:eastAsia="zh-CN"/>
              </w:rPr>
              <w:t xml:space="preserve">  </w:t>
            </w:r>
            <w:r>
              <w:rPr>
                <w:rFonts w:hint="default" w:ascii="Times New Roman" w:hAnsi="Times New Roman" w:cs="Times New Roman"/>
                <w:szCs w:val="21"/>
                <w:highlight w:val="none"/>
              </w:rPr>
              <w:t>露</w:t>
            </w:r>
          </w:p>
          <w:p>
            <w:pPr>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王</w:t>
            </w:r>
            <w:r>
              <w:rPr>
                <w:rFonts w:hint="eastAsia" w:cs="Times New Roman"/>
                <w:szCs w:val="21"/>
                <w:highlight w:val="none"/>
                <w:lang w:val="en-US" w:eastAsia="zh-CN"/>
              </w:rPr>
              <w:t xml:space="preserve">  </w:t>
            </w:r>
            <w:r>
              <w:rPr>
                <w:rFonts w:hint="default" w:ascii="Times New Roman" w:hAnsi="Times New Roman" w:cs="Times New Roman"/>
                <w:szCs w:val="21"/>
                <w:highlight w:val="none"/>
                <w:lang w:val="en-US" w:eastAsia="zh-CN"/>
              </w:rPr>
              <w:t>业</w:t>
            </w:r>
          </w:p>
          <w:p>
            <w:pPr>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rPr>
              <w:t>王</w:t>
            </w:r>
            <w:r>
              <w:rPr>
                <w:rFonts w:hint="eastAsia" w:cs="Times New Roman"/>
                <w:szCs w:val="21"/>
                <w:highlight w:val="none"/>
                <w:lang w:val="en-US" w:eastAsia="zh-CN"/>
              </w:rPr>
              <w:t xml:space="preserve">  </w:t>
            </w:r>
            <w:r>
              <w:rPr>
                <w:rFonts w:hint="default" w:ascii="Times New Roman" w:hAnsi="Times New Roman" w:cs="Times New Roman"/>
                <w:szCs w:val="21"/>
                <w:highlight w:val="none"/>
              </w:rPr>
              <w:t>炜</w:t>
            </w:r>
          </w:p>
        </w:tc>
        <w:tc>
          <w:tcPr>
            <w:tcW w:w="6756" w:type="dxa"/>
            <w:vAlign w:val="center"/>
          </w:tcPr>
          <w:p>
            <w:pPr>
              <w:rPr>
                <w:rFonts w:hint="default" w:ascii="Times New Roman" w:hAnsi="Times New Roman" w:cs="Times New Roman"/>
                <w:szCs w:val="21"/>
              </w:rPr>
            </w:pPr>
            <w:r>
              <w:rPr>
                <w:rFonts w:hint="default" w:ascii="Times New Roman" w:hAnsi="Times New Roman" w:cs="Times New Roman"/>
                <w:szCs w:val="21"/>
              </w:rPr>
              <w:t>（1）负责外援联系；</w:t>
            </w:r>
          </w:p>
          <w:p>
            <w:pPr>
              <w:rPr>
                <w:rFonts w:hint="default" w:ascii="Times New Roman" w:hAnsi="Times New Roman" w:cs="Times New Roman"/>
                <w:szCs w:val="21"/>
              </w:rPr>
            </w:pPr>
            <w:r>
              <w:rPr>
                <w:rFonts w:hint="default" w:ascii="Times New Roman" w:hAnsi="Times New Roman" w:cs="Times New Roman"/>
                <w:szCs w:val="21"/>
              </w:rPr>
              <w:t>（2）负责接待境内外记者，统筹协调各媒体关于事故的报导，引导社会舆论；</w:t>
            </w:r>
          </w:p>
          <w:p>
            <w:pPr>
              <w:rPr>
                <w:rFonts w:hint="default" w:ascii="Times New Roman" w:hAnsi="Times New Roman" w:cs="Times New Roman"/>
                <w:szCs w:val="21"/>
              </w:rPr>
            </w:pPr>
            <w:r>
              <w:rPr>
                <w:rFonts w:hint="default" w:ascii="Times New Roman" w:hAnsi="Times New Roman" w:cs="Times New Roman"/>
                <w:szCs w:val="21"/>
              </w:rPr>
              <w:t>（3）进行善后处理及其它未尽事项。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86" w:type="dxa"/>
            <w:tcBorders>
              <w:bottom w:val="single" w:color="auto" w:sz="12"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11</w:t>
            </w:r>
          </w:p>
        </w:tc>
        <w:tc>
          <w:tcPr>
            <w:tcW w:w="1538" w:type="dxa"/>
            <w:tcBorders>
              <w:bottom w:val="single" w:color="auto" w:sz="12" w:space="0"/>
            </w:tcBorders>
            <w:vAlign w:val="center"/>
          </w:tcPr>
          <w:p>
            <w:pPr>
              <w:jc w:val="center"/>
              <w:rPr>
                <w:rFonts w:hint="default" w:ascii="Times New Roman" w:hAnsi="Times New Roman" w:cs="Times New Roman"/>
                <w:szCs w:val="21"/>
              </w:rPr>
            </w:pPr>
            <w:r>
              <w:rPr>
                <w:rFonts w:hint="default" w:ascii="Times New Roman" w:hAnsi="Times New Roman" w:cs="Times New Roman"/>
                <w:szCs w:val="21"/>
              </w:rPr>
              <w:t>环保组</w:t>
            </w:r>
          </w:p>
        </w:tc>
        <w:tc>
          <w:tcPr>
            <w:tcW w:w="2486" w:type="dxa"/>
            <w:tcBorders>
              <w:bottom w:val="single" w:color="auto" w:sz="12" w:space="0"/>
            </w:tcBorders>
            <w:vAlign w:val="center"/>
          </w:tcPr>
          <w:p>
            <w:pPr>
              <w:spacing w:line="276" w:lineRule="auto"/>
              <w:rPr>
                <w:rFonts w:hint="default" w:ascii="Times New Roman" w:hAnsi="Times New Roman" w:cs="Times New Roman"/>
                <w:szCs w:val="21"/>
              </w:rPr>
            </w:pPr>
            <w:r>
              <w:rPr>
                <w:rFonts w:hint="default" w:ascii="Times New Roman" w:hAnsi="Times New Roman" w:cs="Times New Roman"/>
                <w:szCs w:val="21"/>
              </w:rPr>
              <w:t>综合</w:t>
            </w:r>
            <w:r>
              <w:rPr>
                <w:rFonts w:hint="eastAsia" w:cs="Times New Roman"/>
                <w:szCs w:val="21"/>
                <w:lang w:val="en-US" w:eastAsia="zh-CN"/>
              </w:rPr>
              <w:t>行政</w:t>
            </w:r>
            <w:r>
              <w:rPr>
                <w:rFonts w:hint="default" w:ascii="Times New Roman" w:hAnsi="Times New Roman" w:cs="Times New Roman"/>
                <w:szCs w:val="21"/>
              </w:rPr>
              <w:t>执法局（环保）</w:t>
            </w:r>
          </w:p>
        </w:tc>
        <w:tc>
          <w:tcPr>
            <w:tcW w:w="2142" w:type="dxa"/>
            <w:tcBorders>
              <w:bottom w:val="single" w:color="auto" w:sz="12" w:space="0"/>
            </w:tcBorders>
            <w:vAlign w:val="center"/>
          </w:tcPr>
          <w:p>
            <w:pPr>
              <w:rPr>
                <w:rFonts w:hint="default" w:ascii="Times New Roman" w:hAnsi="Times New Roman" w:cs="Times New Roman"/>
                <w:color w:val="FFFFFF" w:themeColor="background1"/>
                <w:szCs w:val="21"/>
                <w:highlight w:val="none"/>
                <w14:textFill>
                  <w14:solidFill>
                    <w14:schemeClr w14:val="bg1"/>
                  </w14:solidFill>
                </w14:textFill>
              </w:rPr>
            </w:pPr>
            <w:r>
              <w:rPr>
                <w:rFonts w:hint="default" w:ascii="Times New Roman" w:hAnsi="Times New Roman" w:cs="Times New Roman"/>
                <w:szCs w:val="21"/>
                <w:highlight w:val="none"/>
              </w:rPr>
              <w:t>陆</w:t>
            </w:r>
            <w:r>
              <w:rPr>
                <w:rFonts w:hint="eastAsia" w:cs="Times New Roman"/>
                <w:szCs w:val="21"/>
                <w:highlight w:val="none"/>
                <w:lang w:val="en-US" w:eastAsia="zh-CN"/>
              </w:rPr>
              <w:t xml:space="preserve">  </w:t>
            </w:r>
            <w:r>
              <w:rPr>
                <w:rFonts w:hint="default" w:ascii="Times New Roman" w:hAnsi="Times New Roman" w:cs="Times New Roman"/>
                <w:szCs w:val="21"/>
                <w:highlight w:val="none"/>
              </w:rPr>
              <w:t>俊</w:t>
            </w:r>
          </w:p>
        </w:tc>
        <w:tc>
          <w:tcPr>
            <w:tcW w:w="6756" w:type="dxa"/>
            <w:tcBorders>
              <w:bottom w:val="single" w:color="auto" w:sz="12" w:space="0"/>
            </w:tcBorders>
            <w:vAlign w:val="center"/>
          </w:tcPr>
          <w:p>
            <w:pPr>
              <w:rPr>
                <w:rFonts w:hint="default" w:ascii="Times New Roman" w:hAnsi="Times New Roman" w:cs="Times New Roman"/>
                <w:szCs w:val="21"/>
              </w:rPr>
            </w:pPr>
            <w:r>
              <w:rPr>
                <w:rFonts w:hint="default" w:ascii="Times New Roman" w:hAnsi="Times New Roman" w:cs="Times New Roman"/>
                <w:szCs w:val="21"/>
              </w:rPr>
              <w:t>（1）对现场、外围侦检化学品的性质、浓度；</w:t>
            </w:r>
          </w:p>
          <w:p>
            <w:pPr>
              <w:rPr>
                <w:rFonts w:hint="default" w:ascii="Times New Roman" w:hAnsi="Times New Roman" w:cs="Times New Roman"/>
                <w:szCs w:val="21"/>
              </w:rPr>
            </w:pPr>
            <w:r>
              <w:rPr>
                <w:rFonts w:hint="default" w:ascii="Times New Roman" w:hAnsi="Times New Roman" w:cs="Times New Roman"/>
                <w:szCs w:val="21"/>
              </w:rPr>
              <w:t>（2）对事故环境污染的场所咨询、提供指导、进行消洗；</w:t>
            </w:r>
          </w:p>
          <w:p>
            <w:pPr>
              <w:rPr>
                <w:rFonts w:hint="default" w:ascii="Times New Roman" w:hAnsi="Times New Roman" w:cs="Times New Roman"/>
                <w:szCs w:val="21"/>
              </w:rPr>
            </w:pPr>
            <w:r>
              <w:rPr>
                <w:rFonts w:hint="default" w:ascii="Times New Roman" w:hAnsi="Times New Roman" w:cs="Times New Roman"/>
                <w:szCs w:val="21"/>
              </w:rPr>
              <w:t>（3）对事故造成的环境影响进行调查处理。</w:t>
            </w:r>
          </w:p>
        </w:tc>
      </w:tr>
    </w:tbl>
    <w:p>
      <w:pPr>
        <w:rPr>
          <w:rFonts w:hint="default" w:ascii="Times New Roman" w:hAnsi="Times New Roman" w:cs="Times New Roman"/>
        </w:rPr>
      </w:pPr>
    </w:p>
    <w:p>
      <w:pPr>
        <w:jc w:val="center"/>
        <w:rPr>
          <w:rFonts w:hint="default" w:ascii="Times New Roman" w:hAnsi="Times New Roman" w:cs="Times New Roman"/>
          <w:szCs w:val="21"/>
        </w:rPr>
        <w:sectPr>
          <w:pgSz w:w="16838" w:h="11906" w:orient="landscape"/>
          <w:pgMar w:top="1797" w:right="1440" w:bottom="1797" w:left="1440" w:header="709" w:footer="709" w:gutter="0"/>
          <w:cols w:space="720" w:num="1"/>
          <w:docGrid w:type="linesAndChars" w:linePitch="360" w:charSpace="0"/>
        </w:sectPr>
      </w:pPr>
    </w:p>
    <w:p>
      <w:pPr>
        <w:spacing w:line="360" w:lineRule="auto"/>
        <w:ind w:firstLine="560" w:firstLineChars="200"/>
        <w:outlineLvl w:val="1"/>
        <w:rPr>
          <w:rFonts w:hint="default" w:ascii="Times New Roman" w:hAnsi="Times New Roman" w:cs="Times New Roman"/>
          <w:sz w:val="28"/>
          <w:szCs w:val="28"/>
        </w:rPr>
      </w:pPr>
      <w:bookmarkStart w:id="90" w:name="_Toc9338"/>
      <w:r>
        <w:rPr>
          <w:rFonts w:hint="default" w:ascii="Times New Roman" w:hAnsi="Times New Roman" w:cs="Times New Roman"/>
          <w:sz w:val="28"/>
          <w:szCs w:val="28"/>
        </w:rPr>
        <w:t>9.</w:t>
      </w:r>
      <w:r>
        <w:rPr>
          <w:rFonts w:hint="default" w:ascii="Times New Roman" w:hAnsi="Times New Roman" w:cs="Times New Roman"/>
          <w:sz w:val="28"/>
          <w:szCs w:val="28"/>
          <w:lang w:val="en-US" w:eastAsia="zh-CN"/>
        </w:rPr>
        <w:t>6</w:t>
      </w:r>
      <w:r>
        <w:rPr>
          <w:rFonts w:hint="default" w:ascii="Times New Roman" w:hAnsi="Times New Roman" w:cs="Times New Roman"/>
          <w:sz w:val="28"/>
          <w:szCs w:val="28"/>
        </w:rPr>
        <w:t>社会救援中心及报警电话名单</w:t>
      </w:r>
      <w:bookmarkEnd w:id="90"/>
    </w:p>
    <w:tbl>
      <w:tblPr>
        <w:tblStyle w:val="10"/>
        <w:tblW w:w="8116"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5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119</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消防报警服务台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110</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120</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医疗急救站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122</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交通事故报警服务台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2700" w:type="dxa"/>
            <w:tcBorders>
              <w:top w:val="single" w:color="auto" w:sz="4" w:space="0"/>
              <w:left w:val="single" w:color="auto" w:sz="4" w:space="0"/>
              <w:bottom w:val="single" w:color="auto" w:sz="4" w:space="0"/>
              <w:right w:val="single" w:color="auto" w:sz="4" w:space="0"/>
            </w:tcBorders>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12395</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水上搜救报警电话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700" w:type="dxa"/>
            <w:tcBorders>
              <w:top w:val="single" w:color="auto" w:sz="4" w:space="0"/>
              <w:left w:val="single" w:color="auto" w:sz="4" w:space="0"/>
              <w:bottom w:val="single" w:color="auto" w:sz="4" w:space="0"/>
              <w:right w:val="single" w:color="auto" w:sz="4" w:space="0"/>
            </w:tcBorders>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123697</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环境保护报警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53557972</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太仓市城厢镇安委会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53534728</w:t>
            </w:r>
          </w:p>
        </w:tc>
        <w:tc>
          <w:tcPr>
            <w:tcW w:w="5416"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太仓市城厢镇</w:t>
            </w:r>
            <w:r>
              <w:rPr>
                <w:rFonts w:hint="default" w:ascii="Times New Roman" w:hAnsi="Times New Roman" w:eastAsia="宋体" w:cs="Times New Roman"/>
                <w:sz w:val="21"/>
                <w:szCs w:val="21"/>
                <w:lang w:eastAsia="zh-CN"/>
              </w:rPr>
              <w:t>集成指挥中心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53557972</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Times New Roman" w:hAnsi="Times New Roman" w:cs="Times New Roman"/>
                <w:szCs w:val="21"/>
              </w:rPr>
            </w:pPr>
            <w:r>
              <w:rPr>
                <w:rFonts w:hint="default" w:ascii="Times New Roman" w:hAnsi="Times New Roman" w:cs="Times New Roman"/>
                <w:szCs w:val="21"/>
              </w:rPr>
              <w:t>太仓市城厢镇安监办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jc w:val="center"/>
              <w:rPr>
                <w:rFonts w:hint="default" w:ascii="Times New Roman" w:hAnsi="Times New Roman" w:eastAsia="宋体" w:cs="Times New Roman"/>
                <w:sz w:val="21"/>
                <w:szCs w:val="21"/>
                <w:highlight w:val="magenta"/>
              </w:rPr>
            </w:pPr>
            <w:r>
              <w:rPr>
                <w:rFonts w:hint="default" w:ascii="Times New Roman" w:hAnsi="Times New Roman" w:eastAsia="宋体" w:cs="Times New Roman"/>
                <w:sz w:val="21"/>
                <w:szCs w:val="21"/>
              </w:rPr>
              <w:t>53658030</w:t>
            </w:r>
          </w:p>
        </w:tc>
        <w:tc>
          <w:tcPr>
            <w:tcW w:w="5416" w:type="dxa"/>
            <w:tcBorders>
              <w:top w:val="single" w:color="auto" w:sz="4" w:space="0"/>
              <w:left w:val="single" w:color="auto" w:sz="4" w:space="0"/>
              <w:bottom w:val="single" w:color="auto" w:sz="4" w:space="0"/>
              <w:right w:val="single" w:color="auto" w:sz="4" w:space="0"/>
            </w:tcBorders>
            <w:vAlign w:val="center"/>
          </w:tcPr>
          <w:p>
            <w:pPr>
              <w:tabs>
                <w:tab w:val="left" w:pos="3330"/>
              </w:tabs>
              <w:spacing w:line="360" w:lineRule="auto"/>
              <w:rPr>
                <w:rFonts w:hint="default" w:ascii="Times New Roman" w:hAnsi="Times New Roman" w:cs="Times New Roman"/>
                <w:szCs w:val="21"/>
              </w:rPr>
            </w:pPr>
            <w:r>
              <w:rPr>
                <w:rFonts w:hint="default" w:ascii="Times New Roman" w:hAnsi="Times New Roman" w:cs="Times New Roman"/>
                <w:szCs w:val="21"/>
              </w:rPr>
              <w:t>太仓市第一人民医院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53571682</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Times New Roman" w:hAnsi="Times New Roman" w:cs="Times New Roman"/>
                <w:szCs w:val="21"/>
              </w:rPr>
            </w:pPr>
            <w:r>
              <w:rPr>
                <w:rFonts w:hint="default" w:ascii="Times New Roman" w:hAnsi="Times New Roman" w:cs="Times New Roman"/>
                <w:szCs w:val="21"/>
              </w:rPr>
              <w:t>太仓市安全生产监督管理局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65223637</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Times New Roman" w:hAnsi="Times New Roman" w:cs="Times New Roman"/>
                <w:szCs w:val="21"/>
              </w:rPr>
            </w:pPr>
            <w:r>
              <w:rPr>
                <w:rFonts w:hint="default" w:ascii="Times New Roman" w:hAnsi="Times New Roman" w:cs="Times New Roman"/>
                <w:szCs w:val="21"/>
              </w:rPr>
              <w:t>苏州市第一人民医院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00" w:type="dxa"/>
            <w:tcBorders>
              <w:top w:val="single" w:color="auto" w:sz="4" w:space="0"/>
              <w:left w:val="single" w:color="auto" w:sz="4" w:space="0"/>
              <w:bottom w:val="single" w:color="auto" w:sz="4" w:space="0"/>
              <w:right w:val="single" w:color="auto" w:sz="4" w:space="0"/>
            </w:tcBorders>
            <w:vAlign w:val="center"/>
          </w:tcPr>
          <w:p>
            <w:pPr>
              <w:pStyle w:val="3"/>
              <w:spacing w:line="360" w:lineRule="auto"/>
              <w:ind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69009090</w:t>
            </w:r>
          </w:p>
        </w:tc>
        <w:tc>
          <w:tcPr>
            <w:tcW w:w="5416"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default" w:ascii="Times New Roman" w:hAnsi="Times New Roman" w:cs="Times New Roman"/>
                <w:szCs w:val="21"/>
              </w:rPr>
            </w:pPr>
            <w:r>
              <w:rPr>
                <w:rFonts w:hint="default" w:ascii="Times New Roman" w:hAnsi="Times New Roman" w:cs="Times New Roman"/>
                <w:szCs w:val="21"/>
              </w:rPr>
              <w:t>苏州市立医院</w:t>
            </w:r>
          </w:p>
        </w:tc>
      </w:tr>
    </w:tbl>
    <w:p>
      <w:pPr>
        <w:rPr>
          <w:rFonts w:hint="default" w:ascii="Times New Roman" w:hAnsi="Times New Roman" w:cs="Times New Roman"/>
        </w:rPr>
      </w:pPr>
    </w:p>
    <w:p>
      <w:pPr>
        <w:rPr>
          <w:rFonts w:hint="default" w:ascii="Times New Roman" w:hAnsi="Times New Roman" w:cs="Times New Roman"/>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pStyle w:val="9"/>
        <w:shd w:val="clear" w:color="auto" w:fill="FFFFFF"/>
        <w:spacing w:before="0" w:beforeAutospacing="0" w:after="0" w:afterAutospacing="0" w:line="360" w:lineRule="auto"/>
        <w:rPr>
          <w:rFonts w:hint="default" w:ascii="Times New Roman" w:hAnsi="Times New Roman" w:cs="Times New Roman"/>
          <w:color w:val="000000"/>
          <w:sz w:val="28"/>
          <w:szCs w:val="28"/>
        </w:rPr>
      </w:pPr>
    </w:p>
    <w:p>
      <w:pPr>
        <w:spacing w:line="360" w:lineRule="auto"/>
        <w:ind w:firstLine="560" w:firstLineChars="200"/>
        <w:outlineLvl w:val="1"/>
        <w:rPr>
          <w:rFonts w:hint="default" w:ascii="Times New Roman" w:hAnsi="Times New Roman" w:cs="Times New Roman"/>
          <w:sz w:val="28"/>
          <w:szCs w:val="28"/>
        </w:rPr>
      </w:pPr>
      <w:r>
        <w:rPr>
          <w:rFonts w:hint="default" w:ascii="Times New Roman" w:hAnsi="Times New Roman" w:cs="Times New Roman"/>
          <w:sz w:val="28"/>
          <w:szCs w:val="28"/>
        </w:rPr>
        <w:t>9.</w:t>
      </w:r>
      <w:r>
        <w:rPr>
          <w:rFonts w:hint="default" w:ascii="Times New Roman" w:hAnsi="Times New Roman" w:cs="Times New Roman"/>
          <w:sz w:val="28"/>
          <w:szCs w:val="28"/>
          <w:lang w:val="en-US" w:eastAsia="zh-CN"/>
        </w:rPr>
        <w:t>7</w:t>
      </w:r>
      <w:r>
        <w:rPr>
          <w:rFonts w:hint="default" w:ascii="Times New Roman" w:hAnsi="Times New Roman" w:cs="Times New Roman"/>
          <w:sz w:val="28"/>
          <w:szCs w:val="28"/>
        </w:rPr>
        <w:t>生产安全事故应急预警处置流程</w:t>
      </w:r>
    </w:p>
    <w:p>
      <w:pPr>
        <w:rPr>
          <w:rFonts w:hint="default" w:ascii="Times New Roman" w:hAnsi="Times New Roman" w:cs="Times New Roman"/>
          <w:b/>
          <w:sz w:val="28"/>
          <w:szCs w:val="28"/>
        </w:rPr>
      </w:pPr>
      <w:r>
        <w:rPr>
          <w:rFonts w:hint="default" w:ascii="Times New Roman" w:hAnsi="Times New Roman" w:cs="Times New Roman"/>
          <w:b/>
          <w:sz w:val="28"/>
          <w:szCs w:val="28"/>
        </w:rPr>
        <w:t>一、目的</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贯彻落实“安全第一，预防为主，综合治理”的安全生产工作方针。加强对太仓市城厢镇可能发生的生产安全突发事故，及时有效地作出快速反应，最大限度地降低事故危害程度，预防和控制次生灾害的发生，保障人民生命、财产安全，最大限度地减少事故破坏和社会影响，维护社会的安全和稳定。</w:t>
      </w:r>
    </w:p>
    <w:p>
      <w:pPr>
        <w:rPr>
          <w:rFonts w:hint="default" w:ascii="Times New Roman" w:hAnsi="Times New Roman" w:cs="Times New Roman"/>
          <w:b/>
          <w:sz w:val="28"/>
          <w:szCs w:val="28"/>
        </w:rPr>
      </w:pPr>
      <w:r>
        <w:rPr>
          <w:rFonts w:hint="default" w:ascii="Times New Roman" w:hAnsi="Times New Roman" w:cs="Times New Roman"/>
          <w:b/>
          <w:sz w:val="28"/>
          <w:szCs w:val="28"/>
        </w:rPr>
        <w:t>二、事故预警等级划分</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按事故灾难的可控性、严重程度和影响范围，将本区域的生产安全事故分为特别重大事故（Ⅰ级）、重大事故（Ⅱ级）、较大事故（Ⅲ级）、一般事故（Ⅳ级、Ⅴ级）四种情形。</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Ⅰ级：在生产、经营过程发生的火灾事故、爆炸事故、易燃易爆或有毒物质泄漏事故，已经严重危及周边社区、居民的生命财产安全，造成或可能造成30人以上死亡、或100人以上中毒、或疏散转移10万人以上、或1亿元以上直接经济损失、或特别重大社会影响，事故事态发展严重，且急待外部力量应急救援等。</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Ⅱ级：在生产、经营过程发生的火灾、爆炸事故、易燃易爆或有毒物质泄漏事故，已经危及周边社区、居民的生命财产安全，造成或可能造成10-29人死亡、或50-100人中毒、或5000-10000万元直接经济损失、或重大社会影响等。</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Ⅲ级：在生产、经营过程发生的火灾、爆炸事故、易燃易爆或有毒物质泄漏事故，已经危及周边社区、居民的生命财产安全，造成或可能造成3-9人死亡、或30-50人中毒、或直接经济损失较大、或较大社会影响等。</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（4）Ⅳ级：在生产、经营过程发生的火灾、爆炸事故、易燃易爆或有毒物质泄漏事故，已经危及周边社区、居民的生命财产安全，造成或可能造成2-3人死亡、或10-30人中毒、或一定社会影响等。</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（5）Ⅴ级：在生产、经营过程发生的火灾、爆炸事故、易燃易爆或有毒物质泄漏事故，已经危及周边社区、居民的生命财产安全，造成或可能造成1人以下死亡、或10人以下中毒、或一定社会影响等。</w:t>
      </w:r>
    </w:p>
    <w:p>
      <w:pPr>
        <w:rPr>
          <w:rFonts w:hint="default" w:ascii="Times New Roman" w:hAnsi="Times New Roman" w:cs="Times New Roman"/>
          <w:b/>
        </w:rPr>
      </w:pPr>
      <w:r>
        <w:rPr>
          <w:rFonts w:hint="default" w:ascii="Times New Roman" w:hAnsi="Times New Roman" w:cs="Times New Roman"/>
          <w:b/>
          <w:sz w:val="28"/>
          <w:szCs w:val="28"/>
        </w:rPr>
        <w:t>三、应急响应处置流程</w:t>
      </w:r>
    </w:p>
    <w:p>
      <w:pPr>
        <w:spacing w:line="360" w:lineRule="auto"/>
        <w:jc w:val="center"/>
        <w:rPr>
          <w:rFonts w:hint="default" w:ascii="Times New Roman" w:hAnsi="Times New Roman" w:cs="Times New Roman"/>
          <w:b/>
          <w:bCs/>
          <w:sz w:val="24"/>
        </w:rPr>
      </w:pPr>
      <w:r>
        <w:rPr>
          <w:rFonts w:hint="default" w:ascii="Times New Roman" w:hAnsi="Times New Roman" w:cs="Times New Roman"/>
          <w:b/>
          <w:bCs/>
          <w:sz w:val="24"/>
        </w:rPr>
        <w:t>1、分级响应</w:t>
      </w:r>
    </w:p>
    <w:tbl>
      <w:tblPr>
        <w:tblStyle w:val="10"/>
        <w:tblW w:w="906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119"/>
        <w:gridCol w:w="794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5" w:hRule="atLeast"/>
          <w:jc w:val="center"/>
        </w:trPr>
        <w:tc>
          <w:tcPr>
            <w:tcW w:w="1119" w:type="dxa"/>
            <w:vAlign w:val="center"/>
          </w:tcPr>
          <w:p>
            <w:pPr>
              <w:snapToGrid w:val="0"/>
              <w:spacing w:line="360" w:lineRule="auto"/>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响应分级</w:t>
            </w:r>
          </w:p>
        </w:tc>
        <w:tc>
          <w:tcPr>
            <w:tcW w:w="7941" w:type="dxa"/>
            <w:vAlign w:val="center"/>
          </w:tcPr>
          <w:p>
            <w:pPr>
              <w:snapToGrid w:val="0"/>
              <w:spacing w:line="360" w:lineRule="auto"/>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响应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119" w:type="dxa"/>
            <w:vAlign w:val="center"/>
          </w:tcPr>
          <w:p>
            <w:pPr>
              <w:snapToGrid w:val="0"/>
              <w:spacing w:line="360" w:lineRule="auto"/>
              <w:jc w:val="center"/>
              <w:rPr>
                <w:rFonts w:hint="default" w:ascii="Times New Roman" w:hAnsi="Times New Roman" w:cs="Times New Roman"/>
                <w:color w:val="000000"/>
                <w:szCs w:val="21"/>
              </w:rPr>
            </w:pPr>
            <w:r>
              <w:rPr>
                <w:rFonts w:hint="default" w:ascii="Times New Roman" w:hAnsi="Times New Roman" w:cs="Times New Roman"/>
                <w:color w:val="000000"/>
                <w:szCs w:val="21"/>
              </w:rPr>
              <w:t>Ⅰ</w:t>
            </w:r>
          </w:p>
        </w:tc>
        <w:tc>
          <w:tcPr>
            <w:tcW w:w="7941" w:type="dxa"/>
            <w:vAlign w:val="center"/>
          </w:tcPr>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①应急响应行动由国家安全生产监督管理总局组织实施；</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②江苏省、苏州市、太仓市安全生产监督管理局按相应应急预案全力组织救援。</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119" w:type="dxa"/>
            <w:vAlign w:val="center"/>
          </w:tcPr>
          <w:p>
            <w:pPr>
              <w:snapToGrid w:val="0"/>
              <w:spacing w:line="360" w:lineRule="auto"/>
              <w:jc w:val="center"/>
              <w:rPr>
                <w:rFonts w:hint="default" w:ascii="Times New Roman" w:hAnsi="Times New Roman" w:cs="Times New Roman"/>
                <w:color w:val="000000"/>
                <w:szCs w:val="21"/>
              </w:rPr>
            </w:pPr>
            <w:r>
              <w:rPr>
                <w:rFonts w:hint="default" w:ascii="Times New Roman" w:hAnsi="Times New Roman" w:cs="Times New Roman"/>
                <w:color w:val="000000"/>
                <w:szCs w:val="21"/>
              </w:rPr>
              <w:t>Ⅱ</w:t>
            </w:r>
          </w:p>
        </w:tc>
        <w:tc>
          <w:tcPr>
            <w:tcW w:w="7941" w:type="dxa"/>
            <w:vAlign w:val="center"/>
          </w:tcPr>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①应急响应行动由江苏省安全生产监督管理局组织实施；</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②苏州市、太仓市安全生产监督管理局按相应应急预案全力组织救援。</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119" w:type="dxa"/>
            <w:vAlign w:val="center"/>
          </w:tcPr>
          <w:p>
            <w:pPr>
              <w:snapToGrid w:val="0"/>
              <w:spacing w:line="360" w:lineRule="auto"/>
              <w:jc w:val="center"/>
              <w:rPr>
                <w:rFonts w:hint="default" w:ascii="Times New Roman" w:hAnsi="Times New Roman" w:cs="Times New Roman"/>
                <w:color w:val="000000"/>
                <w:szCs w:val="21"/>
              </w:rPr>
            </w:pPr>
            <w:r>
              <w:rPr>
                <w:rFonts w:hint="default" w:ascii="Times New Roman" w:hAnsi="Times New Roman" w:cs="Times New Roman"/>
                <w:color w:val="000000"/>
                <w:szCs w:val="21"/>
              </w:rPr>
              <w:t>Ⅲ</w:t>
            </w:r>
          </w:p>
        </w:tc>
        <w:tc>
          <w:tcPr>
            <w:tcW w:w="7941" w:type="dxa"/>
            <w:vAlign w:val="center"/>
          </w:tcPr>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①应急响应行动由苏州市安全生产监督管理局组织实施；</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②太仓市安全生产监督管理局按相应应急预案全力组织救援。</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③事故发生后，城厢镇安委会立即启动预案开展前期救援，其他高级别应急救援预案启动后，立即向其移交指挥权，并听从统一指挥，协助做好应急工作。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1119" w:type="dxa"/>
            <w:vAlign w:val="center"/>
          </w:tcPr>
          <w:p>
            <w:pPr>
              <w:snapToGrid w:val="0"/>
              <w:spacing w:line="360" w:lineRule="auto"/>
              <w:jc w:val="center"/>
              <w:rPr>
                <w:rFonts w:hint="default" w:ascii="Times New Roman" w:hAnsi="Times New Roman" w:cs="Times New Roman"/>
                <w:color w:val="000000"/>
                <w:szCs w:val="21"/>
              </w:rPr>
            </w:pPr>
            <w:r>
              <w:rPr>
                <w:rFonts w:hint="default" w:ascii="Times New Roman" w:hAnsi="Times New Roman" w:cs="Times New Roman"/>
                <w:color w:val="000000"/>
                <w:szCs w:val="21"/>
              </w:rPr>
              <w:t>Ⅳ</w:t>
            </w:r>
          </w:p>
        </w:tc>
        <w:tc>
          <w:tcPr>
            <w:tcW w:w="7941" w:type="dxa"/>
            <w:vAlign w:val="center"/>
          </w:tcPr>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①应急响应行动由太仓市安全生产监督管理局组织实施；</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②事故发生后，城厢镇安委会立即启动预案开展前期救援，太仓市应急救援预案启动后，立即向其移交指挥权，并听从统一指挥，协助做好应急工作。</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1119" w:type="dxa"/>
            <w:vAlign w:val="center"/>
          </w:tcPr>
          <w:p>
            <w:pPr>
              <w:snapToGrid w:val="0"/>
              <w:spacing w:line="360" w:lineRule="auto"/>
              <w:jc w:val="center"/>
              <w:rPr>
                <w:rFonts w:hint="default" w:ascii="Times New Roman" w:hAnsi="Times New Roman" w:cs="Times New Roman"/>
                <w:color w:val="000000"/>
                <w:szCs w:val="21"/>
              </w:rPr>
            </w:pPr>
            <w:r>
              <w:rPr>
                <w:rFonts w:hint="default" w:ascii="Times New Roman" w:hAnsi="Times New Roman" w:cs="Times New Roman"/>
                <w:color w:val="000000"/>
                <w:szCs w:val="21"/>
              </w:rPr>
              <w:t>Ⅴ</w:t>
            </w:r>
          </w:p>
        </w:tc>
        <w:tc>
          <w:tcPr>
            <w:tcW w:w="7941" w:type="dxa"/>
            <w:vAlign w:val="center"/>
          </w:tcPr>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①应急响应行动由城厢镇安委会组织实施；</w:t>
            </w:r>
          </w:p>
          <w:p>
            <w:pPr>
              <w:pStyle w:val="14"/>
              <w:tabs>
                <w:tab w:val="left" w:pos="3780"/>
                <w:tab w:val="right" w:pos="8306"/>
              </w:tabs>
              <w:spacing w:line="360" w:lineRule="auto"/>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②事发企业按相应应急预案全力组织救援。</w:t>
            </w:r>
          </w:p>
        </w:tc>
      </w:tr>
    </w:tbl>
    <w:p>
      <w:pPr>
        <w:spacing w:line="360" w:lineRule="auto"/>
        <w:jc w:val="center"/>
        <w:rPr>
          <w:rFonts w:hint="default" w:ascii="Times New Roman" w:hAnsi="Times New Roman" w:cs="Times New Roman"/>
          <w:b/>
          <w:bCs/>
          <w:sz w:val="24"/>
        </w:rPr>
      </w:pPr>
    </w:p>
    <w:p>
      <w:pPr>
        <w:spacing w:line="360" w:lineRule="auto"/>
        <w:ind w:firstLine="562" w:firstLineChars="200"/>
        <w:outlineLvl w:val="2"/>
        <w:rPr>
          <w:rFonts w:hint="default" w:ascii="Times New Roman" w:hAnsi="Times New Roman" w:cs="Times New Roman"/>
          <w:b/>
          <w:sz w:val="28"/>
          <w:szCs w:val="28"/>
        </w:rPr>
      </w:pPr>
      <w:bookmarkStart w:id="91" w:name="_Toc7817"/>
      <w:bookmarkStart w:id="92" w:name="_Toc27122"/>
      <w:bookmarkStart w:id="93" w:name="_Toc29831"/>
      <w:r>
        <w:rPr>
          <w:rFonts w:hint="default" w:ascii="Times New Roman" w:hAnsi="Times New Roman" w:cs="Times New Roman"/>
          <w:b/>
          <w:sz w:val="28"/>
          <w:szCs w:val="28"/>
        </w:rPr>
        <w:t>2、 响应</w:t>
      </w:r>
      <w:bookmarkEnd w:id="91"/>
      <w:bookmarkEnd w:id="92"/>
      <w:bookmarkEnd w:id="93"/>
      <w:r>
        <w:rPr>
          <w:rFonts w:hint="default" w:ascii="Times New Roman" w:hAnsi="Times New Roman" w:cs="Times New Roman"/>
          <w:b/>
          <w:sz w:val="28"/>
          <w:szCs w:val="28"/>
        </w:rPr>
        <w:t>处置</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（1）发生生产安全事故单位主要负责人按照本单位制定的应急救援预案，首先迅速开展应急救援，如本级救援不可控应拨打紧急救助电话、并将事件向城厢镇安委会报告；</w:t>
      </w:r>
    </w:p>
    <w:p>
      <w:pPr>
        <w:spacing w:line="360" w:lineRule="auto"/>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（2）接警部门接到事故报告后应立即向城厢镇安委会主要负责人报告，并通知城厢镇生产安全监管部门开展应急处置。</w:t>
      </w:r>
    </w:p>
    <w:p>
      <w:pPr>
        <w:spacing w:line="360" w:lineRule="auto"/>
        <w:ind w:firstLine="560" w:firstLineChars="200"/>
        <w:rPr>
          <w:sz w:val="28"/>
          <w:szCs w:val="28"/>
        </w:rPr>
      </w:pPr>
      <w:r>
        <w:rPr>
          <w:rFonts w:hint="default" w:ascii="Times New Roman" w:hAnsi="Times New Roman" w:cs="Times New Roman"/>
          <w:sz w:val="28"/>
          <w:szCs w:val="28"/>
        </w:rPr>
        <w:t>（3）安委会接警后，应立即进行警情判断、分析，根据事故类型及响应级别，启动《城厢镇生产安全事故应急预案》，向上级应急救援组织发出相关预警通知。城厢镇安委会立即开展应急救援指挥及时掌握应急救援动态，根据情况</w:t>
      </w:r>
      <w:r>
        <w:rPr>
          <w:rFonts w:hint="eastAsia"/>
          <w:sz w:val="28"/>
          <w:szCs w:val="28"/>
        </w:rPr>
        <w:t>及时调整部署，有效推进应急处置工作。</w:t>
      </w:r>
    </w:p>
    <w:p>
      <w:pPr>
        <w:spacing w:line="360" w:lineRule="auto"/>
        <w:ind w:firstLine="562" w:firstLineChars="200"/>
        <w:rPr>
          <w:rFonts w:hint="default" w:ascii="Times New Roman" w:hAnsi="Times New Roman" w:cs="Times New Roman"/>
          <w:b/>
          <w:sz w:val="28"/>
          <w:szCs w:val="28"/>
        </w:rPr>
      </w:pPr>
      <w:r>
        <w:rPr>
          <w:rFonts w:hint="default" w:ascii="Times New Roman" w:hAnsi="Times New Roman" w:cs="Times New Roman"/>
          <w:b/>
          <w:sz w:val="28"/>
          <w:szCs w:val="28"/>
        </w:rPr>
        <w:t>3、城厢镇安委会应急指挥联络体系</w:t>
      </w:r>
    </w:p>
    <w:p>
      <w:pPr>
        <w:rPr>
          <w:rFonts w:hint="default" w:ascii="Times New Roman" w:hAnsi="Times New Roman" w:cs="Times New Roman"/>
          <w:sz w:val="28"/>
          <w:szCs w:val="28"/>
        </w:rPr>
      </w:pPr>
      <w:r>
        <w:rPr>
          <w:rFonts w:hint="default" w:ascii="Times New Roman" w:hAnsi="Times New Roman" w:cs="Times New Roman"/>
          <w:sz w:val="28"/>
          <w:szCs w:val="28"/>
        </w:rPr>
        <w:t>城厢镇安委会主要负责人：</w:t>
      </w:r>
    </w:p>
    <w:p>
      <w:pPr>
        <w:rPr>
          <w:rFonts w:hint="default" w:ascii="Times New Roman" w:hAnsi="Times New Roman" w:cs="Times New Roman"/>
          <w:sz w:val="28"/>
          <w:szCs w:val="28"/>
        </w:rPr>
      </w:pPr>
      <w:r>
        <w:rPr>
          <w:rFonts w:hint="default" w:ascii="Times New Roman" w:hAnsi="Times New Roman" w:cs="Times New Roman"/>
          <w:sz w:val="28"/>
          <w:szCs w:val="28"/>
        </w:rPr>
        <w:t>镇党委书记                      毛雅萍    13962612600</w:t>
      </w:r>
    </w:p>
    <w:p>
      <w:pPr>
        <w:rPr>
          <w:rFonts w:hint="default" w:ascii="Times New Roman" w:hAnsi="Times New Roman" w:cs="Times New Roman"/>
          <w:sz w:val="28"/>
          <w:szCs w:val="28"/>
        </w:rPr>
      </w:pPr>
      <w:r>
        <w:rPr>
          <w:rFonts w:hint="default" w:ascii="Times New Roman" w:hAnsi="Times New Roman" w:cs="Times New Roman"/>
          <w:sz w:val="28"/>
          <w:szCs w:val="28"/>
        </w:rPr>
        <w:t xml:space="preserve">镇党委副书记、镇长              顾  强   </w:t>
      </w:r>
      <w:r>
        <w:rPr>
          <w:rFonts w:hint="default" w:ascii="Times New Roman" w:hAnsi="Times New Roman" w:cs="Times New Roman"/>
          <w:sz w:val="28"/>
          <w:szCs w:val="28"/>
          <w:lang w:val="en-US" w:eastAsia="zh-CN"/>
        </w:rPr>
        <w:t xml:space="preserve"> 13862385268</w:t>
      </w:r>
      <w:r>
        <w:rPr>
          <w:rFonts w:hint="default" w:ascii="Times New Roman" w:hAnsi="Times New Roman" w:cs="Times New Roman"/>
          <w:sz w:val="28"/>
          <w:szCs w:val="28"/>
        </w:rPr>
        <w:t xml:space="preserve"> </w:t>
      </w:r>
    </w:p>
    <w:p>
      <w:pPr>
        <w:rPr>
          <w:rFonts w:hint="default" w:ascii="Times New Roman" w:hAnsi="Times New Roman" w:cs="Times New Roman"/>
          <w:sz w:val="28"/>
          <w:szCs w:val="28"/>
        </w:rPr>
      </w:pPr>
    </w:p>
    <w:p>
      <w:pPr>
        <w:rPr>
          <w:rFonts w:hint="default" w:ascii="Times New Roman" w:hAnsi="Times New Roman" w:cs="Times New Roman"/>
          <w:sz w:val="28"/>
          <w:szCs w:val="28"/>
        </w:rPr>
      </w:pPr>
      <w:r>
        <w:rPr>
          <w:rFonts w:hint="default" w:ascii="Times New Roman" w:hAnsi="Times New Roman" w:cs="Times New Roman"/>
          <w:sz w:val="28"/>
          <w:szCs w:val="28"/>
        </w:rPr>
        <w:t xml:space="preserve">城厢镇安委会分管领导联络人：  </w:t>
      </w:r>
    </w:p>
    <w:p>
      <w:pP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 xml:space="preserve">镇党委委员        </w:t>
      </w:r>
      <w:r>
        <w:rPr>
          <w:rFonts w:hint="eastAsia" w:cs="Times New Roman"/>
          <w:sz w:val="28"/>
          <w:szCs w:val="28"/>
          <w:lang w:val="en-US" w:eastAsia="zh-CN"/>
        </w:rPr>
        <w:t xml:space="preserve">              </w:t>
      </w:r>
      <w:r>
        <w:rPr>
          <w:rFonts w:hint="default" w:ascii="Times New Roman" w:hAnsi="Times New Roman" w:cs="Times New Roman"/>
          <w:sz w:val="28"/>
          <w:szCs w:val="28"/>
        </w:rPr>
        <w:t xml:space="preserve">高  成 </w:t>
      </w:r>
      <w:r>
        <w:rPr>
          <w:rFonts w:hint="default" w:ascii="Times New Roman" w:hAnsi="Times New Roman" w:cs="Times New Roman"/>
          <w:sz w:val="28"/>
          <w:szCs w:val="28"/>
          <w:lang w:val="en-US" w:eastAsia="zh-CN"/>
        </w:rPr>
        <w:t xml:space="preserve">   13915795303</w:t>
      </w:r>
    </w:p>
    <w:p>
      <w:pPr>
        <w:rPr>
          <w:rFonts w:hint="default" w:ascii="Times New Roman" w:hAnsi="Times New Roman" w:cs="Times New Roman"/>
          <w:sz w:val="28"/>
          <w:szCs w:val="28"/>
        </w:rPr>
      </w:pPr>
    </w:p>
    <w:p>
      <w:pPr>
        <w:rPr>
          <w:rFonts w:hint="default" w:ascii="Times New Roman" w:hAnsi="Times New Roman" w:cs="Times New Roman"/>
          <w:sz w:val="28"/>
          <w:szCs w:val="28"/>
        </w:rPr>
      </w:pPr>
      <w:r>
        <w:rPr>
          <w:rFonts w:hint="default" w:ascii="Times New Roman" w:hAnsi="Times New Roman" w:cs="Times New Roman"/>
          <w:sz w:val="28"/>
          <w:szCs w:val="28"/>
        </w:rPr>
        <w:t>城厢镇安委会办公室联络人：</w:t>
      </w:r>
    </w:p>
    <w:p>
      <w:pPr>
        <w:rPr>
          <w:rFonts w:hint="default" w:ascii="Times New Roman" w:hAnsi="Times New Roman" w:cs="Times New Roman"/>
          <w:sz w:val="28"/>
          <w:szCs w:val="28"/>
        </w:rPr>
      </w:pPr>
      <w:r>
        <w:rPr>
          <w:rFonts w:hint="default" w:ascii="Times New Roman" w:hAnsi="Times New Roman" w:cs="Times New Roman"/>
          <w:sz w:val="28"/>
          <w:szCs w:val="28"/>
        </w:rPr>
        <w:t>镇安委会办公室主任              王  炜    18915766779</w:t>
      </w:r>
    </w:p>
    <w:p>
      <w:pPr>
        <w:rPr>
          <w:rFonts w:hint="default" w:ascii="Times New Roman" w:hAnsi="Times New Roman" w:cs="Times New Roman"/>
          <w:sz w:val="28"/>
          <w:szCs w:val="28"/>
        </w:rPr>
      </w:pPr>
    </w:p>
    <w:p>
      <w:pPr>
        <w:rPr>
          <w:rFonts w:hint="default" w:ascii="Times New Roman" w:hAnsi="Times New Roman" w:cs="Times New Roman"/>
          <w:sz w:val="28"/>
          <w:szCs w:val="28"/>
        </w:rPr>
      </w:pPr>
      <w:r>
        <w:rPr>
          <w:rFonts w:hint="default" w:ascii="Times New Roman" w:hAnsi="Times New Roman" w:cs="Times New Roman"/>
          <w:sz w:val="28"/>
          <w:szCs w:val="28"/>
        </w:rPr>
        <w:t>应急救援报警处置联络人：</w:t>
      </w:r>
    </w:p>
    <w:p>
      <w:pPr>
        <w:rPr>
          <w:rFonts w:hint="default" w:ascii="Times New Roman" w:hAnsi="Times New Roman" w:cs="Times New Roman"/>
          <w:sz w:val="28"/>
          <w:szCs w:val="28"/>
        </w:rPr>
      </w:pPr>
      <w:r>
        <w:rPr>
          <w:rFonts w:hint="default" w:ascii="Times New Roman" w:hAnsi="Times New Roman" w:cs="Times New Roman"/>
          <w:sz w:val="28"/>
          <w:szCs w:val="28"/>
        </w:rPr>
        <w:t>城西消防应急救援中队 中队长     单进</w:t>
      </w:r>
      <w:r>
        <w:rPr>
          <w:rFonts w:hint="eastAsia" w:cs="Times New Roman"/>
          <w:sz w:val="28"/>
          <w:szCs w:val="28"/>
          <w:lang w:eastAsia="zh-CN"/>
        </w:rPr>
        <w:t>锋</w:t>
      </w:r>
      <w:r>
        <w:rPr>
          <w:rFonts w:hint="default" w:ascii="Times New Roman" w:hAnsi="Times New Roman" w:cs="Times New Roman"/>
          <w:sz w:val="28"/>
          <w:szCs w:val="28"/>
        </w:rPr>
        <w:t xml:space="preserve">    15962409007</w:t>
      </w:r>
    </w:p>
    <w:p>
      <w:pPr>
        <w:rPr>
          <w:rFonts w:hint="default" w:ascii="Times New Roman" w:hAnsi="Times New Roman" w:cs="Times New Roman"/>
          <w:sz w:val="28"/>
          <w:szCs w:val="28"/>
        </w:rPr>
      </w:pPr>
      <w:r>
        <w:rPr>
          <w:rFonts w:hint="default" w:ascii="Times New Roman" w:hAnsi="Times New Roman" w:cs="Times New Roman"/>
          <w:sz w:val="28"/>
          <w:szCs w:val="28"/>
        </w:rPr>
        <w:t>城西派出所   所长               何  振</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13913764362</w:t>
      </w:r>
    </w:p>
    <w:p>
      <w:pPr>
        <w:rPr>
          <w:rFonts w:hint="default" w:ascii="Times New Roman" w:hAnsi="Times New Roman" w:cs="Times New Roman"/>
          <w:sz w:val="28"/>
          <w:szCs w:val="28"/>
        </w:rPr>
      </w:pPr>
      <w:r>
        <w:rPr>
          <w:rFonts w:hint="default" w:ascii="Times New Roman" w:hAnsi="Times New Roman" w:cs="Times New Roman"/>
          <w:sz w:val="28"/>
          <w:szCs w:val="28"/>
        </w:rPr>
        <w:t>城中派出所   所长               周  丹</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13862282210</w:t>
      </w:r>
    </w:p>
    <w:p>
      <w:pPr>
        <w:rPr>
          <w:rFonts w:hint="default" w:ascii="Times New Roman" w:hAnsi="Times New Roman" w:cs="Times New Roman"/>
          <w:sz w:val="28"/>
          <w:szCs w:val="28"/>
        </w:rPr>
      </w:pPr>
      <w:r>
        <w:rPr>
          <w:rFonts w:hint="default" w:ascii="Times New Roman" w:hAnsi="Times New Roman" w:cs="Times New Roman"/>
          <w:sz w:val="28"/>
          <w:szCs w:val="28"/>
        </w:rPr>
        <w:t>金仓湖派出所 所长               刘  浩</w:t>
      </w:r>
      <w:r>
        <w:rPr>
          <w:rFonts w:hint="default" w:ascii="Times New Roman" w:hAnsi="Times New Roman" w:cs="Times New Roman"/>
          <w:sz w:val="28"/>
          <w:szCs w:val="28"/>
        </w:rPr>
        <w:tab/>
      </w:r>
      <w:r>
        <w:rPr>
          <w:rFonts w:hint="default" w:ascii="Times New Roman" w:hAnsi="Times New Roman" w:cs="Times New Roman"/>
          <w:sz w:val="28"/>
          <w:szCs w:val="28"/>
        </w:rPr>
        <w:t xml:space="preserve">   13913766227</w:t>
      </w: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sectPr>
          <w:pgSz w:w="11906" w:h="16838"/>
          <w:pgMar w:top="1440" w:right="1800" w:bottom="1440" w:left="1800" w:header="851" w:footer="992" w:gutter="0"/>
          <w:cols w:space="720" w:num="1"/>
          <w:docGrid w:type="lines" w:linePitch="312" w:charSpace="0"/>
        </w:sectPr>
      </w:pPr>
    </w:p>
    <w:p>
      <w:pPr>
        <w:spacing w:line="320" w:lineRule="exact"/>
        <w:jc w:val="center"/>
        <w:outlineLvl w:val="0"/>
        <w:rPr>
          <w:rFonts w:ascii="宋体" w:hAnsi="宋体"/>
          <w:b/>
          <w:sz w:val="28"/>
          <w:szCs w:val="28"/>
        </w:rPr>
      </w:pPr>
      <w:bookmarkStart w:id="94" w:name="_Toc18836"/>
      <w:r>
        <w:rPr>
          <w:rFonts w:hint="eastAsia" w:ascii="宋体" w:hAnsi="宋体"/>
          <w:b/>
          <w:sz w:val="28"/>
          <w:szCs w:val="28"/>
        </w:rPr>
        <w:t>10 附图</w:t>
      </w:r>
      <w:bookmarkEnd w:id="94"/>
    </w:p>
    <w:p>
      <w:pPr>
        <w:pStyle w:val="9"/>
        <w:shd w:val="clear" w:color="auto" w:fill="FFFFFF"/>
        <w:spacing w:before="0" w:beforeAutospacing="0" w:after="0" w:afterAutospacing="0" w:line="360" w:lineRule="auto"/>
        <w:rPr>
          <w:color w:val="000000"/>
          <w:sz w:val="28"/>
          <w:szCs w:val="28"/>
        </w:rPr>
      </w:pPr>
      <w:r>
        <w:rPr>
          <w:rFonts w:hint="eastAsia"/>
          <w:color w:val="000000"/>
          <w:sz w:val="28"/>
          <w:szCs w:val="28"/>
        </w:rPr>
        <w:drawing>
          <wp:anchor distT="0" distB="0" distL="114300" distR="114300" simplePos="0" relativeHeight="251662336" behindDoc="0" locked="0" layoutInCell="1" allowOverlap="1">
            <wp:simplePos x="0" y="0"/>
            <wp:positionH relativeFrom="column">
              <wp:posOffset>-109855</wp:posOffset>
            </wp:positionH>
            <wp:positionV relativeFrom="paragraph">
              <wp:posOffset>182245</wp:posOffset>
            </wp:positionV>
            <wp:extent cx="6105525" cy="7226300"/>
            <wp:effectExtent l="0" t="0" r="9525" b="12700"/>
            <wp:wrapNone/>
            <wp:docPr id="244" name="图片 402" descr="ac6eddc451da81cba1c08ef65b66d016092431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402" descr="ac6eddc451da81cba1c08ef65b66d016092431e2"/>
                    <pic:cNvPicPr>
                      <a:picLocks noChangeAspect="1"/>
                    </pic:cNvPicPr>
                  </pic:nvPicPr>
                  <pic:blipFill>
                    <a:blip r:embed="rId19" cstate="print"/>
                    <a:stretch>
                      <a:fillRect/>
                    </a:stretch>
                  </pic:blipFill>
                  <pic:spPr>
                    <a:xfrm>
                      <a:off x="0" y="0"/>
                      <a:ext cx="6105525" cy="7226300"/>
                    </a:xfrm>
                    <a:prstGeom prst="rect">
                      <a:avLst/>
                    </a:prstGeom>
                    <a:noFill/>
                    <a:ln w="9525">
                      <a:noFill/>
                    </a:ln>
                  </pic:spPr>
                </pic:pic>
              </a:graphicData>
            </a:graphic>
          </wp:anchor>
        </w:drawing>
      </w: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p>
    <w:p>
      <w:pPr>
        <w:pStyle w:val="9"/>
        <w:shd w:val="clear" w:color="auto" w:fill="FFFFFF"/>
        <w:spacing w:before="0" w:beforeAutospacing="0" w:after="0" w:afterAutospacing="0" w:line="360" w:lineRule="auto"/>
        <w:rPr>
          <w:color w:val="000000"/>
          <w:sz w:val="28"/>
          <w:szCs w:val="28"/>
        </w:rPr>
      </w:pPr>
      <w:r>
        <w:rPr>
          <w:rFonts w:hint="eastAsia"/>
          <w:color w:val="000000"/>
          <w:sz w:val="28"/>
          <w:szCs w:val="28"/>
        </w:rPr>
        <w:drawing>
          <wp:anchor distT="0" distB="0" distL="114300" distR="114300" simplePos="0" relativeHeight="251663360" behindDoc="0" locked="0" layoutInCell="1" allowOverlap="1">
            <wp:simplePos x="0" y="0"/>
            <wp:positionH relativeFrom="column">
              <wp:posOffset>-249555</wp:posOffset>
            </wp:positionH>
            <wp:positionV relativeFrom="paragraph">
              <wp:posOffset>271145</wp:posOffset>
            </wp:positionV>
            <wp:extent cx="5845810" cy="6679565"/>
            <wp:effectExtent l="0" t="0" r="2540" b="6985"/>
            <wp:wrapNone/>
            <wp:docPr id="245" name="图片 403" descr="adaf2edda3cc7cd959049df83001213fb80e91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403" descr="adaf2edda3cc7cd959049df83001213fb80e91e2"/>
                    <pic:cNvPicPr>
                      <a:picLocks noChangeAspect="1"/>
                    </pic:cNvPicPr>
                  </pic:nvPicPr>
                  <pic:blipFill>
                    <a:blip r:embed="rId20" cstate="print"/>
                    <a:srcRect l="2711" t="5821" r="9496" b="1863"/>
                    <a:stretch>
                      <a:fillRect/>
                    </a:stretch>
                  </pic:blipFill>
                  <pic:spPr>
                    <a:xfrm>
                      <a:off x="0" y="0"/>
                      <a:ext cx="5845810" cy="6679565"/>
                    </a:xfrm>
                    <a:prstGeom prst="rect">
                      <a:avLst/>
                    </a:prstGeom>
                    <a:noFill/>
                    <a:ln w="9525">
                      <a:noFill/>
                    </a:ln>
                  </pic:spPr>
                </pic:pic>
              </a:graphicData>
            </a:graphic>
          </wp:anchor>
        </w:drawing>
      </w:r>
    </w:p>
    <w:p>
      <w:pPr>
        <w:ind w:right="32"/>
        <w:jc w:val="center"/>
        <w:rPr>
          <w:rFonts w:ascii="宋体" w:hAnsi="宋体"/>
          <w:sz w:val="28"/>
          <w:szCs w:val="28"/>
        </w:rPr>
      </w:pPr>
    </w:p>
    <w:p>
      <w:pPr>
        <w:ind w:right="32"/>
        <w:jc w:val="center"/>
        <w:rPr>
          <w:rFonts w:ascii="宋体" w:hAnsi="宋体"/>
          <w:sz w:val="28"/>
          <w:szCs w:val="28"/>
        </w:rPr>
      </w:pPr>
    </w:p>
    <w:p>
      <w:pPr>
        <w:ind w:right="32"/>
        <w:jc w:val="center"/>
        <w:rPr>
          <w:rFonts w:ascii="宋体" w:hAnsi="宋体"/>
          <w:sz w:val="28"/>
          <w:szCs w:val="28"/>
        </w:rPr>
      </w:pPr>
    </w:p>
    <w:p>
      <w:pPr>
        <w:ind w:right="32"/>
        <w:jc w:val="center"/>
        <w:rPr>
          <w:rFonts w:ascii="宋体" w:hAnsi="宋体"/>
          <w:sz w:val="28"/>
          <w:szCs w:val="28"/>
        </w:rPr>
      </w:pPr>
    </w:p>
    <w:p>
      <w:pPr>
        <w:ind w:right="32"/>
        <w:jc w:val="center"/>
        <w:rPr>
          <w:rFonts w:ascii="宋体" w:hAnsi="宋体"/>
          <w:sz w:val="28"/>
          <w:szCs w:val="28"/>
        </w:rPr>
      </w:pPr>
    </w:p>
    <w:p/>
    <w:p/>
    <w:sectPr>
      <w:headerReference r:id="rId13" w:type="first"/>
      <w:footerReference r:id="rId16" w:type="first"/>
      <w:headerReference r:id="rId11" w:type="default"/>
      <w:footerReference r:id="rId14" w:type="default"/>
      <w:headerReference r:id="rId12" w:type="even"/>
      <w:footerReference r:id="rId15" w:type="even"/>
      <w:pgSz w:w="11906" w:h="16838"/>
      <w:pgMar w:top="1701" w:right="1418" w:bottom="141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61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&#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LStZCzXAQAAsgMAAA4AAAAAAAAAAQAgAAAA&#10;HgEAAGRycy9lMm9Eb2MueG1sUEsFBgAAAAAGAAYAWQEAAGcFAAAAAA==&#10;">
              <v:fill on="f" focussize="0,0"/>
              <v:stroke on="f"/>
              <v:imagedata o:title=""/>
              <o:lock v:ext="edit" aspectratio="f"/>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22</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end"/>
    </w:r>
  </w:p>
  <w:p>
    <w:pPr>
      <w:pStyle w:val="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5BBF"/>
    <w:multiLevelType w:val="multilevel"/>
    <w:tmpl w:val="01415BBF"/>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
    <w:nsid w:val="03212819"/>
    <w:multiLevelType w:val="multilevel"/>
    <w:tmpl w:val="03212819"/>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
    <w:nsid w:val="0E853C7A"/>
    <w:multiLevelType w:val="multilevel"/>
    <w:tmpl w:val="0E853C7A"/>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
    <w:nsid w:val="0FBA08CC"/>
    <w:multiLevelType w:val="multilevel"/>
    <w:tmpl w:val="0FBA08CC"/>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
    <w:nsid w:val="11510C42"/>
    <w:multiLevelType w:val="multilevel"/>
    <w:tmpl w:val="11510C4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5">
    <w:nsid w:val="18924D2B"/>
    <w:multiLevelType w:val="multilevel"/>
    <w:tmpl w:val="18924D2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6">
    <w:nsid w:val="1B681EF1"/>
    <w:multiLevelType w:val="multilevel"/>
    <w:tmpl w:val="1B681EF1"/>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7">
    <w:nsid w:val="1D4805D5"/>
    <w:multiLevelType w:val="multilevel"/>
    <w:tmpl w:val="1D4805D5"/>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8">
    <w:nsid w:val="20B900AD"/>
    <w:multiLevelType w:val="multilevel"/>
    <w:tmpl w:val="20B900AD"/>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9">
    <w:nsid w:val="22054319"/>
    <w:multiLevelType w:val="multilevel"/>
    <w:tmpl w:val="22054319"/>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10">
    <w:nsid w:val="22FB2549"/>
    <w:multiLevelType w:val="multilevel"/>
    <w:tmpl w:val="22FB2549"/>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1">
    <w:nsid w:val="24296BE6"/>
    <w:multiLevelType w:val="multilevel"/>
    <w:tmpl w:val="24296BE6"/>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12">
    <w:nsid w:val="25C535CD"/>
    <w:multiLevelType w:val="multilevel"/>
    <w:tmpl w:val="25C535CD"/>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13">
    <w:nsid w:val="25FA2D23"/>
    <w:multiLevelType w:val="multilevel"/>
    <w:tmpl w:val="25FA2D23"/>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14">
    <w:nsid w:val="2E193D29"/>
    <w:multiLevelType w:val="multilevel"/>
    <w:tmpl w:val="2E193D29"/>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5">
    <w:nsid w:val="2FC9672B"/>
    <w:multiLevelType w:val="multilevel"/>
    <w:tmpl w:val="2FC9672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6">
    <w:nsid w:val="305C75BA"/>
    <w:multiLevelType w:val="multilevel"/>
    <w:tmpl w:val="305C75BA"/>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17">
    <w:nsid w:val="320D5495"/>
    <w:multiLevelType w:val="multilevel"/>
    <w:tmpl w:val="320D5495"/>
    <w:lvl w:ilvl="0" w:tentative="0">
      <w:start w:val="1"/>
      <w:numFmt w:val="decimal"/>
      <w:lvlText w:val="（%1）"/>
      <w:lvlJc w:val="left"/>
      <w:pPr>
        <w:tabs>
          <w:tab w:val="left" w:pos="1200"/>
        </w:tabs>
        <w:ind w:left="1200" w:hanging="720"/>
      </w:pPr>
      <w:rPr>
        <w:rFonts w:hint="default"/>
      </w:rPr>
    </w:lvl>
    <w:lvl w:ilvl="1" w:tentative="0">
      <w:start w:val="1"/>
      <w:numFmt w:val="decimal"/>
      <w:lvlText w:val="%2."/>
      <w:lvlJc w:val="left"/>
      <w:pPr>
        <w:tabs>
          <w:tab w:val="left" w:pos="758"/>
        </w:tabs>
        <w:ind w:left="758" w:hanging="420"/>
      </w:pPr>
      <w:rPr>
        <w:rFonts w:hint="default"/>
      </w:r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18">
    <w:nsid w:val="368D0CEE"/>
    <w:multiLevelType w:val="multilevel"/>
    <w:tmpl w:val="368D0CEE"/>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19">
    <w:nsid w:val="36E53E6D"/>
    <w:multiLevelType w:val="multilevel"/>
    <w:tmpl w:val="36E53E6D"/>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0">
    <w:nsid w:val="3B6F48F3"/>
    <w:multiLevelType w:val="multilevel"/>
    <w:tmpl w:val="3B6F48F3"/>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1">
    <w:nsid w:val="3BF905D9"/>
    <w:multiLevelType w:val="multilevel"/>
    <w:tmpl w:val="3BF905D9"/>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2">
    <w:nsid w:val="41423724"/>
    <w:multiLevelType w:val="multilevel"/>
    <w:tmpl w:val="41423724"/>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3">
    <w:nsid w:val="43B64EBB"/>
    <w:multiLevelType w:val="multilevel"/>
    <w:tmpl w:val="43B64EB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24">
    <w:nsid w:val="43F67001"/>
    <w:multiLevelType w:val="multilevel"/>
    <w:tmpl w:val="43F67001"/>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5">
    <w:nsid w:val="459B0438"/>
    <w:multiLevelType w:val="multilevel"/>
    <w:tmpl w:val="459B0438"/>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26">
    <w:nsid w:val="46724932"/>
    <w:multiLevelType w:val="multilevel"/>
    <w:tmpl w:val="46724932"/>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7">
    <w:nsid w:val="46920491"/>
    <w:multiLevelType w:val="multilevel"/>
    <w:tmpl w:val="46920491"/>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28">
    <w:nsid w:val="48C620EF"/>
    <w:multiLevelType w:val="multilevel"/>
    <w:tmpl w:val="48C620EF"/>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29">
    <w:nsid w:val="4CAD4D78"/>
    <w:multiLevelType w:val="multilevel"/>
    <w:tmpl w:val="4CAD4D78"/>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0">
    <w:nsid w:val="4D2A0BA2"/>
    <w:multiLevelType w:val="multilevel"/>
    <w:tmpl w:val="4D2A0BA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1">
    <w:nsid w:val="55D47716"/>
    <w:multiLevelType w:val="multilevel"/>
    <w:tmpl w:val="55D47716"/>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2">
    <w:nsid w:val="61565B3A"/>
    <w:multiLevelType w:val="multilevel"/>
    <w:tmpl w:val="61565B3A"/>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33">
    <w:nsid w:val="63433EEA"/>
    <w:multiLevelType w:val="multilevel"/>
    <w:tmpl w:val="63433EEA"/>
    <w:lvl w:ilvl="0" w:tentative="0">
      <w:start w:val="1"/>
      <w:numFmt w:val="decimal"/>
      <w:lvlText w:val="%1."/>
      <w:lvlJc w:val="left"/>
      <w:pPr>
        <w:tabs>
          <w:tab w:val="left" w:pos="758"/>
        </w:tabs>
        <w:ind w:left="758" w:hanging="420"/>
      </w:pPr>
    </w:lvl>
    <w:lvl w:ilvl="1" w:tentative="0">
      <w:start w:val="1"/>
      <w:numFmt w:val="decimal"/>
      <w:lvlText w:val="（%2）"/>
      <w:lvlJc w:val="left"/>
      <w:pPr>
        <w:tabs>
          <w:tab w:val="left" w:pos="1478"/>
        </w:tabs>
        <w:ind w:left="1478" w:hanging="720"/>
      </w:pPr>
      <w:rPr>
        <w:rFonts w:hint="default"/>
      </w:rPr>
    </w:lvl>
    <w:lvl w:ilvl="2" w:tentative="0">
      <w:start w:val="1"/>
      <w:numFmt w:val="decimal"/>
      <w:lvlText w:val="%3."/>
      <w:lvlJc w:val="lef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34">
    <w:nsid w:val="63A916E8"/>
    <w:multiLevelType w:val="multilevel"/>
    <w:tmpl w:val="63A916E8"/>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5">
    <w:nsid w:val="65744DFC"/>
    <w:multiLevelType w:val="multilevel"/>
    <w:tmpl w:val="65744DFC"/>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6">
    <w:nsid w:val="69AA5D87"/>
    <w:multiLevelType w:val="multilevel"/>
    <w:tmpl w:val="69AA5D87"/>
    <w:lvl w:ilvl="0" w:tentative="0">
      <w:start w:val="1"/>
      <w:numFmt w:val="decimal"/>
      <w:lvlText w:val="%1."/>
      <w:lvlJc w:val="left"/>
      <w:pPr>
        <w:tabs>
          <w:tab w:val="left" w:pos="758"/>
        </w:tabs>
        <w:ind w:left="758" w:hanging="420"/>
      </w:pPr>
    </w:lvl>
    <w:lvl w:ilvl="1" w:tentative="0">
      <w:start w:val="1"/>
      <w:numFmt w:val="lowerLetter"/>
      <w:lvlText w:val="%2)"/>
      <w:lvlJc w:val="left"/>
      <w:pPr>
        <w:tabs>
          <w:tab w:val="left" w:pos="1178"/>
        </w:tabs>
        <w:ind w:left="1178" w:hanging="420"/>
      </w:pPr>
    </w:lvl>
    <w:lvl w:ilvl="2" w:tentative="0">
      <w:start w:val="1"/>
      <w:numFmt w:val="lowerRoman"/>
      <w:lvlText w:val="%3."/>
      <w:lvlJc w:val="right"/>
      <w:pPr>
        <w:tabs>
          <w:tab w:val="left" w:pos="1598"/>
        </w:tabs>
        <w:ind w:left="1598" w:hanging="420"/>
      </w:pPr>
    </w:lvl>
    <w:lvl w:ilvl="3" w:tentative="0">
      <w:start w:val="1"/>
      <w:numFmt w:val="decimal"/>
      <w:lvlText w:val="%4."/>
      <w:lvlJc w:val="left"/>
      <w:pPr>
        <w:tabs>
          <w:tab w:val="left" w:pos="2018"/>
        </w:tabs>
        <w:ind w:left="2018" w:hanging="420"/>
      </w:pPr>
    </w:lvl>
    <w:lvl w:ilvl="4" w:tentative="0">
      <w:start w:val="1"/>
      <w:numFmt w:val="lowerLetter"/>
      <w:lvlText w:val="%5)"/>
      <w:lvlJc w:val="left"/>
      <w:pPr>
        <w:tabs>
          <w:tab w:val="left" w:pos="2438"/>
        </w:tabs>
        <w:ind w:left="2438" w:hanging="420"/>
      </w:pPr>
    </w:lvl>
    <w:lvl w:ilvl="5" w:tentative="0">
      <w:start w:val="1"/>
      <w:numFmt w:val="lowerRoman"/>
      <w:lvlText w:val="%6."/>
      <w:lvlJc w:val="right"/>
      <w:pPr>
        <w:tabs>
          <w:tab w:val="left" w:pos="2858"/>
        </w:tabs>
        <w:ind w:left="2858" w:hanging="420"/>
      </w:pPr>
    </w:lvl>
    <w:lvl w:ilvl="6" w:tentative="0">
      <w:start w:val="1"/>
      <w:numFmt w:val="decimal"/>
      <w:lvlText w:val="%7."/>
      <w:lvlJc w:val="left"/>
      <w:pPr>
        <w:tabs>
          <w:tab w:val="left" w:pos="3278"/>
        </w:tabs>
        <w:ind w:left="3278" w:hanging="420"/>
      </w:pPr>
    </w:lvl>
    <w:lvl w:ilvl="7" w:tentative="0">
      <w:start w:val="1"/>
      <w:numFmt w:val="lowerLetter"/>
      <w:lvlText w:val="%8)"/>
      <w:lvlJc w:val="left"/>
      <w:pPr>
        <w:tabs>
          <w:tab w:val="left" w:pos="3698"/>
        </w:tabs>
        <w:ind w:left="3698" w:hanging="420"/>
      </w:pPr>
    </w:lvl>
    <w:lvl w:ilvl="8" w:tentative="0">
      <w:start w:val="1"/>
      <w:numFmt w:val="lowerRoman"/>
      <w:lvlText w:val="%9."/>
      <w:lvlJc w:val="right"/>
      <w:pPr>
        <w:tabs>
          <w:tab w:val="left" w:pos="4118"/>
        </w:tabs>
        <w:ind w:left="4118" w:hanging="420"/>
      </w:pPr>
    </w:lvl>
  </w:abstractNum>
  <w:abstractNum w:abstractNumId="37">
    <w:nsid w:val="6F3C1E82"/>
    <w:multiLevelType w:val="multilevel"/>
    <w:tmpl w:val="6F3C1E8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38">
    <w:nsid w:val="748E45E0"/>
    <w:multiLevelType w:val="multilevel"/>
    <w:tmpl w:val="748E45E0"/>
    <w:lvl w:ilvl="0" w:tentative="0">
      <w:start w:val="1"/>
      <w:numFmt w:val="decimal"/>
      <w:lvlText w:val="（%1）"/>
      <w:lvlJc w:val="left"/>
      <w:pPr>
        <w:tabs>
          <w:tab w:val="left" w:pos="1200"/>
        </w:tabs>
        <w:ind w:left="1200" w:hanging="720"/>
      </w:pPr>
      <w:rPr>
        <w:rFonts w:hint="default"/>
      </w:rPr>
    </w:lvl>
    <w:lvl w:ilvl="1" w:tentative="0">
      <w:start w:val="1"/>
      <w:numFmt w:val="lowerLetter"/>
      <w:lvlText w:val="%2)"/>
      <w:lvlJc w:val="left"/>
      <w:pPr>
        <w:tabs>
          <w:tab w:val="left" w:pos="758"/>
        </w:tabs>
        <w:ind w:left="758" w:hanging="420"/>
      </w:pPr>
    </w:lvl>
    <w:lvl w:ilvl="2" w:tentative="0">
      <w:start w:val="1"/>
      <w:numFmt w:val="lowerRoman"/>
      <w:lvlText w:val="%3."/>
      <w:lvlJc w:val="right"/>
      <w:pPr>
        <w:tabs>
          <w:tab w:val="left" w:pos="1178"/>
        </w:tabs>
        <w:ind w:left="1178" w:hanging="420"/>
      </w:pPr>
    </w:lvl>
    <w:lvl w:ilvl="3" w:tentative="0">
      <w:start w:val="1"/>
      <w:numFmt w:val="decimal"/>
      <w:lvlText w:val="%4."/>
      <w:lvlJc w:val="left"/>
      <w:pPr>
        <w:tabs>
          <w:tab w:val="left" w:pos="1598"/>
        </w:tabs>
        <w:ind w:left="1598" w:hanging="420"/>
      </w:pPr>
    </w:lvl>
    <w:lvl w:ilvl="4" w:tentative="0">
      <w:start w:val="1"/>
      <w:numFmt w:val="lowerLetter"/>
      <w:lvlText w:val="%5)"/>
      <w:lvlJc w:val="left"/>
      <w:pPr>
        <w:tabs>
          <w:tab w:val="left" w:pos="2018"/>
        </w:tabs>
        <w:ind w:left="2018" w:hanging="420"/>
      </w:pPr>
    </w:lvl>
    <w:lvl w:ilvl="5" w:tentative="0">
      <w:start w:val="1"/>
      <w:numFmt w:val="lowerRoman"/>
      <w:lvlText w:val="%6."/>
      <w:lvlJc w:val="right"/>
      <w:pPr>
        <w:tabs>
          <w:tab w:val="left" w:pos="2438"/>
        </w:tabs>
        <w:ind w:left="2438" w:hanging="420"/>
      </w:pPr>
    </w:lvl>
    <w:lvl w:ilvl="6" w:tentative="0">
      <w:start w:val="1"/>
      <w:numFmt w:val="decimal"/>
      <w:lvlText w:val="%7."/>
      <w:lvlJc w:val="left"/>
      <w:pPr>
        <w:tabs>
          <w:tab w:val="left" w:pos="2858"/>
        </w:tabs>
        <w:ind w:left="2858" w:hanging="420"/>
      </w:pPr>
    </w:lvl>
    <w:lvl w:ilvl="7" w:tentative="0">
      <w:start w:val="1"/>
      <w:numFmt w:val="lowerLetter"/>
      <w:lvlText w:val="%8)"/>
      <w:lvlJc w:val="left"/>
      <w:pPr>
        <w:tabs>
          <w:tab w:val="left" w:pos="3278"/>
        </w:tabs>
        <w:ind w:left="3278" w:hanging="420"/>
      </w:pPr>
    </w:lvl>
    <w:lvl w:ilvl="8" w:tentative="0">
      <w:start w:val="1"/>
      <w:numFmt w:val="lowerRoman"/>
      <w:lvlText w:val="%9."/>
      <w:lvlJc w:val="right"/>
      <w:pPr>
        <w:tabs>
          <w:tab w:val="left" w:pos="3698"/>
        </w:tabs>
        <w:ind w:left="3698" w:hanging="420"/>
      </w:pPr>
    </w:lvl>
  </w:abstractNum>
  <w:abstractNum w:abstractNumId="39">
    <w:nsid w:val="749F4012"/>
    <w:multiLevelType w:val="multilevel"/>
    <w:tmpl w:val="749F4012"/>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0">
    <w:nsid w:val="751C05DA"/>
    <w:multiLevelType w:val="multilevel"/>
    <w:tmpl w:val="751C05DA"/>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1">
    <w:nsid w:val="779C79F4"/>
    <w:multiLevelType w:val="multilevel"/>
    <w:tmpl w:val="779C79F4"/>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2">
    <w:nsid w:val="7E234C1E"/>
    <w:multiLevelType w:val="multilevel"/>
    <w:tmpl w:val="7E234C1E"/>
    <w:lvl w:ilvl="0" w:tentative="0">
      <w:start w:val="1"/>
      <w:numFmt w:val="decimal"/>
      <w:lvlText w:val="（%1）"/>
      <w:lvlJc w:val="left"/>
      <w:pPr>
        <w:tabs>
          <w:tab w:val="left" w:pos="1200"/>
        </w:tabs>
        <w:ind w:left="1200" w:hanging="720"/>
      </w:pPr>
      <w:rPr>
        <w:rFonts w:hint="default"/>
      </w:rPr>
    </w:lvl>
    <w:lvl w:ilvl="1" w:tentative="0">
      <w:start w:val="1"/>
      <w:numFmt w:val="decimal"/>
      <w:lvlText w:val="%2."/>
      <w:lvlJc w:val="left"/>
      <w:pPr>
        <w:tabs>
          <w:tab w:val="left" w:pos="1320"/>
        </w:tabs>
        <w:ind w:left="1320" w:hanging="420"/>
      </w:pPr>
      <w:rPr>
        <w:rFonts w:hint="default"/>
      </w:rPr>
    </w:lvl>
    <w:lvl w:ilvl="2" w:tentative="0">
      <w:start w:val="1"/>
      <w:numFmt w:val="decimal"/>
      <w:lvlText w:val="（%3）"/>
      <w:lvlJc w:val="left"/>
      <w:pPr>
        <w:tabs>
          <w:tab w:val="left" w:pos="2040"/>
        </w:tabs>
        <w:ind w:left="2040" w:hanging="72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3">
    <w:nsid w:val="7E72355B"/>
    <w:multiLevelType w:val="multilevel"/>
    <w:tmpl w:val="7E72355B"/>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abstractNum w:abstractNumId="44">
    <w:nsid w:val="7EE30EDC"/>
    <w:multiLevelType w:val="multilevel"/>
    <w:tmpl w:val="7EE30EDC"/>
    <w:lvl w:ilvl="0" w:tentative="0">
      <w:start w:val="1"/>
      <w:numFmt w:val="decimal"/>
      <w:lvlText w:val="（%1）"/>
      <w:lvlJc w:val="left"/>
      <w:pPr>
        <w:tabs>
          <w:tab w:val="left" w:pos="1478"/>
        </w:tabs>
        <w:ind w:left="1478" w:hanging="720"/>
      </w:pPr>
      <w:rPr>
        <w:rFonts w:hint="default"/>
      </w:rPr>
    </w:lvl>
    <w:lvl w:ilvl="1" w:tentative="0">
      <w:start w:val="1"/>
      <w:numFmt w:val="lowerLetter"/>
      <w:lvlText w:val="%2)"/>
      <w:lvlJc w:val="left"/>
      <w:pPr>
        <w:tabs>
          <w:tab w:val="left" w:pos="1036"/>
        </w:tabs>
        <w:ind w:left="1036" w:hanging="420"/>
      </w:pPr>
    </w:lvl>
    <w:lvl w:ilvl="2" w:tentative="0">
      <w:start w:val="1"/>
      <w:numFmt w:val="lowerRoman"/>
      <w:lvlText w:val="%3."/>
      <w:lvlJc w:val="right"/>
      <w:pPr>
        <w:tabs>
          <w:tab w:val="left" w:pos="1456"/>
        </w:tabs>
        <w:ind w:left="1456" w:hanging="420"/>
      </w:pPr>
    </w:lvl>
    <w:lvl w:ilvl="3" w:tentative="0">
      <w:start w:val="1"/>
      <w:numFmt w:val="decimal"/>
      <w:lvlText w:val="%4."/>
      <w:lvlJc w:val="left"/>
      <w:pPr>
        <w:tabs>
          <w:tab w:val="left" w:pos="1876"/>
        </w:tabs>
        <w:ind w:left="1876" w:hanging="420"/>
      </w:pPr>
    </w:lvl>
    <w:lvl w:ilvl="4" w:tentative="0">
      <w:start w:val="1"/>
      <w:numFmt w:val="lowerLetter"/>
      <w:lvlText w:val="%5)"/>
      <w:lvlJc w:val="left"/>
      <w:pPr>
        <w:tabs>
          <w:tab w:val="left" w:pos="2296"/>
        </w:tabs>
        <w:ind w:left="2296" w:hanging="420"/>
      </w:pPr>
    </w:lvl>
    <w:lvl w:ilvl="5" w:tentative="0">
      <w:start w:val="1"/>
      <w:numFmt w:val="lowerRoman"/>
      <w:lvlText w:val="%6."/>
      <w:lvlJc w:val="right"/>
      <w:pPr>
        <w:tabs>
          <w:tab w:val="left" w:pos="2716"/>
        </w:tabs>
        <w:ind w:left="2716" w:hanging="420"/>
      </w:pPr>
    </w:lvl>
    <w:lvl w:ilvl="6" w:tentative="0">
      <w:start w:val="1"/>
      <w:numFmt w:val="decimal"/>
      <w:lvlText w:val="%7."/>
      <w:lvlJc w:val="left"/>
      <w:pPr>
        <w:tabs>
          <w:tab w:val="left" w:pos="3136"/>
        </w:tabs>
        <w:ind w:left="3136" w:hanging="420"/>
      </w:pPr>
    </w:lvl>
    <w:lvl w:ilvl="7" w:tentative="0">
      <w:start w:val="1"/>
      <w:numFmt w:val="lowerLetter"/>
      <w:lvlText w:val="%8)"/>
      <w:lvlJc w:val="left"/>
      <w:pPr>
        <w:tabs>
          <w:tab w:val="left" w:pos="3556"/>
        </w:tabs>
        <w:ind w:left="3556" w:hanging="420"/>
      </w:pPr>
    </w:lvl>
    <w:lvl w:ilvl="8" w:tentative="0">
      <w:start w:val="1"/>
      <w:numFmt w:val="lowerRoman"/>
      <w:lvlText w:val="%9."/>
      <w:lvlJc w:val="right"/>
      <w:pPr>
        <w:tabs>
          <w:tab w:val="left" w:pos="3976"/>
        </w:tabs>
        <w:ind w:left="3976" w:hanging="420"/>
      </w:pPr>
    </w:lvl>
  </w:abstractNum>
  <w:num w:numId="1">
    <w:abstractNumId w:val="29"/>
  </w:num>
  <w:num w:numId="2">
    <w:abstractNumId w:val="35"/>
  </w:num>
  <w:num w:numId="3">
    <w:abstractNumId w:val="20"/>
  </w:num>
  <w:num w:numId="4">
    <w:abstractNumId w:val="42"/>
  </w:num>
  <w:num w:numId="5">
    <w:abstractNumId w:val="25"/>
  </w:num>
  <w:num w:numId="6">
    <w:abstractNumId w:val="38"/>
  </w:num>
  <w:num w:numId="7">
    <w:abstractNumId w:val="17"/>
  </w:num>
  <w:num w:numId="8">
    <w:abstractNumId w:val="9"/>
  </w:num>
  <w:num w:numId="9">
    <w:abstractNumId w:val="11"/>
  </w:num>
  <w:num w:numId="10">
    <w:abstractNumId w:val="28"/>
  </w:num>
  <w:num w:numId="11">
    <w:abstractNumId w:val="33"/>
  </w:num>
  <w:num w:numId="12">
    <w:abstractNumId w:val="13"/>
  </w:num>
  <w:num w:numId="13">
    <w:abstractNumId w:val="23"/>
  </w:num>
  <w:num w:numId="14">
    <w:abstractNumId w:val="18"/>
  </w:num>
  <w:num w:numId="15">
    <w:abstractNumId w:val="8"/>
  </w:num>
  <w:num w:numId="16">
    <w:abstractNumId w:val="34"/>
  </w:num>
  <w:num w:numId="17">
    <w:abstractNumId w:val="10"/>
  </w:num>
  <w:num w:numId="18">
    <w:abstractNumId w:val="1"/>
  </w:num>
  <w:num w:numId="19">
    <w:abstractNumId w:val="3"/>
  </w:num>
  <w:num w:numId="20">
    <w:abstractNumId w:val="16"/>
  </w:num>
  <w:num w:numId="21">
    <w:abstractNumId w:val="21"/>
  </w:num>
  <w:num w:numId="22">
    <w:abstractNumId w:val="26"/>
  </w:num>
  <w:num w:numId="23">
    <w:abstractNumId w:val="37"/>
  </w:num>
  <w:num w:numId="24">
    <w:abstractNumId w:val="6"/>
  </w:num>
  <w:num w:numId="25">
    <w:abstractNumId w:val="30"/>
  </w:num>
  <w:num w:numId="26">
    <w:abstractNumId w:val="24"/>
  </w:num>
  <w:num w:numId="27">
    <w:abstractNumId w:val="41"/>
  </w:num>
  <w:num w:numId="28">
    <w:abstractNumId w:val="40"/>
  </w:num>
  <w:num w:numId="29">
    <w:abstractNumId w:val="0"/>
  </w:num>
  <w:num w:numId="30">
    <w:abstractNumId w:val="12"/>
  </w:num>
  <w:num w:numId="31">
    <w:abstractNumId w:val="22"/>
  </w:num>
  <w:num w:numId="32">
    <w:abstractNumId w:val="4"/>
  </w:num>
  <w:num w:numId="33">
    <w:abstractNumId w:val="14"/>
  </w:num>
  <w:num w:numId="34">
    <w:abstractNumId w:val="32"/>
  </w:num>
  <w:num w:numId="35">
    <w:abstractNumId w:val="43"/>
  </w:num>
  <w:num w:numId="36">
    <w:abstractNumId w:val="2"/>
  </w:num>
  <w:num w:numId="37">
    <w:abstractNumId w:val="27"/>
  </w:num>
  <w:num w:numId="38">
    <w:abstractNumId w:val="31"/>
  </w:num>
  <w:num w:numId="39">
    <w:abstractNumId w:val="19"/>
  </w:num>
  <w:num w:numId="40">
    <w:abstractNumId w:val="5"/>
  </w:num>
  <w:num w:numId="41">
    <w:abstractNumId w:val="7"/>
  </w:num>
  <w:num w:numId="42">
    <w:abstractNumId w:val="15"/>
  </w:num>
  <w:num w:numId="43">
    <w:abstractNumId w:val="39"/>
  </w:num>
  <w:num w:numId="44">
    <w:abstractNumId w:val="44"/>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4345AA"/>
    <w:rsid w:val="2D434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24"/>
      <w:szCs w:val="20"/>
    </w:rPr>
  </w:style>
  <w:style w:type="paragraph" w:styleId="3">
    <w:name w:val="Body Text Indent"/>
    <w:basedOn w:val="1"/>
    <w:unhideWhenUsed/>
    <w:qFormat/>
    <w:uiPriority w:val="0"/>
    <w:pPr>
      <w:ind w:firstLine="640"/>
    </w:pPr>
    <w:rPr>
      <w:rFonts w:ascii="仿宋_GB2312" w:eastAsia="仿宋_GB2312"/>
      <w:sz w:val="32"/>
      <w:szCs w:val="20"/>
    </w:rPr>
  </w:style>
  <w:style w:type="paragraph" w:styleId="4">
    <w:name w:val="toc 3"/>
    <w:basedOn w:val="1"/>
    <w:next w:val="1"/>
    <w:semiHidden/>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style>
  <w:style w:type="paragraph" w:styleId="8">
    <w:name w:val="toc 2"/>
    <w:basedOn w:val="1"/>
    <w:next w:val="1"/>
    <w:semiHidden/>
    <w:qFormat/>
    <w:uiPriority w:val="0"/>
    <w:pPr>
      <w:ind w:left="420" w:leftChars="200"/>
    </w:p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page number"/>
    <w:basedOn w:val="11"/>
    <w:qFormat/>
    <w:uiPriority w:val="0"/>
  </w:style>
  <w:style w:type="character" w:customStyle="1" w:styleId="13">
    <w:name w:val="font01"/>
    <w:basedOn w:val="11"/>
    <w:qFormat/>
    <w:uiPriority w:val="0"/>
    <w:rPr>
      <w:rFonts w:hint="eastAsia" w:ascii="宋体" w:hAnsi="宋体" w:eastAsia="宋体" w:cs="宋体"/>
      <w:color w:val="000000"/>
      <w:sz w:val="22"/>
      <w:szCs w:val="22"/>
      <w:u w:val="none"/>
    </w:rPr>
  </w:style>
  <w:style w:type="paragraph" w:customStyle="1" w:styleId="14">
    <w:name w:val="样式 正文（首行缩进两字） + 宋体"/>
    <w:basedOn w:val="2"/>
    <w:qFormat/>
    <w:uiPriority w:val="0"/>
    <w:pPr>
      <w:ind w:firstLine="0" w:firstLineChars="0"/>
    </w:pPr>
    <w:rPr>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2021-08-17T03:14:00Z</dcterms:created>
  <dc:creator>忘川三千渡</dc:creator>
  <cp:lastModifiedBy>忘川三千渡</cp:lastModifiedBy>
  <dcterms:modified xsi:type="dcterms:W3CDTF">2021-08-17T03:14:51Z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