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32"/>
        <w:jc w:val="both"/>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w:t>
      </w:r>
    </w:p>
    <w:p>
      <w:pPr>
        <w:ind w:right="32"/>
        <w:jc w:val="both"/>
        <w:rPr>
          <w:rFonts w:ascii="宋体" w:hAnsi="宋体"/>
          <w:sz w:val="24"/>
        </w:rPr>
      </w:pPr>
      <w:r>
        <w:rPr>
          <w:rFonts w:hint="eastAsia" w:ascii="宋体" w:hAnsi="宋体"/>
          <w:sz w:val="28"/>
          <w:szCs w:val="28"/>
        </w:rPr>
        <w:t xml:space="preserve">                         </w:t>
      </w:r>
      <w:r>
        <w:rPr>
          <w:rFonts w:hint="eastAsia" w:ascii="宋体" w:hAnsi="宋体"/>
          <w:sz w:val="28"/>
          <w:szCs w:val="28"/>
          <w:lang w:val="en-US" w:eastAsia="zh-CN"/>
        </w:rPr>
        <w:t xml:space="preserve">      </w:t>
      </w:r>
      <w:r>
        <w:rPr>
          <w:rFonts w:hint="eastAsia" w:ascii="宋体" w:hAnsi="宋体"/>
          <w:sz w:val="28"/>
          <w:szCs w:val="28"/>
        </w:rPr>
        <w:t xml:space="preserve"> 预案编号：CX-YA-201811-Z-01</w:t>
      </w: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jc w:val="center"/>
        <w:rPr>
          <w:rFonts w:ascii="宋体" w:hAnsi="宋体"/>
          <w:b/>
          <w:sz w:val="44"/>
          <w:szCs w:val="44"/>
        </w:rPr>
      </w:pPr>
      <w:r>
        <w:rPr>
          <w:rFonts w:hint="eastAsia" w:ascii="宋体" w:hAnsi="宋体"/>
          <w:b/>
          <w:sz w:val="44"/>
          <w:szCs w:val="44"/>
        </w:rPr>
        <w:t>太仓市城厢镇</w:t>
      </w:r>
    </w:p>
    <w:p>
      <w:pPr>
        <w:jc w:val="center"/>
        <w:rPr>
          <w:rFonts w:ascii="宋体" w:hAnsi="宋体"/>
          <w:b/>
          <w:sz w:val="44"/>
          <w:szCs w:val="44"/>
        </w:rPr>
      </w:pPr>
    </w:p>
    <w:p>
      <w:pPr>
        <w:jc w:val="center"/>
        <w:rPr>
          <w:rFonts w:ascii="宋体" w:hAnsi="宋体"/>
          <w:b/>
          <w:sz w:val="44"/>
          <w:szCs w:val="44"/>
        </w:rPr>
      </w:pPr>
    </w:p>
    <w:p>
      <w:pPr>
        <w:jc w:val="center"/>
        <w:outlineLvl w:val="0"/>
        <w:rPr>
          <w:rFonts w:ascii="宋体" w:hAnsi="宋体"/>
          <w:b/>
          <w:w w:val="80"/>
          <w:sz w:val="44"/>
          <w:szCs w:val="44"/>
        </w:rPr>
      </w:pPr>
      <w:r>
        <w:rPr>
          <w:rFonts w:hint="eastAsia" w:ascii="宋体" w:hAnsi="宋体"/>
          <w:b/>
          <w:w w:val="80"/>
          <w:sz w:val="44"/>
          <w:szCs w:val="44"/>
        </w:rPr>
        <w:t>生产安全事故应急预案</w:t>
      </w:r>
    </w:p>
    <w:p>
      <w:pPr>
        <w:jc w:val="center"/>
        <w:rPr>
          <w:rFonts w:ascii="宋体" w:hAnsi="宋体"/>
          <w:sz w:val="44"/>
          <w:szCs w:val="44"/>
        </w:rPr>
      </w:pPr>
    </w:p>
    <w:p>
      <w:pPr>
        <w:jc w:val="center"/>
        <w:rPr>
          <w:rFonts w:ascii="宋体" w:hAnsi="宋体"/>
          <w:sz w:val="44"/>
          <w:szCs w:val="44"/>
        </w:rPr>
      </w:pPr>
    </w:p>
    <w:p>
      <w:pPr>
        <w:jc w:val="center"/>
        <w:rPr>
          <w:rFonts w:ascii="宋体" w:hAnsi="宋体"/>
          <w:sz w:val="44"/>
          <w:szCs w:val="44"/>
        </w:rPr>
      </w:pPr>
      <w:r>
        <w:rPr>
          <w:rFonts w:hint="eastAsia" w:ascii="宋体" w:hAnsi="宋体"/>
          <w:sz w:val="44"/>
          <w:szCs w:val="44"/>
        </w:rPr>
        <w:drawing>
          <wp:anchor distT="0" distB="0" distL="114300" distR="114300" simplePos="0" relativeHeight="251660288" behindDoc="0" locked="0" layoutInCell="1" allowOverlap="1">
            <wp:simplePos x="0" y="0"/>
            <wp:positionH relativeFrom="column">
              <wp:posOffset>1683385</wp:posOffset>
            </wp:positionH>
            <wp:positionV relativeFrom="paragraph">
              <wp:posOffset>518160</wp:posOffset>
            </wp:positionV>
            <wp:extent cx="1958340" cy="1557020"/>
            <wp:effectExtent l="0" t="0" r="3810" b="5080"/>
            <wp:wrapNone/>
            <wp:docPr id="235" name="图片 13" descr="应急救援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13" descr="应急救援标志"/>
                    <pic:cNvPicPr>
                      <a:picLocks noChangeAspect="1"/>
                    </pic:cNvPicPr>
                  </pic:nvPicPr>
                  <pic:blipFill>
                    <a:blip r:embed="rId23" cstate="print"/>
                    <a:stretch>
                      <a:fillRect/>
                    </a:stretch>
                  </pic:blipFill>
                  <pic:spPr>
                    <a:xfrm>
                      <a:off x="0" y="0"/>
                      <a:ext cx="1958340" cy="1557020"/>
                    </a:xfrm>
                    <a:prstGeom prst="rect">
                      <a:avLst/>
                    </a:prstGeom>
                    <a:noFill/>
                    <a:ln w="9525">
                      <a:noFill/>
                    </a:ln>
                  </pic:spPr>
                </pic:pic>
              </a:graphicData>
            </a:graphic>
          </wp:anchor>
        </w:drawing>
      </w:r>
    </w:p>
    <w:p>
      <w:pPr>
        <w:jc w:val="center"/>
        <w:rPr>
          <w:rFonts w:ascii="宋体" w:hAnsi="宋体"/>
          <w:sz w:val="44"/>
          <w:szCs w:val="44"/>
        </w:rPr>
      </w:pPr>
    </w:p>
    <w:p>
      <w:pPr>
        <w:jc w:val="center"/>
        <w:rPr>
          <w:rFonts w:ascii="宋体" w:hAnsi="宋体"/>
          <w:sz w:val="44"/>
          <w:szCs w:val="44"/>
        </w:rPr>
      </w:pPr>
    </w:p>
    <w:p>
      <w:pPr>
        <w:jc w:val="center"/>
        <w:rPr>
          <w:rFonts w:ascii="宋体" w:hAnsi="宋体"/>
          <w:sz w:val="44"/>
          <w:szCs w:val="44"/>
        </w:rPr>
      </w:pPr>
    </w:p>
    <w:p>
      <w:pPr>
        <w:spacing w:line="360" w:lineRule="auto"/>
        <w:rPr>
          <w:rFonts w:ascii="宋体" w:hAnsi="宋体"/>
          <w:sz w:val="28"/>
          <w:szCs w:val="28"/>
        </w:rPr>
      </w:pPr>
    </w:p>
    <w:p>
      <w:pPr>
        <w:spacing w:line="360" w:lineRule="auto"/>
        <w:rPr>
          <w:rFonts w:ascii="宋体" w:hAnsi="宋体"/>
          <w:sz w:val="28"/>
          <w:szCs w:val="28"/>
        </w:rPr>
      </w:pPr>
    </w:p>
    <w:p>
      <w:pPr>
        <w:spacing w:line="360" w:lineRule="auto"/>
        <w:rPr>
          <w:rFonts w:ascii="宋体" w:hAnsi="宋体"/>
          <w:sz w:val="28"/>
          <w:szCs w:val="28"/>
        </w:rPr>
      </w:pPr>
    </w:p>
    <w:p>
      <w:pPr>
        <w:spacing w:line="360" w:lineRule="auto"/>
        <w:rPr>
          <w:rFonts w:ascii="宋体" w:hAnsi="宋体"/>
          <w:sz w:val="28"/>
          <w:szCs w:val="28"/>
        </w:rPr>
      </w:pPr>
    </w:p>
    <w:p>
      <w:pPr>
        <w:spacing w:line="360" w:lineRule="auto"/>
        <w:rPr>
          <w:rFonts w:ascii="宋体" w:hAnsi="宋体"/>
          <w:sz w:val="28"/>
          <w:szCs w:val="28"/>
        </w:rPr>
      </w:pPr>
    </w:p>
    <w:p>
      <w:pPr>
        <w:spacing w:line="360" w:lineRule="auto"/>
        <w:ind w:right="25" w:rightChars="12"/>
        <w:jc w:val="center"/>
        <w:rPr>
          <w:rFonts w:ascii="宋体" w:hAnsi="宋体"/>
          <w:sz w:val="28"/>
          <w:szCs w:val="28"/>
        </w:rPr>
      </w:pPr>
      <w:r>
        <w:rPr>
          <w:rFonts w:hint="eastAsia" w:ascii="宋体" w:hAnsi="宋体"/>
          <w:sz w:val="28"/>
          <w:szCs w:val="28"/>
        </w:rPr>
        <w:t>太仓市城厢镇</w:t>
      </w:r>
      <w:bookmarkStart w:id="206" w:name="_GoBack"/>
      <w:bookmarkEnd w:id="206"/>
    </w:p>
    <w:p>
      <w:pPr>
        <w:spacing w:line="360" w:lineRule="auto"/>
        <w:ind w:right="25" w:rightChars="12"/>
        <w:jc w:val="center"/>
        <w:rPr>
          <w:rFonts w:ascii="宋体" w:hAnsi="宋体"/>
          <w:sz w:val="24"/>
        </w:rPr>
      </w:pPr>
    </w:p>
    <w:p>
      <w:pPr>
        <w:spacing w:line="360" w:lineRule="auto"/>
        <w:ind w:right="25" w:rightChars="12"/>
        <w:jc w:val="center"/>
        <w:rPr>
          <w:rFonts w:ascii="宋体" w:hAnsi="宋体"/>
          <w:sz w:val="24"/>
        </w:rPr>
      </w:pPr>
    </w:p>
    <w:p>
      <w:pPr>
        <w:spacing w:line="360" w:lineRule="auto"/>
        <w:jc w:val="center"/>
        <w:outlineLvl w:val="0"/>
        <w:rPr>
          <w:b/>
          <w:sz w:val="28"/>
          <w:szCs w:val="28"/>
        </w:rPr>
        <w:sectPr>
          <w:headerReference r:id="rId4" w:type="first"/>
          <w:headerReference r:id="rId3" w:type="default"/>
          <w:footerReference r:id="rId5" w:type="default"/>
          <w:pgSz w:w="11906" w:h="16838"/>
          <w:pgMar w:top="1440" w:right="1797" w:bottom="1440" w:left="1797" w:header="851" w:footer="992" w:gutter="0"/>
          <w:cols w:space="720" w:num="1"/>
          <w:titlePg/>
          <w:docGrid w:type="lines" w:linePitch="312" w:charSpace="0"/>
        </w:sectPr>
      </w:pPr>
      <w:bookmarkStart w:id="0" w:name="_Toc16370"/>
      <w:bookmarkStart w:id="1" w:name="_Toc16540"/>
      <w:bookmarkStart w:id="2" w:name="_Toc390959405"/>
    </w:p>
    <w:p>
      <w:pPr>
        <w:spacing w:line="360" w:lineRule="auto"/>
        <w:jc w:val="center"/>
        <w:outlineLvl w:val="0"/>
        <w:rPr>
          <w:b/>
          <w:sz w:val="28"/>
          <w:szCs w:val="28"/>
        </w:rPr>
      </w:pPr>
      <w:r>
        <w:rPr>
          <w:rFonts w:hint="eastAsia"/>
          <w:b/>
          <w:sz w:val="28"/>
          <w:szCs w:val="28"/>
        </w:rPr>
        <w:t>目   录</w:t>
      </w:r>
      <w:bookmarkEnd w:id="0"/>
      <w:bookmarkEnd w:id="1"/>
      <w:bookmarkEnd w:id="2"/>
    </w:p>
    <w:p>
      <w:pPr>
        <w:pStyle w:val="8"/>
        <w:tabs>
          <w:tab w:val="right" w:leader="dot" w:pos="8312"/>
        </w:tabs>
      </w:pPr>
      <w:r>
        <w:rPr>
          <w:rFonts w:hint="eastAsia"/>
          <w:sz w:val="28"/>
          <w:szCs w:val="28"/>
        </w:rPr>
        <w:fldChar w:fldCharType="begin"/>
      </w:r>
      <w:r>
        <w:rPr>
          <w:rFonts w:hint="eastAsia"/>
          <w:sz w:val="28"/>
          <w:szCs w:val="28"/>
        </w:rPr>
        <w:instrText xml:space="preserve">TOC \o "1-4" \h \u </w:instrText>
      </w:r>
      <w:r>
        <w:rPr>
          <w:rFonts w:hint="eastAsia"/>
          <w:sz w:val="28"/>
          <w:szCs w:val="28"/>
        </w:rPr>
        <w:fldChar w:fldCharType="separate"/>
      </w:r>
    </w:p>
    <w:p>
      <w:pPr>
        <w:pStyle w:val="8"/>
        <w:tabs>
          <w:tab w:val="right" w:leader="dot" w:pos="8312"/>
        </w:tabs>
      </w:pPr>
      <w:r>
        <w:fldChar w:fldCharType="begin"/>
      </w:r>
      <w:r>
        <w:instrText xml:space="preserve"> HYPERLINK \l "_Toc16484" </w:instrText>
      </w:r>
      <w:r>
        <w:fldChar w:fldCharType="separate"/>
      </w:r>
      <w:r>
        <w:rPr>
          <w:rFonts w:hint="eastAsia"/>
          <w:szCs w:val="28"/>
        </w:rPr>
        <w:t>1  总则</w:t>
      </w:r>
      <w:r>
        <w:tab/>
      </w:r>
      <w:r>
        <w:fldChar w:fldCharType="begin"/>
      </w:r>
      <w:r>
        <w:instrText xml:space="preserve"> PAGEREF _Toc16484 </w:instrText>
      </w:r>
      <w:r>
        <w:fldChar w:fldCharType="separate"/>
      </w:r>
      <w:r>
        <w:t>1</w:t>
      </w:r>
      <w:r>
        <w:fldChar w:fldCharType="end"/>
      </w:r>
      <w:r>
        <w:fldChar w:fldCharType="end"/>
      </w:r>
    </w:p>
    <w:p>
      <w:pPr>
        <w:pStyle w:val="10"/>
        <w:tabs>
          <w:tab w:val="right" w:leader="dot" w:pos="8312"/>
        </w:tabs>
      </w:pPr>
      <w:r>
        <w:fldChar w:fldCharType="begin"/>
      </w:r>
      <w:r>
        <w:instrText xml:space="preserve"> HYPERLINK \l "_Toc20709" </w:instrText>
      </w:r>
      <w:r>
        <w:fldChar w:fldCharType="separate"/>
      </w:r>
      <w:r>
        <w:rPr>
          <w:szCs w:val="28"/>
        </w:rPr>
        <w:t xml:space="preserve">1.1  </w:t>
      </w:r>
      <w:r>
        <w:rPr>
          <w:rFonts w:hint="eastAsia"/>
          <w:szCs w:val="28"/>
        </w:rPr>
        <w:t>编制目的</w:t>
      </w:r>
      <w:r>
        <w:tab/>
      </w:r>
      <w:r>
        <w:fldChar w:fldCharType="begin"/>
      </w:r>
      <w:r>
        <w:instrText xml:space="preserve"> PAGEREF _Toc20709 </w:instrText>
      </w:r>
      <w:r>
        <w:fldChar w:fldCharType="separate"/>
      </w:r>
      <w:r>
        <w:t>1</w:t>
      </w:r>
      <w:r>
        <w:fldChar w:fldCharType="end"/>
      </w:r>
      <w:r>
        <w:fldChar w:fldCharType="end"/>
      </w:r>
    </w:p>
    <w:p>
      <w:pPr>
        <w:pStyle w:val="10"/>
        <w:tabs>
          <w:tab w:val="right" w:leader="dot" w:pos="8312"/>
        </w:tabs>
      </w:pPr>
      <w:r>
        <w:fldChar w:fldCharType="begin"/>
      </w:r>
      <w:r>
        <w:instrText xml:space="preserve"> HYPERLINK \l "_Toc13125" </w:instrText>
      </w:r>
      <w:r>
        <w:fldChar w:fldCharType="separate"/>
      </w:r>
      <w:r>
        <w:rPr>
          <w:szCs w:val="28"/>
        </w:rPr>
        <w:t>1.</w:t>
      </w:r>
      <w:r>
        <w:rPr>
          <w:rFonts w:hint="eastAsia"/>
          <w:szCs w:val="28"/>
        </w:rPr>
        <w:t>2</w:t>
      </w:r>
      <w:r>
        <w:rPr>
          <w:szCs w:val="28"/>
        </w:rPr>
        <w:t xml:space="preserve">  </w:t>
      </w:r>
      <w:r>
        <w:rPr>
          <w:rFonts w:hint="eastAsia"/>
          <w:szCs w:val="28"/>
        </w:rPr>
        <w:t>编制依据</w:t>
      </w:r>
      <w:r>
        <w:tab/>
      </w:r>
      <w:r>
        <w:fldChar w:fldCharType="begin"/>
      </w:r>
      <w:r>
        <w:instrText xml:space="preserve"> PAGEREF _Toc13125 </w:instrText>
      </w:r>
      <w:r>
        <w:fldChar w:fldCharType="separate"/>
      </w:r>
      <w:r>
        <w:t>1</w:t>
      </w:r>
      <w:r>
        <w:fldChar w:fldCharType="end"/>
      </w:r>
      <w:r>
        <w:fldChar w:fldCharType="end"/>
      </w:r>
    </w:p>
    <w:p>
      <w:pPr>
        <w:pStyle w:val="10"/>
        <w:tabs>
          <w:tab w:val="right" w:leader="dot" w:pos="8312"/>
        </w:tabs>
      </w:pPr>
      <w:r>
        <w:fldChar w:fldCharType="begin"/>
      </w:r>
      <w:r>
        <w:instrText xml:space="preserve"> HYPERLINK \l "_Toc17966" </w:instrText>
      </w:r>
      <w:r>
        <w:fldChar w:fldCharType="separate"/>
      </w:r>
      <w:r>
        <w:rPr>
          <w:szCs w:val="28"/>
        </w:rPr>
        <w:t>1.</w:t>
      </w:r>
      <w:r>
        <w:rPr>
          <w:rFonts w:hint="eastAsia"/>
          <w:szCs w:val="28"/>
        </w:rPr>
        <w:t>3</w:t>
      </w:r>
      <w:r>
        <w:rPr>
          <w:szCs w:val="28"/>
        </w:rPr>
        <w:t xml:space="preserve">  </w:t>
      </w:r>
      <w:r>
        <w:rPr>
          <w:rFonts w:hint="eastAsia"/>
          <w:szCs w:val="28"/>
        </w:rPr>
        <w:t>生产安全事故定义及等级划分</w:t>
      </w:r>
      <w:r>
        <w:tab/>
      </w:r>
      <w:r>
        <w:fldChar w:fldCharType="begin"/>
      </w:r>
      <w:r>
        <w:instrText xml:space="preserve"> PAGEREF _Toc17966 </w:instrText>
      </w:r>
      <w:r>
        <w:fldChar w:fldCharType="separate"/>
      </w:r>
      <w:r>
        <w:t>2</w:t>
      </w:r>
      <w:r>
        <w:fldChar w:fldCharType="end"/>
      </w:r>
      <w:r>
        <w:fldChar w:fldCharType="end"/>
      </w:r>
    </w:p>
    <w:p>
      <w:pPr>
        <w:pStyle w:val="10"/>
        <w:tabs>
          <w:tab w:val="right" w:leader="dot" w:pos="8312"/>
        </w:tabs>
      </w:pPr>
      <w:r>
        <w:fldChar w:fldCharType="begin"/>
      </w:r>
      <w:r>
        <w:instrText xml:space="preserve"> HYPERLINK \l "_Toc15938" </w:instrText>
      </w:r>
      <w:r>
        <w:fldChar w:fldCharType="separate"/>
      </w:r>
      <w:r>
        <w:rPr>
          <w:szCs w:val="28"/>
        </w:rPr>
        <w:t>1.</w:t>
      </w:r>
      <w:r>
        <w:rPr>
          <w:rFonts w:hint="eastAsia"/>
          <w:szCs w:val="28"/>
        </w:rPr>
        <w:t>4</w:t>
      </w:r>
      <w:r>
        <w:rPr>
          <w:szCs w:val="28"/>
        </w:rPr>
        <w:t xml:space="preserve">  </w:t>
      </w:r>
      <w:r>
        <w:rPr>
          <w:rFonts w:hint="eastAsia"/>
          <w:szCs w:val="28"/>
        </w:rPr>
        <w:t>工作原则</w:t>
      </w:r>
      <w:r>
        <w:tab/>
      </w:r>
      <w:r>
        <w:fldChar w:fldCharType="begin"/>
      </w:r>
      <w:r>
        <w:instrText xml:space="preserve"> PAGEREF _Toc15938 </w:instrText>
      </w:r>
      <w:r>
        <w:fldChar w:fldCharType="separate"/>
      </w:r>
      <w:r>
        <w:t>4</w:t>
      </w:r>
      <w:r>
        <w:fldChar w:fldCharType="end"/>
      </w:r>
      <w:r>
        <w:fldChar w:fldCharType="end"/>
      </w:r>
    </w:p>
    <w:p>
      <w:pPr>
        <w:pStyle w:val="10"/>
        <w:tabs>
          <w:tab w:val="right" w:leader="dot" w:pos="8312"/>
        </w:tabs>
      </w:pPr>
      <w:r>
        <w:fldChar w:fldCharType="begin"/>
      </w:r>
      <w:r>
        <w:instrText xml:space="preserve"> HYPERLINK \l "_Toc26313" </w:instrText>
      </w:r>
      <w:r>
        <w:fldChar w:fldCharType="separate"/>
      </w:r>
      <w:r>
        <w:rPr>
          <w:rFonts w:hint="eastAsia"/>
          <w:szCs w:val="28"/>
        </w:rPr>
        <w:t>1.5  应急预案体系</w:t>
      </w:r>
      <w:r>
        <w:tab/>
      </w:r>
      <w:r>
        <w:fldChar w:fldCharType="begin"/>
      </w:r>
      <w:r>
        <w:instrText xml:space="preserve"> PAGEREF _Toc26313 </w:instrText>
      </w:r>
      <w:r>
        <w:fldChar w:fldCharType="separate"/>
      </w:r>
      <w:r>
        <w:t>4</w:t>
      </w:r>
      <w:r>
        <w:fldChar w:fldCharType="end"/>
      </w:r>
      <w:r>
        <w:fldChar w:fldCharType="end"/>
      </w:r>
    </w:p>
    <w:p>
      <w:pPr>
        <w:pStyle w:val="10"/>
        <w:tabs>
          <w:tab w:val="right" w:leader="dot" w:pos="8312"/>
        </w:tabs>
      </w:pPr>
      <w:r>
        <w:fldChar w:fldCharType="begin"/>
      </w:r>
      <w:r>
        <w:instrText xml:space="preserve"> HYPERLINK \l "_Toc4446" </w:instrText>
      </w:r>
      <w:r>
        <w:fldChar w:fldCharType="separate"/>
      </w:r>
      <w:r>
        <w:rPr>
          <w:rFonts w:hint="eastAsia"/>
          <w:szCs w:val="28"/>
        </w:rPr>
        <w:t>1.6  适用范围</w:t>
      </w:r>
      <w:r>
        <w:tab/>
      </w:r>
      <w:r>
        <w:fldChar w:fldCharType="begin"/>
      </w:r>
      <w:r>
        <w:instrText xml:space="preserve"> PAGEREF _Toc4446 </w:instrText>
      </w:r>
      <w:r>
        <w:fldChar w:fldCharType="separate"/>
      </w:r>
      <w:r>
        <w:t>5</w:t>
      </w:r>
      <w:r>
        <w:fldChar w:fldCharType="end"/>
      </w:r>
      <w:r>
        <w:fldChar w:fldCharType="end"/>
      </w:r>
    </w:p>
    <w:p>
      <w:pPr>
        <w:pStyle w:val="10"/>
        <w:tabs>
          <w:tab w:val="right" w:leader="dot" w:pos="8312"/>
        </w:tabs>
      </w:pPr>
      <w:r>
        <w:fldChar w:fldCharType="begin"/>
      </w:r>
      <w:r>
        <w:instrText xml:space="preserve"> HYPERLINK \l "_Toc25049" </w:instrText>
      </w:r>
      <w:r>
        <w:fldChar w:fldCharType="separate"/>
      </w:r>
      <w:r>
        <w:rPr>
          <w:szCs w:val="28"/>
        </w:rPr>
        <w:t>1.</w:t>
      </w:r>
      <w:r>
        <w:rPr>
          <w:rFonts w:hint="eastAsia"/>
          <w:szCs w:val="28"/>
        </w:rPr>
        <w:t>7</w:t>
      </w:r>
      <w:r>
        <w:rPr>
          <w:szCs w:val="28"/>
        </w:rPr>
        <w:t xml:space="preserve">  </w:t>
      </w:r>
      <w:r>
        <w:rPr>
          <w:rFonts w:hint="eastAsia"/>
          <w:szCs w:val="28"/>
        </w:rPr>
        <w:t>危险源识别</w:t>
      </w:r>
      <w:r>
        <w:tab/>
      </w:r>
      <w:r>
        <w:fldChar w:fldCharType="begin"/>
      </w:r>
      <w:r>
        <w:instrText xml:space="preserve"> PAGEREF _Toc25049 </w:instrText>
      </w:r>
      <w:r>
        <w:fldChar w:fldCharType="separate"/>
      </w:r>
      <w:r>
        <w:t>5</w:t>
      </w:r>
      <w:r>
        <w:fldChar w:fldCharType="end"/>
      </w:r>
      <w:r>
        <w:fldChar w:fldCharType="end"/>
      </w:r>
    </w:p>
    <w:p>
      <w:pPr>
        <w:pStyle w:val="8"/>
        <w:tabs>
          <w:tab w:val="right" w:leader="dot" w:pos="8312"/>
        </w:tabs>
      </w:pPr>
      <w:r>
        <w:fldChar w:fldCharType="begin"/>
      </w:r>
      <w:r>
        <w:instrText xml:space="preserve"> HYPERLINK \l "_Toc2474" </w:instrText>
      </w:r>
      <w:r>
        <w:fldChar w:fldCharType="separate"/>
      </w:r>
      <w:r>
        <w:rPr>
          <w:szCs w:val="28"/>
        </w:rPr>
        <w:t xml:space="preserve">2  </w:t>
      </w:r>
      <w:r>
        <w:rPr>
          <w:rFonts w:hint="eastAsia"/>
          <w:szCs w:val="28"/>
        </w:rPr>
        <w:t>组织指挥体系及职责</w:t>
      </w:r>
      <w:r>
        <w:tab/>
      </w:r>
      <w:r>
        <w:fldChar w:fldCharType="begin"/>
      </w:r>
      <w:r>
        <w:instrText xml:space="preserve"> PAGEREF _Toc2474 </w:instrText>
      </w:r>
      <w:r>
        <w:fldChar w:fldCharType="separate"/>
      </w:r>
      <w:r>
        <w:t>9</w:t>
      </w:r>
      <w:r>
        <w:fldChar w:fldCharType="end"/>
      </w:r>
      <w:r>
        <w:fldChar w:fldCharType="end"/>
      </w:r>
    </w:p>
    <w:p>
      <w:pPr>
        <w:pStyle w:val="10"/>
        <w:tabs>
          <w:tab w:val="right" w:leader="dot" w:pos="8312"/>
        </w:tabs>
      </w:pPr>
      <w:r>
        <w:fldChar w:fldCharType="begin"/>
      </w:r>
      <w:r>
        <w:instrText xml:space="preserve"> HYPERLINK \l "_Toc26780" </w:instrText>
      </w:r>
      <w:r>
        <w:fldChar w:fldCharType="separate"/>
      </w:r>
      <w:r>
        <w:rPr>
          <w:szCs w:val="28"/>
        </w:rPr>
        <w:t xml:space="preserve">2.1   </w:t>
      </w:r>
      <w:r>
        <w:rPr>
          <w:rFonts w:hint="eastAsia"/>
          <w:szCs w:val="28"/>
        </w:rPr>
        <w:t>应急组织机构与职责</w:t>
      </w:r>
      <w:r>
        <w:tab/>
      </w:r>
      <w:r>
        <w:fldChar w:fldCharType="begin"/>
      </w:r>
      <w:r>
        <w:instrText xml:space="preserve"> PAGEREF _Toc26780 </w:instrText>
      </w:r>
      <w:r>
        <w:fldChar w:fldCharType="separate"/>
      </w:r>
      <w:r>
        <w:t>9</w:t>
      </w:r>
      <w:r>
        <w:fldChar w:fldCharType="end"/>
      </w:r>
      <w:r>
        <w:fldChar w:fldCharType="end"/>
      </w:r>
    </w:p>
    <w:p>
      <w:pPr>
        <w:pStyle w:val="5"/>
        <w:tabs>
          <w:tab w:val="right" w:leader="dot" w:pos="8312"/>
        </w:tabs>
      </w:pPr>
      <w:r>
        <w:fldChar w:fldCharType="begin"/>
      </w:r>
      <w:r>
        <w:instrText xml:space="preserve"> HYPERLINK \l "_Toc8704" </w:instrText>
      </w:r>
      <w:r>
        <w:fldChar w:fldCharType="separate"/>
      </w:r>
      <w:r>
        <w:rPr>
          <w:rFonts w:hint="eastAsia"/>
          <w:szCs w:val="28"/>
        </w:rPr>
        <w:t>2.1.2  应急机构职责</w:t>
      </w:r>
      <w:r>
        <w:tab/>
      </w:r>
      <w:r>
        <w:fldChar w:fldCharType="begin"/>
      </w:r>
      <w:r>
        <w:instrText xml:space="preserve"> PAGEREF _Toc8704 </w:instrText>
      </w:r>
      <w:r>
        <w:fldChar w:fldCharType="separate"/>
      </w:r>
      <w:r>
        <w:t>9</w:t>
      </w:r>
      <w:r>
        <w:fldChar w:fldCharType="end"/>
      </w:r>
      <w:r>
        <w:fldChar w:fldCharType="end"/>
      </w:r>
    </w:p>
    <w:p>
      <w:pPr>
        <w:pStyle w:val="8"/>
        <w:tabs>
          <w:tab w:val="right" w:leader="dot" w:pos="8312"/>
        </w:tabs>
      </w:pPr>
      <w:r>
        <w:fldChar w:fldCharType="begin"/>
      </w:r>
      <w:r>
        <w:instrText xml:space="preserve"> HYPERLINK \l "_Toc15297" </w:instrText>
      </w:r>
      <w:r>
        <w:fldChar w:fldCharType="separate"/>
      </w:r>
      <w:r>
        <w:rPr>
          <w:rFonts w:hint="eastAsia"/>
          <w:szCs w:val="28"/>
        </w:rPr>
        <w:t>3  预警和预防机制</w:t>
      </w:r>
      <w:r>
        <w:tab/>
      </w:r>
      <w:r>
        <w:fldChar w:fldCharType="begin"/>
      </w:r>
      <w:r>
        <w:instrText xml:space="preserve"> PAGEREF _Toc15297 </w:instrText>
      </w:r>
      <w:r>
        <w:fldChar w:fldCharType="separate"/>
      </w:r>
      <w:r>
        <w:t>14</w:t>
      </w:r>
      <w:r>
        <w:fldChar w:fldCharType="end"/>
      </w:r>
      <w:r>
        <w:fldChar w:fldCharType="end"/>
      </w:r>
    </w:p>
    <w:p>
      <w:pPr>
        <w:pStyle w:val="10"/>
        <w:tabs>
          <w:tab w:val="right" w:leader="dot" w:pos="8312"/>
        </w:tabs>
      </w:pPr>
      <w:r>
        <w:fldChar w:fldCharType="begin"/>
      </w:r>
      <w:r>
        <w:instrText xml:space="preserve"> HYPERLINK \l "_Toc217" </w:instrText>
      </w:r>
      <w:r>
        <w:fldChar w:fldCharType="separate"/>
      </w:r>
      <w:r>
        <w:rPr>
          <w:rFonts w:hint="eastAsia"/>
          <w:szCs w:val="28"/>
        </w:rPr>
        <w:t>3.1  信息监控</w:t>
      </w:r>
      <w:r>
        <w:tab/>
      </w:r>
      <w:r>
        <w:fldChar w:fldCharType="begin"/>
      </w:r>
      <w:r>
        <w:instrText xml:space="preserve"> PAGEREF _Toc217 </w:instrText>
      </w:r>
      <w:r>
        <w:fldChar w:fldCharType="separate"/>
      </w:r>
      <w:r>
        <w:t>14</w:t>
      </w:r>
      <w:r>
        <w:fldChar w:fldCharType="end"/>
      </w:r>
      <w:r>
        <w:fldChar w:fldCharType="end"/>
      </w:r>
    </w:p>
    <w:p>
      <w:pPr>
        <w:pStyle w:val="10"/>
        <w:tabs>
          <w:tab w:val="right" w:leader="dot" w:pos="8312"/>
        </w:tabs>
      </w:pPr>
      <w:r>
        <w:fldChar w:fldCharType="begin"/>
      </w:r>
      <w:r>
        <w:instrText xml:space="preserve"> HYPERLINK \l "_Toc7867" </w:instrText>
      </w:r>
      <w:r>
        <w:fldChar w:fldCharType="separate"/>
      </w:r>
      <w:r>
        <w:rPr>
          <w:szCs w:val="28"/>
        </w:rPr>
        <w:t xml:space="preserve">3.2  </w:t>
      </w:r>
      <w:r>
        <w:rPr>
          <w:rFonts w:hint="eastAsia"/>
          <w:szCs w:val="28"/>
        </w:rPr>
        <w:t>预警预防行动</w:t>
      </w:r>
      <w:r>
        <w:tab/>
      </w:r>
      <w:r>
        <w:fldChar w:fldCharType="begin"/>
      </w:r>
      <w:r>
        <w:instrText xml:space="preserve"> PAGEREF _Toc7867 </w:instrText>
      </w:r>
      <w:r>
        <w:fldChar w:fldCharType="separate"/>
      </w:r>
      <w:r>
        <w:t>14</w:t>
      </w:r>
      <w:r>
        <w:fldChar w:fldCharType="end"/>
      </w:r>
      <w:r>
        <w:fldChar w:fldCharType="end"/>
      </w:r>
    </w:p>
    <w:p>
      <w:pPr>
        <w:pStyle w:val="10"/>
        <w:tabs>
          <w:tab w:val="right" w:leader="dot" w:pos="8312"/>
        </w:tabs>
        <w:rPr>
          <w:rFonts w:hint="eastAsia" w:eastAsia="宋体"/>
          <w:lang w:val="en-US" w:eastAsia="zh-CN"/>
        </w:rPr>
      </w:pPr>
      <w:r>
        <w:fldChar w:fldCharType="begin"/>
      </w:r>
      <w:r>
        <w:instrText xml:space="preserve"> HYPERLINK \l "_Toc11652" </w:instrText>
      </w:r>
      <w:r>
        <w:fldChar w:fldCharType="separate"/>
      </w:r>
      <w:r>
        <w:rPr>
          <w:szCs w:val="28"/>
        </w:rPr>
        <w:t xml:space="preserve">3.3  </w:t>
      </w:r>
      <w:r>
        <w:rPr>
          <w:rFonts w:hint="eastAsia"/>
          <w:szCs w:val="28"/>
        </w:rPr>
        <w:t>预警级别与发布</w:t>
      </w:r>
      <w:r>
        <w:tab/>
      </w:r>
      <w:r>
        <w:rPr>
          <w:rFonts w:hint="eastAsia"/>
          <w:lang w:val="en-US" w:eastAsia="zh-CN"/>
        </w:rPr>
        <w:t>1</w:t>
      </w:r>
      <w:r>
        <w:fldChar w:fldCharType="end"/>
      </w:r>
      <w:r>
        <w:rPr>
          <w:rFonts w:hint="eastAsia"/>
          <w:lang w:val="en-US" w:eastAsia="zh-CN"/>
        </w:rPr>
        <w:t>4</w:t>
      </w:r>
    </w:p>
    <w:p>
      <w:pPr>
        <w:pStyle w:val="5"/>
        <w:tabs>
          <w:tab w:val="right" w:leader="dot" w:pos="8312"/>
        </w:tabs>
        <w:rPr>
          <w:rFonts w:hint="eastAsia" w:eastAsia="宋体"/>
          <w:lang w:val="en-US" w:eastAsia="zh-CN"/>
        </w:rPr>
      </w:pPr>
      <w:r>
        <w:fldChar w:fldCharType="begin"/>
      </w:r>
      <w:r>
        <w:instrText xml:space="preserve"> HYPERLINK \l "_Toc30734" </w:instrText>
      </w:r>
      <w:r>
        <w:fldChar w:fldCharType="separate"/>
      </w:r>
      <w:r>
        <w:rPr>
          <w:szCs w:val="28"/>
        </w:rPr>
        <w:t xml:space="preserve">3.3.1  </w:t>
      </w:r>
      <w:r>
        <w:rPr>
          <w:rFonts w:hint="eastAsia"/>
          <w:szCs w:val="28"/>
        </w:rPr>
        <w:t>预警级别</w:t>
      </w:r>
      <w:r>
        <w:tab/>
      </w:r>
      <w:r>
        <w:rPr>
          <w:rFonts w:hint="eastAsia"/>
          <w:lang w:val="en-US" w:eastAsia="zh-CN"/>
        </w:rPr>
        <w:t>1</w:t>
      </w:r>
      <w:r>
        <w:fldChar w:fldCharType="end"/>
      </w:r>
      <w:r>
        <w:rPr>
          <w:rFonts w:hint="eastAsia"/>
          <w:lang w:val="en-US" w:eastAsia="zh-CN"/>
        </w:rPr>
        <w:t>4</w:t>
      </w:r>
    </w:p>
    <w:p>
      <w:pPr>
        <w:pStyle w:val="5"/>
        <w:tabs>
          <w:tab w:val="right" w:leader="dot" w:pos="8312"/>
        </w:tabs>
        <w:rPr>
          <w:rFonts w:hint="eastAsia" w:eastAsia="宋体"/>
          <w:lang w:val="en-US" w:eastAsia="zh-CN"/>
        </w:rPr>
      </w:pPr>
      <w:r>
        <w:fldChar w:fldCharType="begin"/>
      </w:r>
      <w:r>
        <w:instrText xml:space="preserve"> HYPERLINK \l "_Toc25391" </w:instrText>
      </w:r>
      <w:r>
        <w:fldChar w:fldCharType="separate"/>
      </w:r>
      <w:r>
        <w:rPr>
          <w:szCs w:val="28"/>
        </w:rPr>
        <w:t xml:space="preserve">3.3.2  </w:t>
      </w:r>
      <w:r>
        <w:rPr>
          <w:rFonts w:hint="eastAsia"/>
          <w:szCs w:val="28"/>
        </w:rPr>
        <w:t>预警信息发布</w:t>
      </w:r>
      <w:r>
        <w:tab/>
      </w:r>
      <w:r>
        <w:rPr>
          <w:rFonts w:hint="eastAsia"/>
          <w:lang w:val="en-US" w:eastAsia="zh-CN"/>
        </w:rPr>
        <w:t>1</w:t>
      </w:r>
      <w:r>
        <w:fldChar w:fldCharType="end"/>
      </w:r>
      <w:r>
        <w:rPr>
          <w:rFonts w:hint="eastAsia"/>
          <w:lang w:val="en-US" w:eastAsia="zh-CN"/>
        </w:rPr>
        <w:t>4</w:t>
      </w:r>
    </w:p>
    <w:p>
      <w:pPr>
        <w:pStyle w:val="5"/>
        <w:tabs>
          <w:tab w:val="right" w:leader="dot" w:pos="8312"/>
        </w:tabs>
      </w:pPr>
      <w:r>
        <w:fldChar w:fldCharType="begin"/>
      </w:r>
      <w:r>
        <w:instrText xml:space="preserve"> HYPERLINK \l "_Toc29498" </w:instrText>
      </w:r>
      <w:r>
        <w:fldChar w:fldCharType="separate"/>
      </w:r>
      <w:r>
        <w:rPr>
          <w:szCs w:val="28"/>
        </w:rPr>
        <w:t xml:space="preserve">3.3.3  </w:t>
      </w:r>
      <w:r>
        <w:rPr>
          <w:rFonts w:hint="eastAsia"/>
          <w:szCs w:val="28"/>
        </w:rPr>
        <w:t>预警级别调整</w:t>
      </w:r>
      <w:r>
        <w:tab/>
      </w:r>
      <w:r>
        <w:fldChar w:fldCharType="begin"/>
      </w:r>
      <w:r>
        <w:instrText xml:space="preserve"> PAGEREF _Toc29498 </w:instrText>
      </w:r>
      <w:r>
        <w:fldChar w:fldCharType="separate"/>
      </w:r>
      <w:r>
        <w:t>15</w:t>
      </w:r>
      <w:r>
        <w:fldChar w:fldCharType="end"/>
      </w:r>
      <w:r>
        <w:fldChar w:fldCharType="end"/>
      </w:r>
    </w:p>
    <w:p>
      <w:pPr>
        <w:pStyle w:val="8"/>
        <w:tabs>
          <w:tab w:val="right" w:leader="dot" w:pos="8312"/>
        </w:tabs>
      </w:pPr>
      <w:r>
        <w:fldChar w:fldCharType="begin"/>
      </w:r>
      <w:r>
        <w:instrText xml:space="preserve"> HYPERLINK \l "_Toc31169" </w:instrText>
      </w:r>
      <w:r>
        <w:fldChar w:fldCharType="separate"/>
      </w:r>
      <w:r>
        <w:rPr>
          <w:szCs w:val="28"/>
        </w:rPr>
        <w:t xml:space="preserve">4  </w:t>
      </w:r>
      <w:r>
        <w:rPr>
          <w:rFonts w:hint="eastAsia"/>
          <w:szCs w:val="28"/>
        </w:rPr>
        <w:t>应急响应</w:t>
      </w:r>
      <w:r>
        <w:tab/>
      </w:r>
      <w:r>
        <w:fldChar w:fldCharType="begin"/>
      </w:r>
      <w:r>
        <w:instrText xml:space="preserve"> PAGEREF _Toc31169 </w:instrText>
      </w:r>
      <w:r>
        <w:fldChar w:fldCharType="separate"/>
      </w:r>
      <w:r>
        <w:t>16</w:t>
      </w:r>
      <w:r>
        <w:fldChar w:fldCharType="end"/>
      </w:r>
      <w:r>
        <w:fldChar w:fldCharType="end"/>
      </w:r>
    </w:p>
    <w:p>
      <w:pPr>
        <w:pStyle w:val="10"/>
        <w:tabs>
          <w:tab w:val="right" w:leader="dot" w:pos="8312"/>
        </w:tabs>
      </w:pPr>
      <w:r>
        <w:fldChar w:fldCharType="begin"/>
      </w:r>
      <w:r>
        <w:instrText xml:space="preserve"> HYPERLINK \l "_Toc363" </w:instrText>
      </w:r>
      <w:r>
        <w:fldChar w:fldCharType="separate"/>
      </w:r>
      <w:r>
        <w:rPr>
          <w:szCs w:val="28"/>
        </w:rPr>
        <w:t xml:space="preserve">4.1  </w:t>
      </w:r>
      <w:r>
        <w:rPr>
          <w:rFonts w:hint="eastAsia"/>
          <w:szCs w:val="28"/>
        </w:rPr>
        <w:t>分级响应程序</w:t>
      </w:r>
      <w:r>
        <w:tab/>
      </w:r>
      <w:r>
        <w:fldChar w:fldCharType="begin"/>
      </w:r>
      <w:r>
        <w:instrText xml:space="preserve"> PAGEREF _Toc363 </w:instrText>
      </w:r>
      <w:r>
        <w:fldChar w:fldCharType="separate"/>
      </w:r>
      <w:r>
        <w:t>16</w:t>
      </w:r>
      <w:r>
        <w:fldChar w:fldCharType="end"/>
      </w:r>
      <w:r>
        <w:fldChar w:fldCharType="end"/>
      </w:r>
    </w:p>
    <w:p>
      <w:pPr>
        <w:pStyle w:val="5"/>
        <w:tabs>
          <w:tab w:val="right" w:leader="dot" w:pos="8312"/>
        </w:tabs>
      </w:pPr>
      <w:r>
        <w:fldChar w:fldCharType="begin"/>
      </w:r>
      <w:r>
        <w:instrText xml:space="preserve"> HYPERLINK \l "_Toc6947" </w:instrText>
      </w:r>
      <w:r>
        <w:fldChar w:fldCharType="separate"/>
      </w:r>
      <w:r>
        <w:rPr>
          <w:szCs w:val="28"/>
        </w:rPr>
        <w:t xml:space="preserve">4.1.1  </w:t>
      </w:r>
      <w:r>
        <w:rPr>
          <w:rFonts w:hint="eastAsia"/>
          <w:szCs w:val="28"/>
        </w:rPr>
        <w:t>响应分级</w:t>
      </w:r>
      <w:r>
        <w:tab/>
      </w:r>
      <w:r>
        <w:fldChar w:fldCharType="begin"/>
      </w:r>
      <w:r>
        <w:instrText xml:space="preserve"> PAGEREF _Toc6947 </w:instrText>
      </w:r>
      <w:r>
        <w:fldChar w:fldCharType="separate"/>
      </w:r>
      <w:r>
        <w:t>16</w:t>
      </w:r>
      <w:r>
        <w:fldChar w:fldCharType="end"/>
      </w:r>
      <w:r>
        <w:fldChar w:fldCharType="end"/>
      </w:r>
    </w:p>
    <w:p>
      <w:pPr>
        <w:pStyle w:val="5"/>
        <w:tabs>
          <w:tab w:val="right" w:leader="dot" w:pos="8312"/>
        </w:tabs>
      </w:pPr>
      <w:r>
        <w:fldChar w:fldCharType="begin"/>
      </w:r>
      <w:r>
        <w:instrText xml:space="preserve"> HYPERLINK \l "_Toc29831" </w:instrText>
      </w:r>
      <w:r>
        <w:fldChar w:fldCharType="separate"/>
      </w:r>
      <w:r>
        <w:rPr>
          <w:szCs w:val="28"/>
        </w:rPr>
        <w:t>4.1</w:t>
      </w:r>
      <w:r>
        <w:rPr>
          <w:rFonts w:hint="eastAsia"/>
          <w:szCs w:val="28"/>
        </w:rPr>
        <w:t>.2</w:t>
      </w:r>
      <w:r>
        <w:rPr>
          <w:szCs w:val="28"/>
        </w:rPr>
        <w:t xml:space="preserve">  </w:t>
      </w:r>
      <w:r>
        <w:rPr>
          <w:rFonts w:hint="eastAsia"/>
          <w:szCs w:val="28"/>
        </w:rPr>
        <w:t>响应程序</w:t>
      </w:r>
      <w:r>
        <w:tab/>
      </w:r>
      <w:r>
        <w:fldChar w:fldCharType="begin"/>
      </w:r>
      <w:r>
        <w:instrText xml:space="preserve"> PAGEREF _Toc29831 </w:instrText>
      </w:r>
      <w:r>
        <w:fldChar w:fldCharType="separate"/>
      </w:r>
      <w:r>
        <w:t>17</w:t>
      </w:r>
      <w:r>
        <w:fldChar w:fldCharType="end"/>
      </w:r>
      <w:r>
        <w:fldChar w:fldCharType="end"/>
      </w:r>
    </w:p>
    <w:p>
      <w:pPr>
        <w:pStyle w:val="10"/>
        <w:tabs>
          <w:tab w:val="right" w:leader="dot" w:pos="8312"/>
        </w:tabs>
      </w:pPr>
      <w:r>
        <w:fldChar w:fldCharType="begin"/>
      </w:r>
      <w:r>
        <w:instrText xml:space="preserve"> HYPERLINK \l "_Toc2726" </w:instrText>
      </w:r>
      <w:r>
        <w:fldChar w:fldCharType="separate"/>
      </w:r>
      <w:r>
        <w:rPr>
          <w:szCs w:val="28"/>
        </w:rPr>
        <w:t xml:space="preserve">4.2  </w:t>
      </w:r>
      <w:r>
        <w:rPr>
          <w:rFonts w:hint="eastAsia"/>
          <w:szCs w:val="28"/>
        </w:rPr>
        <w:t>指挥与协调</w:t>
      </w:r>
      <w:r>
        <w:tab/>
      </w:r>
      <w:r>
        <w:fldChar w:fldCharType="begin"/>
      </w:r>
      <w:r>
        <w:instrText xml:space="preserve"> PAGEREF _Toc2726 </w:instrText>
      </w:r>
      <w:r>
        <w:fldChar w:fldCharType="separate"/>
      </w:r>
      <w:r>
        <w:t>18</w:t>
      </w:r>
      <w:r>
        <w:fldChar w:fldCharType="end"/>
      </w:r>
      <w:r>
        <w:fldChar w:fldCharType="end"/>
      </w:r>
    </w:p>
    <w:p>
      <w:pPr>
        <w:pStyle w:val="10"/>
        <w:tabs>
          <w:tab w:val="right" w:leader="dot" w:pos="8312"/>
        </w:tabs>
        <w:rPr>
          <w:rFonts w:hint="eastAsia" w:eastAsia="宋体"/>
          <w:lang w:val="en-US" w:eastAsia="zh-CN"/>
        </w:rPr>
      </w:pPr>
      <w:r>
        <w:fldChar w:fldCharType="begin"/>
      </w:r>
      <w:r>
        <w:instrText xml:space="preserve"> HYPERLINK \l "_Toc24475" </w:instrText>
      </w:r>
      <w:r>
        <w:fldChar w:fldCharType="separate"/>
      </w:r>
      <w:r>
        <w:rPr>
          <w:szCs w:val="28"/>
        </w:rPr>
        <w:t xml:space="preserve">4.3  </w:t>
      </w:r>
      <w:r>
        <w:rPr>
          <w:rFonts w:hint="eastAsia"/>
          <w:szCs w:val="28"/>
        </w:rPr>
        <w:t>各类生产安全事故的应急处置</w:t>
      </w:r>
      <w:r>
        <w:tab/>
      </w:r>
      <w:r>
        <w:rPr>
          <w:rFonts w:hint="eastAsia"/>
          <w:lang w:val="en-US" w:eastAsia="zh-CN"/>
        </w:rPr>
        <w:t>1</w:t>
      </w:r>
      <w:r>
        <w:fldChar w:fldCharType="end"/>
      </w:r>
      <w:r>
        <w:rPr>
          <w:rFonts w:hint="eastAsia"/>
          <w:lang w:val="en-US" w:eastAsia="zh-CN"/>
        </w:rPr>
        <w:t>9</w:t>
      </w:r>
    </w:p>
    <w:p>
      <w:pPr>
        <w:pStyle w:val="5"/>
        <w:tabs>
          <w:tab w:val="right" w:leader="dot" w:pos="8312"/>
        </w:tabs>
        <w:rPr>
          <w:rFonts w:hint="eastAsia" w:eastAsia="宋体"/>
          <w:lang w:val="en-US" w:eastAsia="zh-CN"/>
        </w:rPr>
      </w:pPr>
      <w:r>
        <w:fldChar w:fldCharType="begin"/>
      </w:r>
      <w:r>
        <w:instrText xml:space="preserve"> HYPERLINK \l "_Toc24627" </w:instrText>
      </w:r>
      <w:r>
        <w:fldChar w:fldCharType="separate"/>
      </w:r>
      <w:r>
        <w:rPr>
          <w:rFonts w:hint="eastAsia"/>
          <w:szCs w:val="28"/>
        </w:rPr>
        <w:t>4.3.1  事故类型</w:t>
      </w:r>
      <w:r>
        <w:tab/>
      </w:r>
      <w:r>
        <w:rPr>
          <w:rFonts w:hint="eastAsia"/>
          <w:lang w:val="en-US" w:eastAsia="zh-CN"/>
        </w:rPr>
        <w:t>1</w:t>
      </w:r>
      <w:r>
        <w:fldChar w:fldCharType="end"/>
      </w:r>
      <w:r>
        <w:rPr>
          <w:rFonts w:hint="eastAsia"/>
          <w:lang w:val="en-US" w:eastAsia="zh-CN"/>
        </w:rPr>
        <w:t>9</w:t>
      </w:r>
    </w:p>
    <w:p>
      <w:pPr>
        <w:pStyle w:val="5"/>
        <w:tabs>
          <w:tab w:val="right" w:leader="dot" w:pos="8312"/>
        </w:tabs>
        <w:rPr>
          <w:rFonts w:hint="eastAsia" w:eastAsia="宋体"/>
          <w:lang w:val="en-US" w:eastAsia="zh-CN"/>
        </w:rPr>
      </w:pPr>
      <w:r>
        <w:fldChar w:fldCharType="begin"/>
      </w:r>
      <w:r>
        <w:instrText xml:space="preserve"> HYPERLINK \l "_Toc20402" </w:instrText>
      </w:r>
      <w:r>
        <w:fldChar w:fldCharType="separate"/>
      </w:r>
      <w:r>
        <w:rPr>
          <w:rFonts w:hint="eastAsia"/>
          <w:szCs w:val="28"/>
        </w:rPr>
        <w:t>4.3.2  危险化学品事故处置要点</w:t>
      </w:r>
      <w:r>
        <w:tab/>
      </w:r>
      <w:r>
        <w:rPr>
          <w:rFonts w:hint="eastAsia"/>
          <w:lang w:val="en-US" w:eastAsia="zh-CN"/>
        </w:rPr>
        <w:t>2</w:t>
      </w:r>
      <w:r>
        <w:fldChar w:fldCharType="end"/>
      </w:r>
      <w:r>
        <w:rPr>
          <w:rFonts w:hint="eastAsia"/>
          <w:lang w:val="en-US" w:eastAsia="zh-CN"/>
        </w:rPr>
        <w:t>0</w:t>
      </w:r>
    </w:p>
    <w:p>
      <w:pPr>
        <w:pStyle w:val="9"/>
        <w:tabs>
          <w:tab w:val="right" w:leader="dot" w:pos="8312"/>
        </w:tabs>
        <w:rPr>
          <w:rFonts w:hint="eastAsia" w:eastAsia="宋体"/>
          <w:lang w:val="en-US" w:eastAsia="zh-CN"/>
        </w:rPr>
      </w:pPr>
      <w:r>
        <w:fldChar w:fldCharType="begin"/>
      </w:r>
      <w:r>
        <w:instrText xml:space="preserve"> HYPERLINK \l "_Toc7760" </w:instrText>
      </w:r>
      <w:r>
        <w:fldChar w:fldCharType="separate"/>
      </w:r>
      <w:r>
        <w:rPr>
          <w:rFonts w:hint="eastAsia" w:ascii="宋体" w:hAnsi="宋体"/>
          <w:bCs/>
        </w:rPr>
        <w:t>4.3.2.1化学品泄漏（中毒）事故处置要点</w:t>
      </w:r>
      <w:r>
        <w:tab/>
      </w:r>
      <w:r>
        <w:rPr>
          <w:rFonts w:hint="eastAsia"/>
          <w:lang w:val="en-US" w:eastAsia="zh-CN"/>
        </w:rPr>
        <w:t>2</w:t>
      </w:r>
      <w:r>
        <w:fldChar w:fldCharType="end"/>
      </w:r>
      <w:r>
        <w:rPr>
          <w:rFonts w:hint="eastAsia"/>
          <w:lang w:val="en-US" w:eastAsia="zh-CN"/>
        </w:rPr>
        <w:t>0</w:t>
      </w:r>
    </w:p>
    <w:p>
      <w:pPr>
        <w:pStyle w:val="9"/>
        <w:tabs>
          <w:tab w:val="right" w:leader="dot" w:pos="8312"/>
        </w:tabs>
        <w:rPr>
          <w:rFonts w:hint="eastAsia" w:eastAsia="宋体"/>
          <w:lang w:val="en-US" w:eastAsia="zh-CN"/>
        </w:rPr>
      </w:pPr>
      <w:r>
        <w:fldChar w:fldCharType="begin"/>
      </w:r>
      <w:r>
        <w:instrText xml:space="preserve"> HYPERLINK \l "_Toc18521" </w:instrText>
      </w:r>
      <w:r>
        <w:fldChar w:fldCharType="separate"/>
      </w:r>
      <w:r>
        <w:rPr>
          <w:rFonts w:hint="eastAsia" w:ascii="宋体" w:hAnsi="宋体"/>
          <w:bCs/>
        </w:rPr>
        <w:t>4.3.2.2火灾事故处置要点</w:t>
      </w:r>
      <w:r>
        <w:tab/>
      </w:r>
      <w:r>
        <w:rPr>
          <w:rFonts w:hint="eastAsia"/>
          <w:lang w:val="en-US" w:eastAsia="zh-CN"/>
        </w:rPr>
        <w:t>2</w:t>
      </w:r>
      <w:r>
        <w:fldChar w:fldCharType="end"/>
      </w:r>
      <w:r>
        <w:rPr>
          <w:rFonts w:hint="eastAsia"/>
          <w:lang w:val="en-US" w:eastAsia="zh-CN"/>
        </w:rPr>
        <w:t>1</w:t>
      </w:r>
    </w:p>
    <w:p>
      <w:pPr>
        <w:pStyle w:val="9"/>
        <w:tabs>
          <w:tab w:val="right" w:leader="dot" w:pos="8312"/>
        </w:tabs>
        <w:rPr>
          <w:rFonts w:hint="eastAsia" w:eastAsia="宋体"/>
          <w:lang w:val="en-US" w:eastAsia="zh-CN"/>
        </w:rPr>
      </w:pPr>
      <w:r>
        <w:fldChar w:fldCharType="begin"/>
      </w:r>
      <w:r>
        <w:instrText xml:space="preserve"> HYPERLINK \l "_Toc259" </w:instrText>
      </w:r>
      <w:r>
        <w:fldChar w:fldCharType="separate"/>
      </w:r>
      <w:r>
        <w:rPr>
          <w:rFonts w:hint="eastAsia" w:ascii="宋体" w:hAnsi="宋体"/>
          <w:bCs/>
        </w:rPr>
        <w:t>4.3.2.3爆炸事故处置要点</w:t>
      </w:r>
      <w:r>
        <w:tab/>
      </w:r>
      <w:r>
        <w:rPr>
          <w:rFonts w:hint="eastAsia"/>
          <w:lang w:val="en-US" w:eastAsia="zh-CN"/>
        </w:rPr>
        <w:t>2</w:t>
      </w:r>
      <w:r>
        <w:fldChar w:fldCharType="end"/>
      </w:r>
      <w:r>
        <w:rPr>
          <w:rFonts w:hint="eastAsia"/>
          <w:lang w:val="en-US" w:eastAsia="zh-CN"/>
        </w:rPr>
        <w:t>1</w:t>
      </w:r>
    </w:p>
    <w:p>
      <w:pPr>
        <w:pStyle w:val="9"/>
        <w:tabs>
          <w:tab w:val="right" w:leader="dot" w:pos="8312"/>
        </w:tabs>
        <w:rPr>
          <w:rFonts w:hint="eastAsia" w:eastAsia="宋体"/>
          <w:lang w:val="en-US" w:eastAsia="zh-CN"/>
        </w:rPr>
      </w:pPr>
      <w:r>
        <w:fldChar w:fldCharType="begin"/>
      </w:r>
      <w:r>
        <w:instrText xml:space="preserve"> HYPERLINK \l "_Toc2403" </w:instrText>
      </w:r>
      <w:r>
        <w:fldChar w:fldCharType="separate"/>
      </w:r>
      <w:r>
        <w:rPr>
          <w:rFonts w:hint="eastAsia" w:ascii="宋体" w:hAnsi="宋体"/>
          <w:bCs/>
        </w:rPr>
        <w:t>4.3.2.4机械伤害事故处置要点</w:t>
      </w:r>
      <w:r>
        <w:tab/>
      </w:r>
      <w:r>
        <w:rPr>
          <w:rFonts w:hint="eastAsia"/>
          <w:lang w:val="en-US" w:eastAsia="zh-CN"/>
        </w:rPr>
        <w:t>2</w:t>
      </w:r>
      <w:r>
        <w:fldChar w:fldCharType="end"/>
      </w:r>
      <w:r>
        <w:rPr>
          <w:rFonts w:hint="eastAsia"/>
          <w:lang w:val="en-US" w:eastAsia="zh-CN"/>
        </w:rPr>
        <w:t>2</w:t>
      </w:r>
    </w:p>
    <w:p>
      <w:pPr>
        <w:pStyle w:val="9"/>
        <w:tabs>
          <w:tab w:val="right" w:leader="dot" w:pos="8312"/>
        </w:tabs>
        <w:rPr>
          <w:rFonts w:hint="eastAsia" w:eastAsia="宋体"/>
          <w:lang w:val="en-US" w:eastAsia="zh-CN"/>
        </w:rPr>
      </w:pPr>
      <w:r>
        <w:fldChar w:fldCharType="begin"/>
      </w:r>
      <w:r>
        <w:instrText xml:space="preserve"> HYPERLINK \l "_Toc5401" </w:instrText>
      </w:r>
      <w:r>
        <w:fldChar w:fldCharType="separate"/>
      </w:r>
      <w:r>
        <w:rPr>
          <w:rFonts w:hint="eastAsia" w:ascii="宋体" w:hAnsi="宋体"/>
          <w:bCs/>
        </w:rPr>
        <w:t>4.3.2.5物体打击事故处置要点</w:t>
      </w:r>
      <w:r>
        <w:tab/>
      </w:r>
      <w:r>
        <w:rPr>
          <w:rFonts w:hint="eastAsia"/>
          <w:lang w:val="en-US" w:eastAsia="zh-CN"/>
        </w:rPr>
        <w:t>2</w:t>
      </w:r>
      <w:r>
        <w:fldChar w:fldCharType="end"/>
      </w:r>
      <w:r>
        <w:rPr>
          <w:rFonts w:hint="eastAsia"/>
          <w:lang w:val="en-US" w:eastAsia="zh-CN"/>
        </w:rPr>
        <w:t>3</w:t>
      </w:r>
    </w:p>
    <w:p>
      <w:pPr>
        <w:pStyle w:val="9"/>
        <w:tabs>
          <w:tab w:val="right" w:leader="dot" w:pos="8312"/>
        </w:tabs>
        <w:rPr>
          <w:rFonts w:hint="eastAsia" w:eastAsia="宋体"/>
          <w:lang w:val="en-US" w:eastAsia="zh-CN"/>
        </w:rPr>
      </w:pPr>
      <w:r>
        <w:fldChar w:fldCharType="begin"/>
      </w:r>
      <w:r>
        <w:instrText xml:space="preserve"> HYPERLINK \l "_Toc4007" </w:instrText>
      </w:r>
      <w:r>
        <w:fldChar w:fldCharType="separate"/>
      </w:r>
      <w:r>
        <w:rPr>
          <w:rFonts w:hint="eastAsia" w:ascii="宋体" w:hAnsi="宋体"/>
          <w:bCs/>
        </w:rPr>
        <w:t>4.3.2.6起重伤害事故处置要点</w:t>
      </w:r>
      <w:r>
        <w:tab/>
      </w:r>
      <w:r>
        <w:rPr>
          <w:rFonts w:hint="eastAsia"/>
          <w:lang w:val="en-US" w:eastAsia="zh-CN"/>
        </w:rPr>
        <w:t>2</w:t>
      </w:r>
      <w:r>
        <w:fldChar w:fldCharType="end"/>
      </w:r>
      <w:r>
        <w:rPr>
          <w:rFonts w:hint="eastAsia"/>
          <w:lang w:val="en-US" w:eastAsia="zh-CN"/>
        </w:rPr>
        <w:t>3</w:t>
      </w:r>
    </w:p>
    <w:p>
      <w:pPr>
        <w:pStyle w:val="9"/>
        <w:tabs>
          <w:tab w:val="right" w:leader="dot" w:pos="8312"/>
        </w:tabs>
        <w:rPr>
          <w:rFonts w:hint="eastAsia" w:eastAsia="宋体"/>
          <w:lang w:val="en-US" w:eastAsia="zh-CN"/>
        </w:rPr>
      </w:pPr>
      <w:r>
        <w:fldChar w:fldCharType="begin"/>
      </w:r>
      <w:r>
        <w:instrText xml:space="preserve"> HYPERLINK \l "_Toc25181" </w:instrText>
      </w:r>
      <w:r>
        <w:fldChar w:fldCharType="separate"/>
      </w:r>
      <w:r>
        <w:rPr>
          <w:rFonts w:hint="eastAsia" w:ascii="宋体" w:hAnsi="宋体"/>
          <w:bCs/>
        </w:rPr>
        <w:t>4.3.2.7触电事故处置要点</w:t>
      </w:r>
      <w:r>
        <w:tab/>
      </w:r>
      <w:r>
        <w:rPr>
          <w:rFonts w:hint="eastAsia"/>
          <w:lang w:val="en-US" w:eastAsia="zh-CN"/>
        </w:rPr>
        <w:t>2</w:t>
      </w:r>
      <w:r>
        <w:fldChar w:fldCharType="end"/>
      </w:r>
      <w:r>
        <w:rPr>
          <w:rFonts w:hint="eastAsia"/>
          <w:lang w:val="en-US" w:eastAsia="zh-CN"/>
        </w:rPr>
        <w:t>3</w:t>
      </w:r>
    </w:p>
    <w:p>
      <w:pPr>
        <w:pStyle w:val="9"/>
        <w:tabs>
          <w:tab w:val="right" w:leader="dot" w:pos="8312"/>
        </w:tabs>
        <w:rPr>
          <w:rFonts w:hint="eastAsia" w:eastAsia="宋体"/>
          <w:lang w:val="en-US" w:eastAsia="zh-CN"/>
        </w:rPr>
      </w:pPr>
      <w:r>
        <w:fldChar w:fldCharType="begin"/>
      </w:r>
      <w:r>
        <w:instrText xml:space="preserve"> HYPERLINK \l "_Toc4300" </w:instrText>
      </w:r>
      <w:r>
        <w:fldChar w:fldCharType="separate"/>
      </w:r>
      <w:r>
        <w:rPr>
          <w:rFonts w:hint="eastAsia" w:ascii="宋体" w:hAnsi="宋体"/>
          <w:bCs/>
        </w:rPr>
        <w:t>4.3.2.8高处坠落事故处置要点</w:t>
      </w:r>
      <w:r>
        <w:tab/>
      </w:r>
      <w:r>
        <w:rPr>
          <w:rFonts w:hint="eastAsia"/>
          <w:lang w:val="en-US" w:eastAsia="zh-CN"/>
        </w:rPr>
        <w:t>2</w:t>
      </w:r>
      <w:r>
        <w:fldChar w:fldCharType="end"/>
      </w:r>
      <w:r>
        <w:rPr>
          <w:rFonts w:hint="eastAsia"/>
          <w:lang w:val="en-US" w:eastAsia="zh-CN"/>
        </w:rPr>
        <w:t>4</w:t>
      </w:r>
    </w:p>
    <w:p>
      <w:pPr>
        <w:pStyle w:val="9"/>
        <w:tabs>
          <w:tab w:val="right" w:leader="dot" w:pos="8312"/>
        </w:tabs>
        <w:rPr>
          <w:rFonts w:hint="eastAsia" w:eastAsia="宋体"/>
          <w:lang w:val="en-US" w:eastAsia="zh-CN"/>
        </w:rPr>
      </w:pPr>
      <w:r>
        <w:fldChar w:fldCharType="begin"/>
      </w:r>
      <w:r>
        <w:instrText xml:space="preserve"> HYPERLINK \l "_Toc2237" </w:instrText>
      </w:r>
      <w:r>
        <w:fldChar w:fldCharType="separate"/>
      </w:r>
      <w:r>
        <w:rPr>
          <w:rFonts w:hint="eastAsia" w:ascii="宋体" w:hAnsi="宋体"/>
          <w:bCs/>
        </w:rPr>
        <w:t>4.3.2.9坍塌事故处置要点</w:t>
      </w:r>
      <w:r>
        <w:tab/>
      </w:r>
      <w:r>
        <w:rPr>
          <w:rFonts w:hint="eastAsia"/>
          <w:lang w:val="en-US" w:eastAsia="zh-CN"/>
        </w:rPr>
        <w:t>2</w:t>
      </w:r>
      <w:r>
        <w:fldChar w:fldCharType="end"/>
      </w:r>
      <w:r>
        <w:rPr>
          <w:rFonts w:hint="eastAsia"/>
          <w:lang w:val="en-US" w:eastAsia="zh-CN"/>
        </w:rPr>
        <w:t>4</w:t>
      </w:r>
    </w:p>
    <w:p>
      <w:pPr>
        <w:pStyle w:val="9"/>
        <w:tabs>
          <w:tab w:val="right" w:leader="dot" w:pos="8312"/>
        </w:tabs>
        <w:rPr>
          <w:rFonts w:hint="eastAsia" w:eastAsia="宋体"/>
          <w:lang w:val="en-US" w:eastAsia="zh-CN"/>
        </w:rPr>
      </w:pPr>
      <w:r>
        <w:fldChar w:fldCharType="begin"/>
      </w:r>
      <w:r>
        <w:instrText xml:space="preserve"> HYPERLINK \l "_Toc29283" </w:instrText>
      </w:r>
      <w:r>
        <w:fldChar w:fldCharType="separate"/>
      </w:r>
      <w:r>
        <w:rPr>
          <w:rFonts w:hint="eastAsia" w:ascii="宋体" w:hAnsi="宋体"/>
          <w:bCs/>
        </w:rPr>
        <w:t>4.3.2.10电梯事故处置要点</w:t>
      </w:r>
      <w:r>
        <w:tab/>
      </w:r>
      <w:r>
        <w:rPr>
          <w:rFonts w:hint="eastAsia"/>
          <w:lang w:val="en-US" w:eastAsia="zh-CN"/>
        </w:rPr>
        <w:t>2</w:t>
      </w:r>
      <w:r>
        <w:fldChar w:fldCharType="end"/>
      </w:r>
      <w:r>
        <w:rPr>
          <w:rFonts w:hint="eastAsia"/>
          <w:lang w:val="en-US" w:eastAsia="zh-CN"/>
        </w:rPr>
        <w:t>4</w:t>
      </w:r>
    </w:p>
    <w:p>
      <w:pPr>
        <w:pStyle w:val="10"/>
        <w:tabs>
          <w:tab w:val="right" w:leader="dot" w:pos="8312"/>
        </w:tabs>
        <w:rPr>
          <w:rFonts w:hint="eastAsia" w:eastAsia="宋体"/>
          <w:lang w:val="en-US" w:eastAsia="zh-CN"/>
        </w:rPr>
      </w:pPr>
      <w:r>
        <w:fldChar w:fldCharType="begin"/>
      </w:r>
      <w:r>
        <w:instrText xml:space="preserve"> HYPERLINK \l "_Toc28534" </w:instrText>
      </w:r>
      <w:r>
        <w:fldChar w:fldCharType="separate"/>
      </w:r>
      <w:r>
        <w:rPr>
          <w:szCs w:val="28"/>
        </w:rPr>
        <w:t xml:space="preserve">4.4  </w:t>
      </w:r>
      <w:r>
        <w:rPr>
          <w:rFonts w:hint="eastAsia"/>
          <w:szCs w:val="28"/>
        </w:rPr>
        <w:t>应急疏散</w:t>
      </w:r>
      <w:r>
        <w:tab/>
      </w:r>
      <w:r>
        <w:rPr>
          <w:rFonts w:hint="eastAsia"/>
          <w:lang w:val="en-US" w:eastAsia="zh-CN"/>
        </w:rPr>
        <w:t>2</w:t>
      </w:r>
      <w:r>
        <w:fldChar w:fldCharType="end"/>
      </w:r>
      <w:r>
        <w:rPr>
          <w:rFonts w:hint="eastAsia"/>
          <w:lang w:val="en-US" w:eastAsia="zh-CN"/>
        </w:rPr>
        <w:t>4</w:t>
      </w:r>
    </w:p>
    <w:p>
      <w:pPr>
        <w:pStyle w:val="5"/>
        <w:tabs>
          <w:tab w:val="right" w:leader="dot" w:pos="8312"/>
        </w:tabs>
        <w:rPr>
          <w:rFonts w:hint="eastAsia" w:eastAsia="宋体"/>
          <w:lang w:val="en-US" w:eastAsia="zh-CN"/>
        </w:rPr>
      </w:pPr>
      <w:r>
        <w:fldChar w:fldCharType="begin"/>
      </w:r>
      <w:r>
        <w:instrText xml:space="preserve"> HYPERLINK \l "_Toc32476" </w:instrText>
      </w:r>
      <w:r>
        <w:fldChar w:fldCharType="separate"/>
      </w:r>
      <w:r>
        <w:rPr>
          <w:szCs w:val="28"/>
        </w:rPr>
        <w:t xml:space="preserve">4.4.1  </w:t>
      </w:r>
      <w:r>
        <w:rPr>
          <w:rFonts w:hint="eastAsia"/>
          <w:szCs w:val="28"/>
        </w:rPr>
        <w:t>应急疏散方案</w:t>
      </w:r>
      <w:r>
        <w:tab/>
      </w:r>
      <w:r>
        <w:rPr>
          <w:rFonts w:hint="eastAsia"/>
          <w:lang w:val="en-US" w:eastAsia="zh-CN"/>
        </w:rPr>
        <w:t>2</w:t>
      </w:r>
      <w:r>
        <w:fldChar w:fldCharType="end"/>
      </w:r>
      <w:r>
        <w:rPr>
          <w:rFonts w:hint="eastAsia"/>
          <w:lang w:val="en-US" w:eastAsia="zh-CN"/>
        </w:rPr>
        <w:t>4</w:t>
      </w:r>
    </w:p>
    <w:p>
      <w:pPr>
        <w:pStyle w:val="5"/>
        <w:tabs>
          <w:tab w:val="right" w:leader="dot" w:pos="8312"/>
        </w:tabs>
        <w:rPr>
          <w:rFonts w:hint="eastAsia" w:eastAsia="宋体"/>
          <w:lang w:val="en-US" w:eastAsia="zh-CN"/>
        </w:rPr>
      </w:pPr>
      <w:r>
        <w:fldChar w:fldCharType="begin"/>
      </w:r>
      <w:r>
        <w:instrText xml:space="preserve"> HYPERLINK \l "_Toc24251" </w:instrText>
      </w:r>
      <w:r>
        <w:fldChar w:fldCharType="separate"/>
      </w:r>
      <w:r>
        <w:rPr>
          <w:szCs w:val="28"/>
        </w:rPr>
        <w:t xml:space="preserve">4.4.2  </w:t>
      </w:r>
      <w:r>
        <w:rPr>
          <w:rFonts w:hint="eastAsia"/>
          <w:szCs w:val="28"/>
        </w:rPr>
        <w:t>应急疏散场所</w:t>
      </w:r>
      <w:r>
        <w:tab/>
      </w:r>
      <w:r>
        <w:rPr>
          <w:rFonts w:hint="eastAsia"/>
          <w:lang w:val="en-US" w:eastAsia="zh-CN"/>
        </w:rPr>
        <w:t>2</w:t>
      </w:r>
      <w:r>
        <w:fldChar w:fldCharType="end"/>
      </w:r>
      <w:r>
        <w:rPr>
          <w:rFonts w:hint="eastAsia"/>
          <w:lang w:val="en-US" w:eastAsia="zh-CN"/>
        </w:rPr>
        <w:t>6</w:t>
      </w:r>
    </w:p>
    <w:p>
      <w:pPr>
        <w:pStyle w:val="5"/>
        <w:tabs>
          <w:tab w:val="right" w:leader="dot" w:pos="8312"/>
        </w:tabs>
        <w:rPr>
          <w:rFonts w:hint="eastAsia" w:eastAsia="宋体"/>
          <w:lang w:val="en-US" w:eastAsia="zh-CN"/>
        </w:rPr>
      </w:pPr>
      <w:r>
        <w:fldChar w:fldCharType="begin"/>
      </w:r>
      <w:r>
        <w:instrText xml:space="preserve"> HYPERLINK \l "_Toc28443" </w:instrText>
      </w:r>
      <w:r>
        <w:fldChar w:fldCharType="separate"/>
      </w:r>
      <w:r>
        <w:rPr>
          <w:szCs w:val="28"/>
        </w:rPr>
        <w:t xml:space="preserve">4.4.3  </w:t>
      </w:r>
      <w:r>
        <w:rPr>
          <w:rFonts w:hint="eastAsia"/>
          <w:szCs w:val="28"/>
        </w:rPr>
        <w:t>疏散注意事项</w:t>
      </w:r>
      <w:r>
        <w:tab/>
      </w:r>
      <w:r>
        <w:rPr>
          <w:rFonts w:hint="eastAsia"/>
          <w:lang w:val="en-US" w:eastAsia="zh-CN"/>
        </w:rPr>
        <w:t>2</w:t>
      </w:r>
      <w:r>
        <w:fldChar w:fldCharType="end"/>
      </w:r>
      <w:r>
        <w:rPr>
          <w:rFonts w:hint="eastAsia"/>
          <w:lang w:val="en-US" w:eastAsia="zh-CN"/>
        </w:rPr>
        <w:t>6</w:t>
      </w:r>
    </w:p>
    <w:p>
      <w:pPr>
        <w:pStyle w:val="10"/>
        <w:tabs>
          <w:tab w:val="right" w:leader="dot" w:pos="8312"/>
        </w:tabs>
        <w:rPr>
          <w:rFonts w:hint="eastAsia" w:eastAsia="宋体"/>
          <w:lang w:val="en-US" w:eastAsia="zh-CN"/>
        </w:rPr>
      </w:pPr>
      <w:r>
        <w:fldChar w:fldCharType="begin"/>
      </w:r>
      <w:r>
        <w:instrText xml:space="preserve"> HYPERLINK \l "_Toc24435" </w:instrText>
      </w:r>
      <w:r>
        <w:fldChar w:fldCharType="separate"/>
      </w:r>
      <w:r>
        <w:rPr>
          <w:szCs w:val="28"/>
        </w:rPr>
        <w:t xml:space="preserve">4.5  </w:t>
      </w:r>
      <w:r>
        <w:rPr>
          <w:rFonts w:hint="eastAsia"/>
          <w:szCs w:val="28"/>
        </w:rPr>
        <w:t>应急人员的安全防护</w:t>
      </w:r>
      <w:r>
        <w:tab/>
      </w:r>
      <w:r>
        <w:rPr>
          <w:rFonts w:hint="eastAsia"/>
          <w:lang w:val="en-US" w:eastAsia="zh-CN"/>
        </w:rPr>
        <w:t>2</w:t>
      </w:r>
      <w:r>
        <w:fldChar w:fldCharType="end"/>
      </w:r>
      <w:r>
        <w:rPr>
          <w:rFonts w:hint="eastAsia"/>
          <w:lang w:val="en-US" w:eastAsia="zh-CN"/>
        </w:rPr>
        <w:t>8</w:t>
      </w:r>
    </w:p>
    <w:p>
      <w:pPr>
        <w:pStyle w:val="10"/>
        <w:tabs>
          <w:tab w:val="right" w:leader="dot" w:pos="8312"/>
        </w:tabs>
      </w:pPr>
      <w:r>
        <w:fldChar w:fldCharType="begin"/>
      </w:r>
      <w:r>
        <w:instrText xml:space="preserve"> HYPERLINK \l "_Toc21941" </w:instrText>
      </w:r>
      <w:r>
        <w:fldChar w:fldCharType="separate"/>
      </w:r>
      <w:r>
        <w:rPr>
          <w:szCs w:val="28"/>
        </w:rPr>
        <w:t xml:space="preserve">4.6  </w:t>
      </w:r>
      <w:r>
        <w:rPr>
          <w:rFonts w:hint="eastAsia"/>
          <w:szCs w:val="28"/>
        </w:rPr>
        <w:t>群众的安全防护</w:t>
      </w:r>
      <w:r>
        <w:tab/>
      </w:r>
      <w:r>
        <w:fldChar w:fldCharType="begin"/>
      </w:r>
      <w:r>
        <w:instrText xml:space="preserve"> PAGEREF _Toc21941 </w:instrText>
      </w:r>
      <w:r>
        <w:fldChar w:fldCharType="separate"/>
      </w:r>
      <w:r>
        <w:t>28</w:t>
      </w:r>
      <w:r>
        <w:fldChar w:fldCharType="end"/>
      </w:r>
      <w:r>
        <w:fldChar w:fldCharType="end"/>
      </w:r>
    </w:p>
    <w:p>
      <w:pPr>
        <w:pStyle w:val="10"/>
        <w:tabs>
          <w:tab w:val="right" w:leader="dot" w:pos="8312"/>
        </w:tabs>
      </w:pPr>
      <w:r>
        <w:fldChar w:fldCharType="begin"/>
      </w:r>
      <w:r>
        <w:instrText xml:space="preserve"> HYPERLINK \l "_Toc23038" </w:instrText>
      </w:r>
      <w:r>
        <w:fldChar w:fldCharType="separate"/>
      </w:r>
      <w:r>
        <w:rPr>
          <w:szCs w:val="28"/>
        </w:rPr>
        <w:t xml:space="preserve">4.7  </w:t>
      </w:r>
      <w:r>
        <w:rPr>
          <w:rFonts w:hint="eastAsia"/>
          <w:szCs w:val="28"/>
        </w:rPr>
        <w:t>现场检测与评估</w:t>
      </w:r>
      <w:r>
        <w:tab/>
      </w:r>
      <w:r>
        <w:fldChar w:fldCharType="begin"/>
      </w:r>
      <w:r>
        <w:instrText xml:space="preserve"> PAGEREF _Toc23038 </w:instrText>
      </w:r>
      <w:r>
        <w:fldChar w:fldCharType="separate"/>
      </w:r>
      <w:r>
        <w:t>28</w:t>
      </w:r>
      <w:r>
        <w:fldChar w:fldCharType="end"/>
      </w:r>
      <w:r>
        <w:fldChar w:fldCharType="end"/>
      </w:r>
    </w:p>
    <w:p>
      <w:pPr>
        <w:pStyle w:val="10"/>
        <w:tabs>
          <w:tab w:val="right" w:leader="dot" w:pos="8312"/>
        </w:tabs>
      </w:pPr>
      <w:r>
        <w:fldChar w:fldCharType="begin"/>
      </w:r>
      <w:r>
        <w:instrText xml:space="preserve"> HYPERLINK \l "_Toc8482" </w:instrText>
      </w:r>
      <w:r>
        <w:fldChar w:fldCharType="separate"/>
      </w:r>
      <w:r>
        <w:rPr>
          <w:szCs w:val="28"/>
        </w:rPr>
        <w:t xml:space="preserve">4.8  </w:t>
      </w:r>
      <w:r>
        <w:rPr>
          <w:rFonts w:hint="eastAsia"/>
          <w:szCs w:val="28"/>
        </w:rPr>
        <w:t>新闻报道</w:t>
      </w:r>
      <w:r>
        <w:tab/>
      </w:r>
      <w:r>
        <w:fldChar w:fldCharType="begin"/>
      </w:r>
      <w:r>
        <w:instrText xml:space="preserve"> PAGEREF _Toc8482 </w:instrText>
      </w:r>
      <w:r>
        <w:fldChar w:fldCharType="separate"/>
      </w:r>
      <w:r>
        <w:t>28</w:t>
      </w:r>
      <w:r>
        <w:fldChar w:fldCharType="end"/>
      </w:r>
      <w:r>
        <w:fldChar w:fldCharType="end"/>
      </w:r>
    </w:p>
    <w:p>
      <w:pPr>
        <w:pStyle w:val="10"/>
        <w:tabs>
          <w:tab w:val="right" w:leader="dot" w:pos="8312"/>
        </w:tabs>
        <w:rPr>
          <w:rFonts w:hint="eastAsia" w:eastAsia="宋体"/>
          <w:lang w:val="en-US" w:eastAsia="zh-CN"/>
        </w:rPr>
      </w:pPr>
      <w:r>
        <w:fldChar w:fldCharType="begin"/>
      </w:r>
      <w:r>
        <w:instrText xml:space="preserve"> HYPERLINK \l "_Toc29739" </w:instrText>
      </w:r>
      <w:r>
        <w:fldChar w:fldCharType="separate"/>
      </w:r>
      <w:r>
        <w:rPr>
          <w:szCs w:val="28"/>
        </w:rPr>
        <w:t xml:space="preserve">4.9  </w:t>
      </w:r>
      <w:r>
        <w:rPr>
          <w:rFonts w:hint="eastAsia"/>
          <w:szCs w:val="28"/>
        </w:rPr>
        <w:t>应急结束</w:t>
      </w:r>
      <w:r>
        <w:tab/>
      </w:r>
      <w:r>
        <w:rPr>
          <w:rFonts w:hint="eastAsia"/>
          <w:lang w:val="en-US" w:eastAsia="zh-CN"/>
        </w:rPr>
        <w:t>2</w:t>
      </w:r>
      <w:r>
        <w:fldChar w:fldCharType="end"/>
      </w:r>
      <w:r>
        <w:rPr>
          <w:rFonts w:hint="eastAsia"/>
          <w:lang w:val="en-US" w:eastAsia="zh-CN"/>
        </w:rPr>
        <w:t>9</w:t>
      </w:r>
    </w:p>
    <w:p>
      <w:pPr>
        <w:pStyle w:val="8"/>
        <w:tabs>
          <w:tab w:val="right" w:leader="dot" w:pos="8312"/>
        </w:tabs>
      </w:pPr>
      <w:r>
        <w:fldChar w:fldCharType="begin"/>
      </w:r>
      <w:r>
        <w:instrText xml:space="preserve"> HYPERLINK \l "_Toc21601" </w:instrText>
      </w:r>
      <w:r>
        <w:fldChar w:fldCharType="separate"/>
      </w:r>
      <w:r>
        <w:rPr>
          <w:szCs w:val="28"/>
        </w:rPr>
        <w:t xml:space="preserve">5  </w:t>
      </w:r>
      <w:r>
        <w:rPr>
          <w:rFonts w:hint="eastAsia"/>
          <w:szCs w:val="28"/>
        </w:rPr>
        <w:t>后期处置</w:t>
      </w:r>
      <w:r>
        <w:tab/>
      </w:r>
      <w:r>
        <w:fldChar w:fldCharType="begin"/>
      </w:r>
      <w:r>
        <w:instrText xml:space="preserve"> PAGEREF _Toc21601 </w:instrText>
      </w:r>
      <w:r>
        <w:fldChar w:fldCharType="separate"/>
      </w:r>
      <w:r>
        <w:t>31</w:t>
      </w:r>
      <w:r>
        <w:fldChar w:fldCharType="end"/>
      </w:r>
      <w:r>
        <w:fldChar w:fldCharType="end"/>
      </w:r>
    </w:p>
    <w:p>
      <w:pPr>
        <w:pStyle w:val="10"/>
        <w:tabs>
          <w:tab w:val="right" w:leader="dot" w:pos="8312"/>
        </w:tabs>
      </w:pPr>
      <w:r>
        <w:fldChar w:fldCharType="begin"/>
      </w:r>
      <w:r>
        <w:instrText xml:space="preserve"> HYPERLINK \l "_Toc28605" </w:instrText>
      </w:r>
      <w:r>
        <w:fldChar w:fldCharType="separate"/>
      </w:r>
      <w:r>
        <w:rPr>
          <w:szCs w:val="28"/>
        </w:rPr>
        <w:t xml:space="preserve">5.1  </w:t>
      </w:r>
      <w:r>
        <w:rPr>
          <w:rFonts w:hint="eastAsia"/>
          <w:szCs w:val="28"/>
        </w:rPr>
        <w:t>善后处置</w:t>
      </w:r>
      <w:r>
        <w:tab/>
      </w:r>
      <w:r>
        <w:fldChar w:fldCharType="begin"/>
      </w:r>
      <w:r>
        <w:instrText xml:space="preserve"> PAGEREF _Toc28605 </w:instrText>
      </w:r>
      <w:r>
        <w:fldChar w:fldCharType="separate"/>
      </w:r>
      <w:r>
        <w:t>31</w:t>
      </w:r>
      <w:r>
        <w:fldChar w:fldCharType="end"/>
      </w:r>
      <w:r>
        <w:fldChar w:fldCharType="end"/>
      </w:r>
    </w:p>
    <w:p>
      <w:pPr>
        <w:pStyle w:val="10"/>
        <w:tabs>
          <w:tab w:val="right" w:leader="dot" w:pos="8312"/>
        </w:tabs>
      </w:pPr>
      <w:r>
        <w:fldChar w:fldCharType="begin"/>
      </w:r>
      <w:r>
        <w:instrText xml:space="preserve"> HYPERLINK \l "_Toc20963" </w:instrText>
      </w:r>
      <w:r>
        <w:fldChar w:fldCharType="separate"/>
      </w:r>
      <w:r>
        <w:rPr>
          <w:szCs w:val="28"/>
        </w:rPr>
        <w:t xml:space="preserve">5.2  </w:t>
      </w:r>
      <w:r>
        <w:rPr>
          <w:rFonts w:hint="eastAsia"/>
          <w:szCs w:val="28"/>
        </w:rPr>
        <w:t>社会救助</w:t>
      </w:r>
      <w:r>
        <w:tab/>
      </w:r>
      <w:r>
        <w:fldChar w:fldCharType="begin"/>
      </w:r>
      <w:r>
        <w:instrText xml:space="preserve"> PAGEREF _Toc20963 </w:instrText>
      </w:r>
      <w:r>
        <w:fldChar w:fldCharType="separate"/>
      </w:r>
      <w:r>
        <w:t>31</w:t>
      </w:r>
      <w:r>
        <w:fldChar w:fldCharType="end"/>
      </w:r>
      <w:r>
        <w:fldChar w:fldCharType="end"/>
      </w:r>
    </w:p>
    <w:p>
      <w:pPr>
        <w:pStyle w:val="10"/>
        <w:tabs>
          <w:tab w:val="right" w:leader="dot" w:pos="8312"/>
        </w:tabs>
      </w:pPr>
      <w:r>
        <w:fldChar w:fldCharType="begin"/>
      </w:r>
      <w:r>
        <w:instrText xml:space="preserve"> HYPERLINK \l "_Toc5679" </w:instrText>
      </w:r>
      <w:r>
        <w:fldChar w:fldCharType="separate"/>
      </w:r>
      <w:r>
        <w:rPr>
          <w:szCs w:val="28"/>
        </w:rPr>
        <w:t xml:space="preserve">5.3  </w:t>
      </w:r>
      <w:r>
        <w:rPr>
          <w:rFonts w:hint="eastAsia"/>
          <w:szCs w:val="28"/>
        </w:rPr>
        <w:t>调查报告和经验教训总结及改进建议</w:t>
      </w:r>
      <w:r>
        <w:tab/>
      </w:r>
      <w:r>
        <w:fldChar w:fldCharType="begin"/>
      </w:r>
      <w:r>
        <w:instrText xml:space="preserve"> PAGEREF _Toc5679 </w:instrText>
      </w:r>
      <w:r>
        <w:fldChar w:fldCharType="separate"/>
      </w:r>
      <w:r>
        <w:t>32</w:t>
      </w:r>
      <w:r>
        <w:fldChar w:fldCharType="end"/>
      </w:r>
      <w:r>
        <w:fldChar w:fldCharType="end"/>
      </w:r>
    </w:p>
    <w:p>
      <w:pPr>
        <w:pStyle w:val="8"/>
        <w:tabs>
          <w:tab w:val="right" w:leader="dot" w:pos="8312"/>
        </w:tabs>
      </w:pPr>
      <w:r>
        <w:fldChar w:fldCharType="begin"/>
      </w:r>
      <w:r>
        <w:instrText xml:space="preserve"> HYPERLINK \l "_Toc12992" </w:instrText>
      </w:r>
      <w:r>
        <w:fldChar w:fldCharType="separate"/>
      </w:r>
      <w:r>
        <w:rPr>
          <w:szCs w:val="28"/>
        </w:rPr>
        <w:t xml:space="preserve">6  </w:t>
      </w:r>
      <w:r>
        <w:rPr>
          <w:rFonts w:hint="eastAsia"/>
          <w:szCs w:val="28"/>
        </w:rPr>
        <w:t>保障措施</w:t>
      </w:r>
      <w:r>
        <w:tab/>
      </w:r>
      <w:r>
        <w:fldChar w:fldCharType="begin"/>
      </w:r>
      <w:r>
        <w:instrText xml:space="preserve"> PAGEREF _Toc12992 </w:instrText>
      </w:r>
      <w:r>
        <w:fldChar w:fldCharType="separate"/>
      </w:r>
      <w:r>
        <w:t>33</w:t>
      </w:r>
      <w:r>
        <w:fldChar w:fldCharType="end"/>
      </w:r>
      <w:r>
        <w:fldChar w:fldCharType="end"/>
      </w:r>
    </w:p>
    <w:p>
      <w:pPr>
        <w:pStyle w:val="10"/>
        <w:tabs>
          <w:tab w:val="right" w:leader="dot" w:pos="8312"/>
        </w:tabs>
      </w:pPr>
      <w:r>
        <w:fldChar w:fldCharType="begin"/>
      </w:r>
      <w:r>
        <w:instrText xml:space="preserve"> HYPERLINK \l "_Toc25504" </w:instrText>
      </w:r>
      <w:r>
        <w:fldChar w:fldCharType="separate"/>
      </w:r>
      <w:r>
        <w:rPr>
          <w:szCs w:val="28"/>
        </w:rPr>
        <w:t xml:space="preserve">6.1  </w:t>
      </w:r>
      <w:r>
        <w:rPr>
          <w:rFonts w:hint="eastAsia"/>
          <w:szCs w:val="28"/>
        </w:rPr>
        <w:t>通讯与信息保障</w:t>
      </w:r>
      <w:r>
        <w:tab/>
      </w:r>
      <w:r>
        <w:fldChar w:fldCharType="begin"/>
      </w:r>
      <w:r>
        <w:instrText xml:space="preserve"> PAGEREF _Toc25504 </w:instrText>
      </w:r>
      <w:r>
        <w:fldChar w:fldCharType="separate"/>
      </w:r>
      <w:r>
        <w:t>33</w:t>
      </w:r>
      <w:r>
        <w:fldChar w:fldCharType="end"/>
      </w:r>
      <w:r>
        <w:fldChar w:fldCharType="end"/>
      </w:r>
    </w:p>
    <w:p>
      <w:pPr>
        <w:pStyle w:val="10"/>
        <w:tabs>
          <w:tab w:val="right" w:leader="dot" w:pos="8312"/>
        </w:tabs>
      </w:pPr>
      <w:r>
        <w:fldChar w:fldCharType="begin"/>
      </w:r>
      <w:r>
        <w:instrText xml:space="preserve"> HYPERLINK \l "_Toc13430" </w:instrText>
      </w:r>
      <w:r>
        <w:fldChar w:fldCharType="separate"/>
      </w:r>
      <w:r>
        <w:rPr>
          <w:szCs w:val="28"/>
        </w:rPr>
        <w:t xml:space="preserve">6.2  </w:t>
      </w:r>
      <w:r>
        <w:rPr>
          <w:rFonts w:hint="eastAsia"/>
          <w:szCs w:val="28"/>
        </w:rPr>
        <w:t>应急支援与保障</w:t>
      </w:r>
      <w:r>
        <w:tab/>
      </w:r>
      <w:r>
        <w:fldChar w:fldCharType="begin"/>
      </w:r>
      <w:r>
        <w:instrText xml:space="preserve"> PAGEREF _Toc13430 </w:instrText>
      </w:r>
      <w:r>
        <w:fldChar w:fldCharType="separate"/>
      </w:r>
      <w:r>
        <w:t>33</w:t>
      </w:r>
      <w:r>
        <w:fldChar w:fldCharType="end"/>
      </w:r>
      <w:r>
        <w:fldChar w:fldCharType="end"/>
      </w:r>
    </w:p>
    <w:p>
      <w:pPr>
        <w:pStyle w:val="10"/>
        <w:tabs>
          <w:tab w:val="right" w:leader="dot" w:pos="8312"/>
        </w:tabs>
      </w:pPr>
      <w:r>
        <w:fldChar w:fldCharType="begin"/>
      </w:r>
      <w:r>
        <w:instrText xml:space="preserve"> HYPERLINK \l "_Toc29192" </w:instrText>
      </w:r>
      <w:r>
        <w:fldChar w:fldCharType="separate"/>
      </w:r>
      <w:r>
        <w:rPr>
          <w:szCs w:val="28"/>
        </w:rPr>
        <w:t xml:space="preserve">6.3  </w:t>
      </w:r>
      <w:r>
        <w:rPr>
          <w:rFonts w:hint="eastAsia"/>
          <w:szCs w:val="28"/>
        </w:rPr>
        <w:t>宣传、培训和演习</w:t>
      </w:r>
      <w:r>
        <w:tab/>
      </w:r>
      <w:r>
        <w:fldChar w:fldCharType="begin"/>
      </w:r>
      <w:r>
        <w:instrText xml:space="preserve"> PAGEREF _Toc29192 </w:instrText>
      </w:r>
      <w:r>
        <w:fldChar w:fldCharType="separate"/>
      </w:r>
      <w:r>
        <w:t>35</w:t>
      </w:r>
      <w:r>
        <w:fldChar w:fldCharType="end"/>
      </w:r>
      <w:r>
        <w:fldChar w:fldCharType="end"/>
      </w:r>
    </w:p>
    <w:p>
      <w:pPr>
        <w:pStyle w:val="10"/>
        <w:tabs>
          <w:tab w:val="right" w:leader="dot" w:pos="8312"/>
        </w:tabs>
      </w:pPr>
      <w:r>
        <w:fldChar w:fldCharType="begin"/>
      </w:r>
      <w:r>
        <w:instrText xml:space="preserve"> HYPERLINK \l "_Toc22981" </w:instrText>
      </w:r>
      <w:r>
        <w:fldChar w:fldCharType="separate"/>
      </w:r>
      <w:r>
        <w:rPr>
          <w:szCs w:val="28"/>
        </w:rPr>
        <w:t xml:space="preserve">6.4  </w:t>
      </w:r>
      <w:r>
        <w:rPr>
          <w:rFonts w:hint="eastAsia"/>
          <w:szCs w:val="28"/>
        </w:rPr>
        <w:t>监督检查</w:t>
      </w:r>
      <w:r>
        <w:tab/>
      </w:r>
      <w:r>
        <w:fldChar w:fldCharType="begin"/>
      </w:r>
      <w:r>
        <w:instrText xml:space="preserve"> PAGEREF _Toc22981 </w:instrText>
      </w:r>
      <w:r>
        <w:fldChar w:fldCharType="separate"/>
      </w:r>
      <w:r>
        <w:t>37</w:t>
      </w:r>
      <w:r>
        <w:fldChar w:fldCharType="end"/>
      </w:r>
      <w:r>
        <w:fldChar w:fldCharType="end"/>
      </w:r>
    </w:p>
    <w:p>
      <w:pPr>
        <w:pStyle w:val="10"/>
        <w:tabs>
          <w:tab w:val="right" w:leader="dot" w:pos="8312"/>
        </w:tabs>
      </w:pPr>
      <w:r>
        <w:fldChar w:fldCharType="begin"/>
      </w:r>
      <w:r>
        <w:instrText xml:space="preserve"> HYPERLINK \l "_Toc28452" </w:instrText>
      </w:r>
      <w:r>
        <w:fldChar w:fldCharType="separate"/>
      </w:r>
      <w:r>
        <w:rPr>
          <w:szCs w:val="28"/>
        </w:rPr>
        <w:t xml:space="preserve">6.5  </w:t>
      </w:r>
      <w:r>
        <w:rPr>
          <w:rFonts w:hint="eastAsia"/>
          <w:szCs w:val="28"/>
        </w:rPr>
        <w:t>奖惩</w:t>
      </w:r>
      <w:r>
        <w:tab/>
      </w:r>
      <w:r>
        <w:fldChar w:fldCharType="begin"/>
      </w:r>
      <w:r>
        <w:instrText xml:space="preserve"> PAGEREF _Toc28452 </w:instrText>
      </w:r>
      <w:r>
        <w:fldChar w:fldCharType="separate"/>
      </w:r>
      <w:r>
        <w:t>37</w:t>
      </w:r>
      <w:r>
        <w:fldChar w:fldCharType="end"/>
      </w:r>
      <w:r>
        <w:fldChar w:fldCharType="end"/>
      </w:r>
    </w:p>
    <w:p>
      <w:pPr>
        <w:pStyle w:val="8"/>
        <w:tabs>
          <w:tab w:val="right" w:leader="dot" w:pos="8312"/>
        </w:tabs>
      </w:pPr>
      <w:r>
        <w:fldChar w:fldCharType="begin"/>
      </w:r>
      <w:r>
        <w:instrText xml:space="preserve"> HYPERLINK \l "_Toc32625" </w:instrText>
      </w:r>
      <w:r>
        <w:fldChar w:fldCharType="separate"/>
      </w:r>
      <w:r>
        <w:rPr>
          <w:szCs w:val="28"/>
        </w:rPr>
        <w:t xml:space="preserve">7  </w:t>
      </w:r>
      <w:r>
        <w:rPr>
          <w:rFonts w:hint="eastAsia"/>
          <w:szCs w:val="28"/>
        </w:rPr>
        <w:t>附则</w:t>
      </w:r>
      <w:r>
        <w:tab/>
      </w:r>
      <w:r>
        <w:fldChar w:fldCharType="begin"/>
      </w:r>
      <w:r>
        <w:instrText xml:space="preserve"> PAGEREF _Toc32625 </w:instrText>
      </w:r>
      <w:r>
        <w:fldChar w:fldCharType="separate"/>
      </w:r>
      <w:r>
        <w:t>38</w:t>
      </w:r>
      <w:r>
        <w:fldChar w:fldCharType="end"/>
      </w:r>
      <w:r>
        <w:fldChar w:fldCharType="end"/>
      </w:r>
    </w:p>
    <w:p>
      <w:pPr>
        <w:pStyle w:val="10"/>
        <w:tabs>
          <w:tab w:val="right" w:leader="dot" w:pos="8312"/>
        </w:tabs>
      </w:pPr>
      <w:r>
        <w:fldChar w:fldCharType="begin"/>
      </w:r>
      <w:r>
        <w:instrText xml:space="preserve"> HYPERLINK \l "_Toc31423" </w:instrText>
      </w:r>
      <w:r>
        <w:fldChar w:fldCharType="separate"/>
      </w:r>
      <w:r>
        <w:rPr>
          <w:szCs w:val="28"/>
        </w:rPr>
        <w:t xml:space="preserve">7.1  </w:t>
      </w:r>
      <w:r>
        <w:rPr>
          <w:rFonts w:hint="eastAsia"/>
          <w:szCs w:val="28"/>
        </w:rPr>
        <w:t>名词解释</w:t>
      </w:r>
      <w:r>
        <w:tab/>
      </w:r>
      <w:r>
        <w:fldChar w:fldCharType="begin"/>
      </w:r>
      <w:r>
        <w:instrText xml:space="preserve"> PAGEREF _Toc31423 </w:instrText>
      </w:r>
      <w:r>
        <w:fldChar w:fldCharType="separate"/>
      </w:r>
      <w:r>
        <w:t>38</w:t>
      </w:r>
      <w:r>
        <w:fldChar w:fldCharType="end"/>
      </w:r>
      <w:r>
        <w:fldChar w:fldCharType="end"/>
      </w:r>
    </w:p>
    <w:p>
      <w:pPr>
        <w:pStyle w:val="10"/>
        <w:tabs>
          <w:tab w:val="right" w:leader="dot" w:pos="8312"/>
        </w:tabs>
      </w:pPr>
      <w:r>
        <w:fldChar w:fldCharType="begin"/>
      </w:r>
      <w:r>
        <w:instrText xml:space="preserve"> HYPERLINK \l "_Toc27618" </w:instrText>
      </w:r>
      <w:r>
        <w:fldChar w:fldCharType="separate"/>
      </w:r>
      <w:r>
        <w:rPr>
          <w:szCs w:val="28"/>
        </w:rPr>
        <w:t xml:space="preserve">7.2  </w:t>
      </w:r>
      <w:r>
        <w:rPr>
          <w:rFonts w:hint="eastAsia"/>
          <w:szCs w:val="28"/>
        </w:rPr>
        <w:t>预案管理与更新</w:t>
      </w:r>
      <w:r>
        <w:tab/>
      </w:r>
      <w:r>
        <w:fldChar w:fldCharType="begin"/>
      </w:r>
      <w:r>
        <w:instrText xml:space="preserve"> PAGEREF _Toc27618 </w:instrText>
      </w:r>
      <w:r>
        <w:fldChar w:fldCharType="separate"/>
      </w:r>
      <w:r>
        <w:t>40</w:t>
      </w:r>
      <w:r>
        <w:fldChar w:fldCharType="end"/>
      </w:r>
      <w:r>
        <w:fldChar w:fldCharType="end"/>
      </w:r>
    </w:p>
    <w:p>
      <w:pPr>
        <w:pStyle w:val="10"/>
        <w:tabs>
          <w:tab w:val="right" w:leader="dot" w:pos="8312"/>
        </w:tabs>
      </w:pPr>
      <w:r>
        <w:fldChar w:fldCharType="begin"/>
      </w:r>
      <w:r>
        <w:instrText xml:space="preserve"> HYPERLINK \l "_Toc30784" </w:instrText>
      </w:r>
      <w:r>
        <w:fldChar w:fldCharType="separate"/>
      </w:r>
      <w:r>
        <w:rPr>
          <w:szCs w:val="28"/>
        </w:rPr>
        <w:t xml:space="preserve">7.3  </w:t>
      </w:r>
      <w:r>
        <w:rPr>
          <w:rFonts w:hint="eastAsia"/>
          <w:szCs w:val="28"/>
        </w:rPr>
        <w:t>预案制定与解释部门</w:t>
      </w:r>
      <w:r>
        <w:tab/>
      </w:r>
      <w:r>
        <w:fldChar w:fldCharType="begin"/>
      </w:r>
      <w:r>
        <w:instrText xml:space="preserve"> PAGEREF _Toc30784 </w:instrText>
      </w:r>
      <w:r>
        <w:fldChar w:fldCharType="separate"/>
      </w:r>
      <w:r>
        <w:t>40</w:t>
      </w:r>
      <w:r>
        <w:fldChar w:fldCharType="end"/>
      </w:r>
      <w:r>
        <w:fldChar w:fldCharType="end"/>
      </w:r>
    </w:p>
    <w:p>
      <w:pPr>
        <w:pStyle w:val="10"/>
        <w:tabs>
          <w:tab w:val="right" w:leader="dot" w:pos="8312"/>
        </w:tabs>
      </w:pPr>
      <w:r>
        <w:fldChar w:fldCharType="begin"/>
      </w:r>
      <w:r>
        <w:instrText xml:space="preserve"> HYPERLINK \l "_Toc22785" </w:instrText>
      </w:r>
      <w:r>
        <w:fldChar w:fldCharType="separate"/>
      </w:r>
      <w:r>
        <w:rPr>
          <w:szCs w:val="28"/>
        </w:rPr>
        <w:t xml:space="preserve">7.4  </w:t>
      </w:r>
      <w:r>
        <w:rPr>
          <w:rFonts w:hint="eastAsia"/>
          <w:szCs w:val="28"/>
        </w:rPr>
        <w:t>预案实施</w:t>
      </w:r>
      <w:r>
        <w:tab/>
      </w:r>
      <w:r>
        <w:fldChar w:fldCharType="begin"/>
      </w:r>
      <w:r>
        <w:instrText xml:space="preserve"> PAGEREF _Toc22785 </w:instrText>
      </w:r>
      <w:r>
        <w:fldChar w:fldCharType="separate"/>
      </w:r>
      <w:r>
        <w:t>40</w:t>
      </w:r>
      <w:r>
        <w:fldChar w:fldCharType="end"/>
      </w:r>
      <w:r>
        <w:fldChar w:fldCharType="end"/>
      </w:r>
    </w:p>
    <w:p>
      <w:pPr>
        <w:pStyle w:val="8"/>
        <w:tabs>
          <w:tab w:val="right" w:leader="dot" w:pos="8312"/>
        </w:tabs>
      </w:pPr>
      <w:r>
        <w:fldChar w:fldCharType="begin"/>
      </w:r>
      <w:r>
        <w:instrText xml:space="preserve"> HYPERLINK \l "_Toc30115" </w:instrText>
      </w:r>
      <w:r>
        <w:fldChar w:fldCharType="separate"/>
      </w:r>
      <w:r>
        <w:rPr>
          <w:rFonts w:hint="eastAsia"/>
          <w:bCs/>
          <w:szCs w:val="32"/>
        </w:rPr>
        <w:t>附   件</w:t>
      </w:r>
      <w:r>
        <w:tab/>
      </w:r>
      <w:r>
        <w:fldChar w:fldCharType="begin"/>
      </w:r>
      <w:r>
        <w:instrText xml:space="preserve"> PAGEREF _Toc30115 </w:instrText>
      </w:r>
      <w:r>
        <w:fldChar w:fldCharType="separate"/>
      </w:r>
      <w:r>
        <w:t>41</w:t>
      </w:r>
      <w:r>
        <w:fldChar w:fldCharType="end"/>
      </w:r>
      <w:r>
        <w:fldChar w:fldCharType="end"/>
      </w:r>
    </w:p>
    <w:p>
      <w:pPr>
        <w:pStyle w:val="10"/>
        <w:tabs>
          <w:tab w:val="right" w:leader="dot" w:pos="8312"/>
        </w:tabs>
      </w:pPr>
      <w:r>
        <w:rPr>
          <w:rFonts w:hint="eastAsia"/>
          <w:szCs w:val="28"/>
          <w:lang w:eastAsia="zh-CN"/>
        </w:rPr>
        <w:t>附</w:t>
      </w:r>
      <w:r>
        <w:rPr>
          <w:rFonts w:hint="eastAsia"/>
          <w:szCs w:val="28"/>
        </w:rPr>
        <w:t>件1：事故应急</w:t>
      </w:r>
      <w:r>
        <w:rPr>
          <w:rFonts w:hint="eastAsia"/>
          <w:szCs w:val="28"/>
          <w:lang w:eastAsia="zh-CN"/>
        </w:rPr>
        <w:t>预警</w:t>
      </w:r>
      <w:r>
        <w:rPr>
          <w:rFonts w:hint="eastAsia"/>
          <w:szCs w:val="28"/>
        </w:rPr>
        <w:t>处置</w:t>
      </w:r>
      <w:r>
        <w:rPr>
          <w:rFonts w:hint="eastAsia"/>
          <w:szCs w:val="28"/>
          <w:lang w:eastAsia="zh-CN"/>
        </w:rPr>
        <w:t>流程</w:t>
      </w:r>
      <w:r>
        <w:tab/>
      </w:r>
      <w:r>
        <w:fldChar w:fldCharType="begin"/>
      </w:r>
      <w:r>
        <w:instrText xml:space="preserve"> PAGEREF _Toc12737 </w:instrText>
      </w:r>
      <w:r>
        <w:fldChar w:fldCharType="separate"/>
      </w:r>
      <w:r>
        <w:t>46</w:t>
      </w:r>
      <w:r>
        <w:fldChar w:fldCharType="end"/>
      </w:r>
    </w:p>
    <w:p>
      <w:pPr>
        <w:pStyle w:val="10"/>
        <w:tabs>
          <w:tab w:val="right" w:leader="dot" w:pos="8312"/>
        </w:tabs>
      </w:pPr>
      <w:r>
        <w:fldChar w:fldCharType="begin"/>
      </w:r>
      <w:r>
        <w:instrText xml:space="preserve"> HYPERLINK \l "_Toc12737" </w:instrText>
      </w:r>
      <w:r>
        <w:fldChar w:fldCharType="separate"/>
      </w:r>
      <w:r>
        <w:rPr>
          <w:rFonts w:hint="eastAsia"/>
          <w:szCs w:val="28"/>
        </w:rPr>
        <w:t>附件</w:t>
      </w:r>
      <w:r>
        <w:rPr>
          <w:rFonts w:hint="eastAsia"/>
          <w:szCs w:val="28"/>
          <w:lang w:val="en-US" w:eastAsia="zh-CN"/>
        </w:rPr>
        <w:t>2</w:t>
      </w:r>
      <w:r>
        <w:rPr>
          <w:rFonts w:hint="eastAsia"/>
          <w:szCs w:val="28"/>
        </w:rPr>
        <w:t>：事故应急处置措施</w:t>
      </w:r>
      <w:r>
        <w:tab/>
      </w:r>
      <w:r>
        <w:fldChar w:fldCharType="begin"/>
      </w:r>
      <w:r>
        <w:instrText xml:space="preserve"> PAGEREF _Toc12737 </w:instrText>
      </w:r>
      <w:r>
        <w:fldChar w:fldCharType="separate"/>
      </w:r>
      <w:r>
        <w:t>46</w:t>
      </w:r>
      <w:r>
        <w:fldChar w:fldCharType="end"/>
      </w:r>
      <w:r>
        <w:fldChar w:fldCharType="end"/>
      </w:r>
    </w:p>
    <w:p>
      <w:pPr>
        <w:pStyle w:val="9"/>
        <w:tabs>
          <w:tab w:val="right" w:leader="dot" w:pos="8312"/>
        </w:tabs>
      </w:pPr>
      <w:r>
        <w:fldChar w:fldCharType="begin"/>
      </w:r>
      <w:r>
        <w:instrText xml:space="preserve"> HYPERLINK \l "_Toc6985" </w:instrText>
      </w:r>
      <w:r>
        <w:fldChar w:fldCharType="separate"/>
      </w:r>
      <w:r>
        <w:rPr>
          <w:rFonts w:hint="eastAsia" w:ascii="宋体" w:hAnsi="宋体"/>
          <w:bCs/>
        </w:rPr>
        <w:t>F</w:t>
      </w:r>
      <w:r>
        <w:rPr>
          <w:rFonts w:hint="eastAsia" w:ascii="宋体" w:hAnsi="宋体"/>
          <w:bCs/>
          <w:lang w:val="en-US" w:eastAsia="zh-CN"/>
        </w:rPr>
        <w:t>2</w:t>
      </w:r>
      <w:r>
        <w:rPr>
          <w:rFonts w:hint="eastAsia" w:ascii="宋体" w:hAnsi="宋体"/>
          <w:bCs/>
        </w:rPr>
        <w:t>.1危险化学品泄漏事故</w:t>
      </w:r>
      <w:r>
        <w:tab/>
      </w:r>
      <w:r>
        <w:fldChar w:fldCharType="begin"/>
      </w:r>
      <w:r>
        <w:instrText xml:space="preserve"> PAGEREF _Toc6985 </w:instrText>
      </w:r>
      <w:r>
        <w:fldChar w:fldCharType="separate"/>
      </w:r>
      <w:r>
        <w:t>46</w:t>
      </w:r>
      <w:r>
        <w:fldChar w:fldCharType="end"/>
      </w:r>
      <w:r>
        <w:fldChar w:fldCharType="end"/>
      </w:r>
    </w:p>
    <w:p>
      <w:pPr>
        <w:pStyle w:val="9"/>
        <w:tabs>
          <w:tab w:val="right" w:leader="dot" w:pos="8312"/>
        </w:tabs>
      </w:pPr>
      <w:r>
        <w:fldChar w:fldCharType="begin"/>
      </w:r>
      <w:r>
        <w:instrText xml:space="preserve"> HYPERLINK \l "_Toc18745" </w:instrText>
      </w:r>
      <w:r>
        <w:fldChar w:fldCharType="separate"/>
      </w:r>
      <w:r>
        <w:rPr>
          <w:rFonts w:hint="eastAsia" w:ascii="宋体" w:hAnsi="宋体"/>
          <w:bCs/>
        </w:rPr>
        <w:t>F</w:t>
      </w:r>
      <w:r>
        <w:rPr>
          <w:rFonts w:hint="eastAsia" w:ascii="宋体" w:hAnsi="宋体"/>
          <w:bCs/>
          <w:lang w:val="en-US" w:eastAsia="zh-CN"/>
        </w:rPr>
        <w:t>2</w:t>
      </w:r>
      <w:r>
        <w:rPr>
          <w:rFonts w:hint="eastAsia" w:ascii="宋体" w:hAnsi="宋体"/>
          <w:bCs/>
        </w:rPr>
        <w:t>.2火灾、爆炸事故</w:t>
      </w:r>
      <w:r>
        <w:tab/>
      </w:r>
      <w:r>
        <w:fldChar w:fldCharType="begin"/>
      </w:r>
      <w:r>
        <w:instrText xml:space="preserve"> PAGEREF _Toc18745 </w:instrText>
      </w:r>
      <w:r>
        <w:fldChar w:fldCharType="separate"/>
      </w:r>
      <w:r>
        <w:t>48</w:t>
      </w:r>
      <w:r>
        <w:fldChar w:fldCharType="end"/>
      </w:r>
      <w:r>
        <w:fldChar w:fldCharType="end"/>
      </w:r>
    </w:p>
    <w:p>
      <w:pPr>
        <w:pStyle w:val="9"/>
        <w:tabs>
          <w:tab w:val="right" w:leader="dot" w:pos="8312"/>
        </w:tabs>
        <w:rPr>
          <w:rFonts w:hint="eastAsia" w:eastAsia="宋体"/>
          <w:lang w:val="en-US" w:eastAsia="zh-CN"/>
        </w:rPr>
      </w:pPr>
      <w:r>
        <w:fldChar w:fldCharType="begin"/>
      </w:r>
      <w:r>
        <w:instrText xml:space="preserve"> HYPERLINK \l "_Toc29510" </w:instrText>
      </w:r>
      <w:r>
        <w:fldChar w:fldCharType="separate"/>
      </w:r>
      <w:r>
        <w:rPr>
          <w:rFonts w:hint="eastAsia" w:ascii="宋体" w:hAnsi="宋体"/>
        </w:rPr>
        <w:t>F</w:t>
      </w:r>
      <w:r>
        <w:rPr>
          <w:rFonts w:hint="eastAsia" w:ascii="宋体" w:hAnsi="宋体"/>
          <w:lang w:val="en-US" w:eastAsia="zh-CN"/>
        </w:rPr>
        <w:t>2</w:t>
      </w:r>
      <w:r>
        <w:rPr>
          <w:rFonts w:hint="eastAsia" w:ascii="宋体" w:hAnsi="宋体"/>
        </w:rPr>
        <w:t>.3天然气长输管道事故</w:t>
      </w:r>
      <w:r>
        <w:tab/>
      </w:r>
      <w:r>
        <w:rPr>
          <w:rFonts w:hint="eastAsia"/>
          <w:lang w:val="en-US" w:eastAsia="zh-CN"/>
        </w:rPr>
        <w:t>5</w:t>
      </w:r>
      <w:r>
        <w:fldChar w:fldCharType="end"/>
      </w:r>
      <w:r>
        <w:rPr>
          <w:rFonts w:hint="eastAsia"/>
          <w:lang w:val="en-US" w:eastAsia="zh-CN"/>
        </w:rPr>
        <w:t>2</w:t>
      </w:r>
    </w:p>
    <w:p>
      <w:pPr>
        <w:pStyle w:val="9"/>
        <w:tabs>
          <w:tab w:val="right" w:leader="dot" w:pos="8312"/>
        </w:tabs>
      </w:pPr>
      <w:r>
        <w:fldChar w:fldCharType="begin"/>
      </w:r>
      <w:r>
        <w:instrText xml:space="preserve"> HYPERLINK \l "_Toc16181" </w:instrText>
      </w:r>
      <w:r>
        <w:fldChar w:fldCharType="separate"/>
      </w:r>
      <w:r>
        <w:rPr>
          <w:rFonts w:hint="eastAsia" w:ascii="宋体" w:hAnsi="宋体"/>
          <w:bCs/>
        </w:rPr>
        <w:t>F</w:t>
      </w:r>
      <w:r>
        <w:rPr>
          <w:rFonts w:hint="eastAsia" w:ascii="宋体" w:hAnsi="宋体"/>
          <w:bCs/>
          <w:lang w:val="en-US" w:eastAsia="zh-CN"/>
        </w:rPr>
        <w:t>2</w:t>
      </w:r>
      <w:r>
        <w:rPr>
          <w:rFonts w:hint="eastAsia" w:ascii="宋体" w:hAnsi="宋体"/>
          <w:bCs/>
        </w:rPr>
        <w:t>.4机械伤害事故</w:t>
      </w:r>
      <w:r>
        <w:tab/>
      </w:r>
      <w:r>
        <w:fldChar w:fldCharType="begin"/>
      </w:r>
      <w:r>
        <w:instrText xml:space="preserve"> PAGEREF _Toc16181 </w:instrText>
      </w:r>
      <w:r>
        <w:fldChar w:fldCharType="separate"/>
      </w:r>
      <w:r>
        <w:t>55</w:t>
      </w:r>
      <w:r>
        <w:fldChar w:fldCharType="end"/>
      </w:r>
      <w:r>
        <w:fldChar w:fldCharType="end"/>
      </w:r>
    </w:p>
    <w:p>
      <w:pPr>
        <w:pStyle w:val="9"/>
        <w:tabs>
          <w:tab w:val="right" w:leader="dot" w:pos="8312"/>
        </w:tabs>
      </w:pPr>
      <w:r>
        <w:fldChar w:fldCharType="begin"/>
      </w:r>
      <w:r>
        <w:instrText xml:space="preserve"> HYPERLINK \l "_Toc3091" </w:instrText>
      </w:r>
      <w:r>
        <w:fldChar w:fldCharType="separate"/>
      </w:r>
      <w:r>
        <w:rPr>
          <w:rFonts w:hint="eastAsia" w:ascii="宋体" w:hAnsi="宋体"/>
          <w:bCs/>
        </w:rPr>
        <w:t>F</w:t>
      </w:r>
      <w:r>
        <w:rPr>
          <w:rFonts w:hint="eastAsia" w:ascii="宋体" w:hAnsi="宋体"/>
          <w:bCs/>
          <w:lang w:val="en-US" w:eastAsia="zh-CN"/>
        </w:rPr>
        <w:t>2</w:t>
      </w:r>
      <w:r>
        <w:rPr>
          <w:rFonts w:hint="eastAsia" w:ascii="宋体" w:hAnsi="宋体"/>
          <w:bCs/>
        </w:rPr>
        <w:t>.5物体打击事故</w:t>
      </w:r>
      <w:r>
        <w:tab/>
      </w:r>
      <w:r>
        <w:fldChar w:fldCharType="begin"/>
      </w:r>
      <w:r>
        <w:instrText xml:space="preserve"> PAGEREF _Toc3091 </w:instrText>
      </w:r>
      <w:r>
        <w:fldChar w:fldCharType="separate"/>
      </w:r>
      <w:r>
        <w:t>57</w:t>
      </w:r>
      <w:r>
        <w:fldChar w:fldCharType="end"/>
      </w:r>
      <w:r>
        <w:fldChar w:fldCharType="end"/>
      </w:r>
    </w:p>
    <w:p>
      <w:pPr>
        <w:pStyle w:val="9"/>
        <w:tabs>
          <w:tab w:val="right" w:leader="dot" w:pos="8312"/>
        </w:tabs>
      </w:pPr>
      <w:r>
        <w:fldChar w:fldCharType="begin"/>
      </w:r>
      <w:r>
        <w:instrText xml:space="preserve"> HYPERLINK \l "_Toc9897" </w:instrText>
      </w:r>
      <w:r>
        <w:fldChar w:fldCharType="separate"/>
      </w:r>
      <w:r>
        <w:rPr>
          <w:rFonts w:hint="eastAsia" w:ascii="宋体" w:hAnsi="宋体"/>
          <w:bCs/>
        </w:rPr>
        <w:t>F</w:t>
      </w:r>
      <w:r>
        <w:rPr>
          <w:rFonts w:hint="eastAsia" w:ascii="宋体" w:hAnsi="宋体"/>
          <w:bCs/>
          <w:lang w:val="en-US" w:eastAsia="zh-CN"/>
        </w:rPr>
        <w:t>2</w:t>
      </w:r>
      <w:r>
        <w:rPr>
          <w:rFonts w:hint="eastAsia" w:ascii="宋体" w:hAnsi="宋体"/>
          <w:bCs/>
        </w:rPr>
        <w:t>.6起重伤害事故</w:t>
      </w:r>
      <w:r>
        <w:tab/>
      </w:r>
      <w:r>
        <w:fldChar w:fldCharType="begin"/>
      </w:r>
      <w:r>
        <w:instrText xml:space="preserve"> PAGEREF _Toc9897 </w:instrText>
      </w:r>
      <w:r>
        <w:fldChar w:fldCharType="separate"/>
      </w:r>
      <w:r>
        <w:t>58</w:t>
      </w:r>
      <w:r>
        <w:fldChar w:fldCharType="end"/>
      </w:r>
      <w:r>
        <w:fldChar w:fldCharType="end"/>
      </w:r>
    </w:p>
    <w:p>
      <w:pPr>
        <w:pStyle w:val="9"/>
        <w:tabs>
          <w:tab w:val="right" w:leader="dot" w:pos="8312"/>
        </w:tabs>
        <w:rPr>
          <w:rFonts w:hint="eastAsia" w:eastAsia="宋体"/>
          <w:lang w:val="en-US" w:eastAsia="zh-CN"/>
        </w:rPr>
      </w:pPr>
      <w:r>
        <w:fldChar w:fldCharType="begin"/>
      </w:r>
      <w:r>
        <w:instrText xml:space="preserve"> HYPERLINK \l "_Toc22985" </w:instrText>
      </w:r>
      <w:r>
        <w:fldChar w:fldCharType="separate"/>
      </w:r>
      <w:r>
        <w:rPr>
          <w:rFonts w:hint="eastAsia" w:ascii="宋体" w:hAnsi="宋体"/>
          <w:bCs/>
        </w:rPr>
        <w:t>F</w:t>
      </w:r>
      <w:r>
        <w:rPr>
          <w:rFonts w:hint="eastAsia" w:ascii="宋体" w:hAnsi="宋体"/>
          <w:bCs/>
          <w:lang w:val="en-US" w:eastAsia="zh-CN"/>
        </w:rPr>
        <w:t>2</w:t>
      </w:r>
      <w:r>
        <w:rPr>
          <w:rFonts w:hint="eastAsia" w:ascii="宋体" w:hAnsi="宋体"/>
          <w:bCs/>
        </w:rPr>
        <w:t>.7触电事故</w:t>
      </w:r>
      <w:r>
        <w:tab/>
      </w:r>
      <w:r>
        <w:rPr>
          <w:rFonts w:hint="eastAsia"/>
          <w:lang w:val="en-US" w:eastAsia="zh-CN"/>
        </w:rPr>
        <w:t>6</w:t>
      </w:r>
      <w:r>
        <w:fldChar w:fldCharType="end"/>
      </w:r>
      <w:r>
        <w:rPr>
          <w:rFonts w:hint="eastAsia"/>
          <w:lang w:val="en-US" w:eastAsia="zh-CN"/>
        </w:rPr>
        <w:t>2</w:t>
      </w:r>
    </w:p>
    <w:p>
      <w:pPr>
        <w:pStyle w:val="9"/>
        <w:tabs>
          <w:tab w:val="right" w:leader="dot" w:pos="8312"/>
        </w:tabs>
      </w:pPr>
      <w:r>
        <w:fldChar w:fldCharType="begin"/>
      </w:r>
      <w:r>
        <w:instrText xml:space="preserve"> HYPERLINK \l "_Toc25712" </w:instrText>
      </w:r>
      <w:r>
        <w:fldChar w:fldCharType="separate"/>
      </w:r>
      <w:r>
        <w:rPr>
          <w:rFonts w:hint="eastAsia" w:ascii="宋体" w:hAnsi="宋体"/>
          <w:bCs/>
        </w:rPr>
        <w:t>F</w:t>
      </w:r>
      <w:r>
        <w:rPr>
          <w:rFonts w:hint="eastAsia" w:ascii="宋体" w:hAnsi="宋体"/>
          <w:bCs/>
          <w:lang w:val="en-US" w:eastAsia="zh-CN"/>
        </w:rPr>
        <w:t>2</w:t>
      </w:r>
      <w:r>
        <w:rPr>
          <w:rFonts w:hint="eastAsia" w:ascii="宋体" w:hAnsi="宋体"/>
          <w:bCs/>
        </w:rPr>
        <w:t>.8高处坠落事故</w:t>
      </w:r>
      <w:r>
        <w:tab/>
      </w:r>
      <w:r>
        <w:fldChar w:fldCharType="begin"/>
      </w:r>
      <w:r>
        <w:instrText xml:space="preserve"> PAGEREF _Toc25712 </w:instrText>
      </w:r>
      <w:r>
        <w:fldChar w:fldCharType="separate"/>
      </w:r>
      <w:r>
        <w:t>63</w:t>
      </w:r>
      <w:r>
        <w:fldChar w:fldCharType="end"/>
      </w:r>
      <w:r>
        <w:fldChar w:fldCharType="end"/>
      </w:r>
    </w:p>
    <w:p>
      <w:pPr>
        <w:pStyle w:val="9"/>
        <w:tabs>
          <w:tab w:val="right" w:leader="dot" w:pos="8312"/>
        </w:tabs>
      </w:pPr>
      <w:r>
        <w:fldChar w:fldCharType="begin"/>
      </w:r>
      <w:r>
        <w:instrText xml:space="preserve"> HYPERLINK \l "_Toc4697" </w:instrText>
      </w:r>
      <w:r>
        <w:fldChar w:fldCharType="separate"/>
      </w:r>
      <w:r>
        <w:rPr>
          <w:rFonts w:hint="eastAsia" w:ascii="宋体" w:hAnsi="宋体"/>
          <w:bCs/>
        </w:rPr>
        <w:t>F</w:t>
      </w:r>
      <w:r>
        <w:rPr>
          <w:rFonts w:hint="eastAsia" w:ascii="宋体" w:hAnsi="宋体"/>
          <w:bCs/>
          <w:lang w:val="en-US" w:eastAsia="zh-CN"/>
        </w:rPr>
        <w:t>2</w:t>
      </w:r>
      <w:r>
        <w:rPr>
          <w:rFonts w:hint="eastAsia" w:ascii="宋体" w:hAnsi="宋体"/>
          <w:bCs/>
        </w:rPr>
        <w:t>.9坍塌事故</w:t>
      </w:r>
      <w:r>
        <w:tab/>
      </w:r>
      <w:r>
        <w:fldChar w:fldCharType="begin"/>
      </w:r>
      <w:r>
        <w:instrText xml:space="preserve"> PAGEREF _Toc4697 </w:instrText>
      </w:r>
      <w:r>
        <w:fldChar w:fldCharType="separate"/>
      </w:r>
      <w:r>
        <w:t>65</w:t>
      </w:r>
      <w:r>
        <w:fldChar w:fldCharType="end"/>
      </w:r>
      <w:r>
        <w:fldChar w:fldCharType="end"/>
      </w:r>
    </w:p>
    <w:p>
      <w:pPr>
        <w:pStyle w:val="9"/>
        <w:tabs>
          <w:tab w:val="right" w:leader="dot" w:pos="8312"/>
        </w:tabs>
      </w:pPr>
      <w:r>
        <w:fldChar w:fldCharType="begin"/>
      </w:r>
      <w:r>
        <w:instrText xml:space="preserve"> HYPERLINK \l "_Toc12595" </w:instrText>
      </w:r>
      <w:r>
        <w:fldChar w:fldCharType="separate"/>
      </w:r>
      <w:r>
        <w:rPr>
          <w:rFonts w:hint="eastAsia" w:ascii="宋体" w:hAnsi="宋体"/>
          <w:bCs/>
        </w:rPr>
        <w:t>F</w:t>
      </w:r>
      <w:r>
        <w:rPr>
          <w:rFonts w:hint="eastAsia" w:ascii="宋体" w:hAnsi="宋体"/>
          <w:bCs/>
          <w:lang w:val="en-US" w:eastAsia="zh-CN"/>
        </w:rPr>
        <w:t>2</w:t>
      </w:r>
      <w:r>
        <w:rPr>
          <w:rFonts w:hint="eastAsia" w:ascii="宋体" w:hAnsi="宋体"/>
          <w:bCs/>
        </w:rPr>
        <w:t>.10电梯事故</w:t>
      </w:r>
      <w:r>
        <w:tab/>
      </w:r>
      <w:r>
        <w:fldChar w:fldCharType="begin"/>
      </w:r>
      <w:r>
        <w:instrText xml:space="preserve"> PAGEREF _Toc12595 </w:instrText>
      </w:r>
      <w:r>
        <w:fldChar w:fldCharType="separate"/>
      </w:r>
      <w:r>
        <w:t>66</w:t>
      </w:r>
      <w:r>
        <w:fldChar w:fldCharType="end"/>
      </w:r>
      <w:r>
        <w:fldChar w:fldCharType="end"/>
      </w:r>
    </w:p>
    <w:p>
      <w:pPr>
        <w:pStyle w:val="10"/>
        <w:tabs>
          <w:tab w:val="right" w:leader="dot" w:pos="8312"/>
        </w:tabs>
        <w:rPr>
          <w:rFonts w:hint="eastAsia" w:eastAsia="宋体"/>
          <w:lang w:val="en-US" w:eastAsia="zh-CN"/>
        </w:rPr>
      </w:pPr>
      <w:r>
        <w:fldChar w:fldCharType="begin"/>
      </w:r>
      <w:r>
        <w:instrText xml:space="preserve"> HYPERLINK \l "_Toc25689" </w:instrText>
      </w:r>
      <w:r>
        <w:fldChar w:fldCharType="separate"/>
      </w:r>
      <w:r>
        <w:rPr>
          <w:rFonts w:hint="eastAsia"/>
          <w:szCs w:val="28"/>
        </w:rPr>
        <w:t>附件</w:t>
      </w:r>
      <w:r>
        <w:rPr>
          <w:rFonts w:hint="eastAsia"/>
          <w:szCs w:val="28"/>
          <w:lang w:val="en-US" w:eastAsia="zh-CN"/>
        </w:rPr>
        <w:t>3</w:t>
      </w:r>
      <w:r>
        <w:rPr>
          <w:rFonts w:hint="eastAsia"/>
          <w:szCs w:val="28"/>
        </w:rPr>
        <w:t>：应急救援专家表</w:t>
      </w:r>
      <w:r>
        <w:tab/>
      </w:r>
      <w:r>
        <w:rPr>
          <w:rFonts w:hint="eastAsia"/>
          <w:lang w:val="en-US" w:eastAsia="zh-CN"/>
        </w:rPr>
        <w:t>7</w:t>
      </w:r>
      <w:r>
        <w:fldChar w:fldCharType="end"/>
      </w:r>
      <w:r>
        <w:rPr>
          <w:rFonts w:hint="eastAsia"/>
          <w:lang w:val="en-US" w:eastAsia="zh-CN"/>
        </w:rPr>
        <w:t>2</w:t>
      </w:r>
    </w:p>
    <w:p>
      <w:pPr>
        <w:pStyle w:val="10"/>
        <w:tabs>
          <w:tab w:val="right" w:leader="dot" w:pos="8312"/>
        </w:tabs>
      </w:pPr>
      <w:r>
        <w:fldChar w:fldCharType="begin"/>
      </w:r>
      <w:r>
        <w:instrText xml:space="preserve"> HYPERLINK \l "_Toc16246" </w:instrText>
      </w:r>
      <w:r>
        <w:fldChar w:fldCharType="separate"/>
      </w:r>
      <w:r>
        <w:rPr>
          <w:rFonts w:hint="eastAsia"/>
          <w:szCs w:val="28"/>
        </w:rPr>
        <w:t>附件</w:t>
      </w:r>
      <w:r>
        <w:rPr>
          <w:rFonts w:hint="eastAsia"/>
          <w:szCs w:val="28"/>
          <w:lang w:val="en-US" w:eastAsia="zh-CN"/>
        </w:rPr>
        <w:t>4</w:t>
      </w:r>
      <w:r>
        <w:rPr>
          <w:rFonts w:hint="eastAsia"/>
          <w:szCs w:val="28"/>
        </w:rPr>
        <w:t>：社会救援中心及报警电话</w:t>
      </w:r>
      <w:r>
        <w:tab/>
      </w:r>
      <w:r>
        <w:fldChar w:fldCharType="begin"/>
      </w:r>
      <w:r>
        <w:instrText xml:space="preserve"> PAGEREF _Toc16246 </w:instrText>
      </w:r>
      <w:r>
        <w:fldChar w:fldCharType="separate"/>
      </w:r>
      <w:r>
        <w:t>76</w:t>
      </w:r>
      <w:r>
        <w:fldChar w:fldCharType="end"/>
      </w:r>
      <w:r>
        <w:fldChar w:fldCharType="end"/>
      </w:r>
    </w:p>
    <w:p>
      <w:pPr>
        <w:pStyle w:val="10"/>
        <w:tabs>
          <w:tab w:val="right" w:leader="dot" w:pos="8312"/>
        </w:tabs>
      </w:pPr>
      <w:r>
        <w:fldChar w:fldCharType="begin"/>
      </w:r>
      <w:r>
        <w:instrText xml:space="preserve"> HYPERLINK \l "_Toc9566" </w:instrText>
      </w:r>
      <w:r>
        <w:fldChar w:fldCharType="separate"/>
      </w:r>
      <w:r>
        <w:rPr>
          <w:rFonts w:hint="eastAsia"/>
          <w:szCs w:val="28"/>
        </w:rPr>
        <w:t>附件</w:t>
      </w:r>
      <w:r>
        <w:rPr>
          <w:rFonts w:hint="eastAsia"/>
          <w:szCs w:val="28"/>
          <w:lang w:val="en-US" w:eastAsia="zh-CN"/>
        </w:rPr>
        <w:t>5</w:t>
      </w:r>
      <w:r>
        <w:rPr>
          <w:rFonts w:hint="eastAsia"/>
          <w:szCs w:val="28"/>
        </w:rPr>
        <w:t>：事故应急救援机构名录</w:t>
      </w:r>
      <w:r>
        <w:tab/>
      </w:r>
      <w:r>
        <w:fldChar w:fldCharType="begin"/>
      </w:r>
      <w:r>
        <w:instrText xml:space="preserve"> PAGEREF _Toc9566 </w:instrText>
      </w:r>
      <w:r>
        <w:fldChar w:fldCharType="separate"/>
      </w:r>
      <w:r>
        <w:t>77</w:t>
      </w:r>
      <w:r>
        <w:fldChar w:fldCharType="end"/>
      </w:r>
      <w:r>
        <w:fldChar w:fldCharType="end"/>
      </w:r>
    </w:p>
    <w:p>
      <w:pPr>
        <w:spacing w:line="360" w:lineRule="auto"/>
        <w:ind w:firstLine="420" w:firstLineChars="200"/>
        <w:rPr>
          <w:sz w:val="28"/>
          <w:szCs w:val="28"/>
        </w:rPr>
      </w:pPr>
      <w:r>
        <w:rPr>
          <w:rFonts w:hint="eastAsia"/>
          <w:szCs w:val="28"/>
        </w:rPr>
        <w:fldChar w:fldCharType="end"/>
      </w:r>
    </w:p>
    <w:p>
      <w:pPr>
        <w:spacing w:line="360" w:lineRule="auto"/>
        <w:ind w:firstLine="560" w:firstLineChars="200"/>
        <w:rPr>
          <w:sz w:val="28"/>
          <w:szCs w:val="28"/>
        </w:rPr>
        <w:sectPr>
          <w:footerReference r:id="rId7" w:type="first"/>
          <w:footerReference r:id="rId6" w:type="default"/>
          <w:pgSz w:w="11906" w:h="16838"/>
          <w:pgMar w:top="1440" w:right="1797" w:bottom="1440" w:left="1797" w:header="851" w:footer="992" w:gutter="0"/>
          <w:cols w:space="720" w:num="1"/>
          <w:docGrid w:type="lines" w:linePitch="312" w:charSpace="0"/>
        </w:sectPr>
      </w:pPr>
    </w:p>
    <w:p>
      <w:pPr>
        <w:spacing w:line="360" w:lineRule="auto"/>
        <w:jc w:val="center"/>
        <w:outlineLvl w:val="0"/>
        <w:rPr>
          <w:b/>
          <w:sz w:val="28"/>
          <w:szCs w:val="28"/>
        </w:rPr>
      </w:pPr>
      <w:bookmarkStart w:id="3" w:name="_Toc16484"/>
      <w:bookmarkStart w:id="4" w:name="_Toc24821"/>
      <w:bookmarkStart w:id="5" w:name="_Toc18573"/>
      <w:r>
        <w:rPr>
          <w:rFonts w:hint="eastAsia"/>
          <w:b/>
          <w:sz w:val="28"/>
          <w:szCs w:val="28"/>
        </w:rPr>
        <w:t>1  总则</w:t>
      </w:r>
      <w:bookmarkEnd w:id="3"/>
      <w:bookmarkEnd w:id="4"/>
      <w:bookmarkEnd w:id="5"/>
    </w:p>
    <w:p>
      <w:pPr>
        <w:spacing w:line="360" w:lineRule="auto"/>
        <w:ind w:firstLine="560" w:firstLineChars="200"/>
        <w:outlineLvl w:val="1"/>
        <w:rPr>
          <w:sz w:val="28"/>
          <w:szCs w:val="28"/>
        </w:rPr>
      </w:pPr>
      <w:bookmarkStart w:id="6" w:name="_Toc20709"/>
      <w:bookmarkStart w:id="7" w:name="_Toc24019"/>
      <w:bookmarkStart w:id="8" w:name="_Toc31828"/>
      <w:r>
        <w:rPr>
          <w:sz w:val="28"/>
          <w:szCs w:val="28"/>
        </w:rPr>
        <w:t xml:space="preserve">1.1  </w:t>
      </w:r>
      <w:r>
        <w:rPr>
          <w:rFonts w:hint="eastAsia"/>
          <w:sz w:val="28"/>
          <w:szCs w:val="28"/>
        </w:rPr>
        <w:t>编制目的</w:t>
      </w:r>
      <w:bookmarkEnd w:id="6"/>
      <w:bookmarkEnd w:id="7"/>
      <w:bookmarkEnd w:id="8"/>
    </w:p>
    <w:p>
      <w:pPr>
        <w:spacing w:line="360" w:lineRule="auto"/>
        <w:ind w:firstLine="560" w:firstLineChars="200"/>
        <w:rPr>
          <w:sz w:val="28"/>
          <w:szCs w:val="28"/>
        </w:rPr>
      </w:pPr>
      <w:r>
        <w:rPr>
          <w:rFonts w:hint="eastAsia"/>
          <w:sz w:val="28"/>
          <w:szCs w:val="28"/>
        </w:rPr>
        <w:t>贯彻落实“安全第一，预防为主，综合治理”的安全生产工作方针。加强对太仓市城厢镇可能发生的危险化学品突发事故，及时有效地作出快速反应，增强处理危险化学品突发事故的能力，最大限度地降低事故危害程度，预防和控制次生灾害的发生，保障人民生命、财产安全，最大限度地减少环境破坏和社会影响，维护社会的安全和稳定。</w:t>
      </w:r>
    </w:p>
    <w:p>
      <w:pPr>
        <w:spacing w:line="360" w:lineRule="auto"/>
        <w:ind w:firstLine="560" w:firstLineChars="200"/>
        <w:outlineLvl w:val="1"/>
        <w:rPr>
          <w:sz w:val="28"/>
          <w:szCs w:val="28"/>
        </w:rPr>
      </w:pPr>
      <w:bookmarkStart w:id="9" w:name="_Toc13426"/>
      <w:bookmarkStart w:id="10" w:name="_Toc13125"/>
      <w:bookmarkStart w:id="11" w:name="_Toc3812"/>
      <w:r>
        <w:rPr>
          <w:sz w:val="28"/>
          <w:szCs w:val="28"/>
        </w:rPr>
        <w:t>1.</w:t>
      </w:r>
      <w:r>
        <w:rPr>
          <w:rFonts w:hint="eastAsia"/>
          <w:sz w:val="28"/>
          <w:szCs w:val="28"/>
        </w:rPr>
        <w:t>2</w:t>
      </w:r>
      <w:r>
        <w:rPr>
          <w:sz w:val="28"/>
          <w:szCs w:val="28"/>
        </w:rPr>
        <w:t xml:space="preserve">  </w:t>
      </w:r>
      <w:r>
        <w:rPr>
          <w:rFonts w:hint="eastAsia"/>
          <w:sz w:val="28"/>
          <w:szCs w:val="28"/>
        </w:rPr>
        <w:t>编制依据</w:t>
      </w:r>
      <w:bookmarkEnd w:id="9"/>
      <w:bookmarkEnd w:id="10"/>
      <w:bookmarkEnd w:id="11"/>
    </w:p>
    <w:p>
      <w:pPr>
        <w:spacing w:line="360" w:lineRule="auto"/>
        <w:ind w:firstLine="560" w:firstLineChars="200"/>
        <w:rPr>
          <w:rFonts w:hint="eastAsia"/>
          <w:sz w:val="28"/>
          <w:szCs w:val="28"/>
        </w:rPr>
      </w:pPr>
      <w:r>
        <w:rPr>
          <w:rFonts w:hint="eastAsia"/>
          <w:sz w:val="28"/>
          <w:szCs w:val="28"/>
        </w:rPr>
        <w:t>（</w:t>
      </w:r>
      <w:r>
        <w:rPr>
          <w:sz w:val="28"/>
          <w:szCs w:val="28"/>
        </w:rPr>
        <w:t>1</w:t>
      </w:r>
      <w:r>
        <w:rPr>
          <w:rFonts w:hint="eastAsia"/>
          <w:sz w:val="28"/>
          <w:szCs w:val="28"/>
        </w:rPr>
        <w:t>）《中华人民共和国安全生产法》（</w:t>
      </w:r>
      <w:r>
        <w:rPr>
          <w:sz w:val="28"/>
          <w:szCs w:val="28"/>
        </w:rPr>
        <w:t>20</w:t>
      </w:r>
      <w:r>
        <w:rPr>
          <w:rFonts w:hint="eastAsia"/>
          <w:sz w:val="28"/>
          <w:szCs w:val="28"/>
        </w:rPr>
        <w:t>14年</w:t>
      </w:r>
      <w:r>
        <w:rPr>
          <w:sz w:val="28"/>
          <w:szCs w:val="28"/>
        </w:rPr>
        <w:t>1</w:t>
      </w:r>
      <w:r>
        <w:rPr>
          <w:rFonts w:hint="eastAsia"/>
          <w:sz w:val="28"/>
          <w:szCs w:val="28"/>
        </w:rPr>
        <w:t>2月</w:t>
      </w:r>
      <w:r>
        <w:rPr>
          <w:sz w:val="28"/>
          <w:szCs w:val="28"/>
        </w:rPr>
        <w:t>1</w:t>
      </w:r>
      <w:r>
        <w:rPr>
          <w:rFonts w:hint="eastAsia"/>
          <w:sz w:val="28"/>
          <w:szCs w:val="28"/>
        </w:rPr>
        <w:t>日起施行）</w:t>
      </w:r>
    </w:p>
    <w:p>
      <w:pPr>
        <w:spacing w:line="360" w:lineRule="auto"/>
        <w:ind w:firstLine="560" w:firstLineChars="200"/>
        <w:rPr>
          <w:sz w:val="28"/>
          <w:szCs w:val="28"/>
        </w:rPr>
      </w:pPr>
      <w:r>
        <w:rPr>
          <w:rFonts w:hint="eastAsia"/>
          <w:sz w:val="28"/>
          <w:szCs w:val="28"/>
        </w:rPr>
        <w:t>（</w:t>
      </w:r>
      <w:r>
        <w:rPr>
          <w:sz w:val="28"/>
          <w:szCs w:val="28"/>
        </w:rPr>
        <w:t>2</w:t>
      </w:r>
      <w:r>
        <w:rPr>
          <w:rFonts w:hint="eastAsia"/>
          <w:sz w:val="28"/>
          <w:szCs w:val="28"/>
        </w:rPr>
        <w:t>）《中华人民共和国突发事件应对法》（</w:t>
      </w:r>
      <w:r>
        <w:rPr>
          <w:sz w:val="28"/>
          <w:szCs w:val="28"/>
        </w:rPr>
        <w:t>2007</w:t>
      </w:r>
      <w:r>
        <w:rPr>
          <w:rFonts w:hint="eastAsia"/>
          <w:sz w:val="28"/>
          <w:szCs w:val="28"/>
        </w:rPr>
        <w:t>年</w:t>
      </w:r>
      <w:r>
        <w:rPr>
          <w:sz w:val="28"/>
          <w:szCs w:val="28"/>
        </w:rPr>
        <w:t>11</w:t>
      </w:r>
      <w:r>
        <w:rPr>
          <w:rFonts w:hint="eastAsia"/>
          <w:sz w:val="28"/>
          <w:szCs w:val="28"/>
        </w:rPr>
        <w:t>月</w:t>
      </w:r>
      <w:r>
        <w:rPr>
          <w:sz w:val="28"/>
          <w:szCs w:val="28"/>
        </w:rPr>
        <w:t>1</w:t>
      </w:r>
      <w:r>
        <w:rPr>
          <w:rFonts w:hint="eastAsia"/>
          <w:sz w:val="28"/>
          <w:szCs w:val="28"/>
        </w:rPr>
        <w:t>日起施行）</w:t>
      </w:r>
    </w:p>
    <w:p>
      <w:pPr>
        <w:spacing w:line="360" w:lineRule="auto"/>
        <w:ind w:firstLine="560" w:firstLineChars="200"/>
        <w:rPr>
          <w:sz w:val="28"/>
          <w:szCs w:val="28"/>
        </w:rPr>
      </w:pPr>
      <w:r>
        <w:rPr>
          <w:rFonts w:hint="eastAsia"/>
          <w:sz w:val="28"/>
          <w:szCs w:val="28"/>
        </w:rPr>
        <w:t>（</w:t>
      </w:r>
      <w:r>
        <w:rPr>
          <w:sz w:val="28"/>
          <w:szCs w:val="28"/>
        </w:rPr>
        <w:t>3</w:t>
      </w:r>
      <w:r>
        <w:rPr>
          <w:rFonts w:hint="eastAsia"/>
          <w:sz w:val="28"/>
          <w:szCs w:val="28"/>
        </w:rPr>
        <w:t>）《中华人民共和国消防法》（</w:t>
      </w:r>
      <w:r>
        <w:rPr>
          <w:rFonts w:hint="eastAsia"/>
          <w:sz w:val="28"/>
          <w:szCs w:val="28"/>
          <w:lang w:val="en-US" w:eastAsia="zh-CN"/>
        </w:rPr>
        <w:t>2021年修正</w:t>
      </w:r>
      <w:r>
        <w:rPr>
          <w:rFonts w:hint="eastAsia"/>
          <w:sz w:val="28"/>
          <w:szCs w:val="28"/>
        </w:rPr>
        <w:t>）</w:t>
      </w:r>
    </w:p>
    <w:p>
      <w:pPr>
        <w:spacing w:line="360" w:lineRule="auto"/>
        <w:ind w:firstLine="560" w:firstLineChars="200"/>
        <w:rPr>
          <w:sz w:val="28"/>
          <w:szCs w:val="28"/>
        </w:rPr>
      </w:pPr>
      <w:r>
        <w:rPr>
          <w:rFonts w:hint="eastAsia"/>
          <w:sz w:val="28"/>
          <w:szCs w:val="28"/>
        </w:rPr>
        <w:t>（</w:t>
      </w:r>
      <w:r>
        <w:rPr>
          <w:sz w:val="28"/>
          <w:szCs w:val="28"/>
        </w:rPr>
        <w:t>4</w:t>
      </w:r>
      <w:r>
        <w:rPr>
          <w:rFonts w:hint="eastAsia"/>
          <w:sz w:val="28"/>
          <w:szCs w:val="28"/>
        </w:rPr>
        <w:t>）《国家突发公共事件总体应急预案》（</w:t>
      </w:r>
      <w:r>
        <w:rPr>
          <w:sz w:val="28"/>
          <w:szCs w:val="28"/>
        </w:rPr>
        <w:t>2006</w:t>
      </w:r>
      <w:r>
        <w:rPr>
          <w:rFonts w:hint="eastAsia"/>
          <w:sz w:val="28"/>
          <w:szCs w:val="28"/>
        </w:rPr>
        <w:t>年</w:t>
      </w:r>
      <w:r>
        <w:rPr>
          <w:sz w:val="28"/>
          <w:szCs w:val="28"/>
        </w:rPr>
        <w:t>1</w:t>
      </w:r>
      <w:r>
        <w:rPr>
          <w:rFonts w:hint="eastAsia"/>
          <w:sz w:val="28"/>
          <w:szCs w:val="28"/>
        </w:rPr>
        <w:t>月</w:t>
      </w:r>
      <w:r>
        <w:rPr>
          <w:sz w:val="28"/>
          <w:szCs w:val="28"/>
        </w:rPr>
        <w:t>8</w:t>
      </w:r>
      <w:r>
        <w:rPr>
          <w:rFonts w:hint="eastAsia"/>
          <w:sz w:val="28"/>
          <w:szCs w:val="28"/>
        </w:rPr>
        <w:t>日起施行）</w:t>
      </w:r>
    </w:p>
    <w:p>
      <w:pPr>
        <w:spacing w:line="360" w:lineRule="auto"/>
        <w:ind w:firstLine="560" w:firstLineChars="200"/>
        <w:rPr>
          <w:sz w:val="28"/>
          <w:szCs w:val="28"/>
        </w:rPr>
      </w:pPr>
      <w:r>
        <w:rPr>
          <w:rFonts w:hint="eastAsia"/>
          <w:sz w:val="28"/>
          <w:szCs w:val="28"/>
        </w:rPr>
        <w:t>（</w:t>
      </w:r>
      <w:r>
        <w:rPr>
          <w:sz w:val="28"/>
          <w:szCs w:val="28"/>
        </w:rPr>
        <w:t>5</w:t>
      </w:r>
      <w:r>
        <w:rPr>
          <w:rFonts w:hint="eastAsia"/>
          <w:sz w:val="28"/>
          <w:szCs w:val="28"/>
        </w:rPr>
        <w:t>）《国务院关于进一步加强安全生产工作的决定》（国发〔</w:t>
      </w:r>
      <w:r>
        <w:rPr>
          <w:sz w:val="28"/>
          <w:szCs w:val="28"/>
        </w:rPr>
        <w:t>2004</w:t>
      </w:r>
      <w:r>
        <w:rPr>
          <w:rFonts w:hint="eastAsia"/>
          <w:sz w:val="28"/>
          <w:szCs w:val="28"/>
        </w:rPr>
        <w:t>〕</w:t>
      </w:r>
      <w:r>
        <w:rPr>
          <w:sz w:val="28"/>
          <w:szCs w:val="28"/>
        </w:rPr>
        <w:t>2</w:t>
      </w:r>
      <w:r>
        <w:rPr>
          <w:rFonts w:hint="eastAsia"/>
          <w:sz w:val="28"/>
          <w:szCs w:val="28"/>
        </w:rPr>
        <w:t>号）</w:t>
      </w:r>
    </w:p>
    <w:p>
      <w:pPr>
        <w:spacing w:line="360" w:lineRule="auto"/>
        <w:ind w:firstLine="560" w:firstLineChars="200"/>
        <w:rPr>
          <w:sz w:val="28"/>
          <w:szCs w:val="28"/>
        </w:rPr>
      </w:pPr>
      <w:r>
        <w:rPr>
          <w:rFonts w:hint="eastAsia"/>
          <w:sz w:val="28"/>
          <w:szCs w:val="28"/>
        </w:rPr>
        <w:t>（</w:t>
      </w:r>
      <w:r>
        <w:rPr>
          <w:sz w:val="28"/>
          <w:szCs w:val="28"/>
        </w:rPr>
        <w:t>6</w:t>
      </w:r>
      <w:r>
        <w:rPr>
          <w:rFonts w:hint="eastAsia"/>
          <w:sz w:val="28"/>
          <w:szCs w:val="28"/>
        </w:rPr>
        <w:t>）《国家安全监管总局关于修改&lt;《生产安全事故报告和调查处理条例》罚款处罚暂行规定&gt;部分条款的决定》（安监总局令第42号，2011年11月1日起施行）</w:t>
      </w:r>
    </w:p>
    <w:p>
      <w:pPr>
        <w:spacing w:line="360" w:lineRule="auto"/>
        <w:ind w:firstLine="560" w:firstLineChars="200"/>
        <w:rPr>
          <w:sz w:val="28"/>
          <w:szCs w:val="28"/>
        </w:rPr>
      </w:pPr>
      <w:r>
        <w:rPr>
          <w:rFonts w:hint="eastAsia"/>
          <w:sz w:val="28"/>
          <w:szCs w:val="28"/>
        </w:rPr>
        <w:t>（7）《应急管理部关于修改〈生产安全事故应急预案管理办法〉的决定》（2019年9月1日起施行）</w:t>
      </w:r>
    </w:p>
    <w:p>
      <w:pPr>
        <w:spacing w:line="360" w:lineRule="auto"/>
        <w:ind w:firstLine="560" w:firstLineChars="200"/>
        <w:rPr>
          <w:sz w:val="28"/>
          <w:szCs w:val="28"/>
        </w:rPr>
      </w:pPr>
      <w:r>
        <w:rPr>
          <w:rFonts w:hint="eastAsia"/>
          <w:sz w:val="28"/>
          <w:szCs w:val="28"/>
        </w:rPr>
        <w:t>（8）</w:t>
      </w:r>
      <w:r>
        <w:rPr>
          <w:rFonts w:hint="eastAsia"/>
          <w:color w:val="000000"/>
          <w:sz w:val="28"/>
          <w:szCs w:val="28"/>
        </w:rPr>
        <w:t>《危险化学品重大危险源监督管理暂行规定》（安监总局令第40号，79号令修改）</w:t>
      </w:r>
    </w:p>
    <w:p>
      <w:pPr>
        <w:spacing w:line="360" w:lineRule="auto"/>
        <w:ind w:firstLine="560" w:firstLineChars="200"/>
        <w:rPr>
          <w:sz w:val="28"/>
          <w:szCs w:val="28"/>
        </w:rPr>
      </w:pPr>
      <w:r>
        <w:rPr>
          <w:rFonts w:hint="eastAsia"/>
          <w:sz w:val="28"/>
          <w:szCs w:val="28"/>
        </w:rPr>
        <w:t>（9）《国务院安委会办公室关于进一步加强化工园区安全管理的指导意见》（安委办〔2012〕37号，2012年8月7日）</w:t>
      </w:r>
    </w:p>
    <w:p>
      <w:pPr>
        <w:spacing w:line="360" w:lineRule="auto"/>
        <w:ind w:firstLine="560" w:firstLineChars="200"/>
        <w:rPr>
          <w:sz w:val="28"/>
          <w:szCs w:val="28"/>
        </w:rPr>
      </w:pPr>
      <w:r>
        <w:rPr>
          <w:rFonts w:hint="eastAsia"/>
          <w:sz w:val="28"/>
          <w:szCs w:val="28"/>
        </w:rPr>
        <w:t>（10）《国务院关于坚持科学发展安全发展促进安全生产形势持续稳定好转的意见》（国发〔2011〕40号，2011年11月26日）</w:t>
      </w:r>
    </w:p>
    <w:p>
      <w:pPr>
        <w:spacing w:line="360" w:lineRule="auto"/>
        <w:ind w:firstLine="560" w:firstLineChars="200"/>
        <w:rPr>
          <w:sz w:val="28"/>
          <w:szCs w:val="28"/>
        </w:rPr>
      </w:pPr>
      <w:r>
        <w:rPr>
          <w:rFonts w:hint="eastAsia"/>
          <w:sz w:val="28"/>
          <w:szCs w:val="28"/>
        </w:rPr>
        <w:t>（11）《危险化学品安全管理条例》（国务院令第591号，</w:t>
      </w:r>
      <w:r>
        <w:rPr>
          <w:sz w:val="28"/>
          <w:szCs w:val="28"/>
        </w:rPr>
        <w:t>20</w:t>
      </w:r>
      <w:r>
        <w:rPr>
          <w:rFonts w:hint="eastAsia"/>
          <w:sz w:val="28"/>
          <w:szCs w:val="28"/>
        </w:rPr>
        <w:t>11年12月</w:t>
      </w:r>
      <w:r>
        <w:rPr>
          <w:sz w:val="28"/>
          <w:szCs w:val="28"/>
        </w:rPr>
        <w:t>1</w:t>
      </w:r>
      <w:r>
        <w:rPr>
          <w:rFonts w:hint="eastAsia"/>
          <w:sz w:val="28"/>
          <w:szCs w:val="28"/>
        </w:rPr>
        <w:t>日起施行）</w:t>
      </w:r>
    </w:p>
    <w:p>
      <w:pPr>
        <w:spacing w:line="360" w:lineRule="auto"/>
        <w:ind w:firstLine="560" w:firstLineChars="200"/>
        <w:rPr>
          <w:rFonts w:hint="eastAsia"/>
          <w:sz w:val="28"/>
          <w:szCs w:val="28"/>
          <w:lang w:val="en-US" w:eastAsia="zh-CN"/>
        </w:rPr>
      </w:pPr>
      <w:r>
        <w:rPr>
          <w:rFonts w:hint="eastAsia"/>
          <w:sz w:val="28"/>
          <w:szCs w:val="28"/>
        </w:rPr>
        <w:t>（12）《危险化学品重大危险源辨识》（</w:t>
      </w:r>
      <w:r>
        <w:rPr>
          <w:sz w:val="28"/>
          <w:szCs w:val="28"/>
        </w:rPr>
        <w:t>GB18218-20</w:t>
      </w:r>
      <w:r>
        <w:rPr>
          <w:rFonts w:hint="eastAsia"/>
          <w:sz w:val="28"/>
          <w:szCs w:val="28"/>
          <w:lang w:val="en-US" w:eastAsia="zh-CN"/>
        </w:rPr>
        <w:t>18</w:t>
      </w:r>
      <w:r>
        <w:rPr>
          <w:rFonts w:hint="eastAsia"/>
          <w:sz w:val="28"/>
          <w:szCs w:val="28"/>
        </w:rPr>
        <w:t>）</w:t>
      </w:r>
    </w:p>
    <w:p>
      <w:pPr>
        <w:spacing w:line="360" w:lineRule="auto"/>
        <w:ind w:firstLine="560" w:firstLineChars="200"/>
        <w:rPr>
          <w:sz w:val="28"/>
          <w:szCs w:val="28"/>
        </w:rPr>
      </w:pPr>
      <w:r>
        <w:rPr>
          <w:rFonts w:hint="eastAsia"/>
          <w:sz w:val="28"/>
          <w:szCs w:val="28"/>
        </w:rPr>
        <w:t>（13）《江苏省安全生产条例》（</w:t>
      </w:r>
      <w:r>
        <w:rPr>
          <w:sz w:val="28"/>
          <w:szCs w:val="28"/>
        </w:rPr>
        <w:t>20</w:t>
      </w:r>
      <w:r>
        <w:rPr>
          <w:rFonts w:hint="eastAsia"/>
          <w:sz w:val="28"/>
          <w:szCs w:val="28"/>
        </w:rPr>
        <w:t>16年10月</w:t>
      </w:r>
      <w:r>
        <w:rPr>
          <w:sz w:val="28"/>
          <w:szCs w:val="28"/>
        </w:rPr>
        <w:t>1</w:t>
      </w:r>
      <w:r>
        <w:rPr>
          <w:rFonts w:hint="eastAsia"/>
          <w:sz w:val="28"/>
          <w:szCs w:val="28"/>
        </w:rPr>
        <w:t>日施行）</w:t>
      </w:r>
    </w:p>
    <w:p>
      <w:pPr>
        <w:spacing w:line="360" w:lineRule="auto"/>
        <w:ind w:firstLine="560" w:firstLineChars="200"/>
        <w:rPr>
          <w:sz w:val="28"/>
          <w:szCs w:val="28"/>
        </w:rPr>
      </w:pPr>
      <w:r>
        <w:rPr>
          <w:rFonts w:hint="eastAsia"/>
          <w:sz w:val="28"/>
          <w:szCs w:val="28"/>
        </w:rPr>
        <w:t>（14）《省政府关于坚持科学发展全面提升全省安全发展水平的意见》（苏政发〔2012〕112号）</w:t>
      </w:r>
    </w:p>
    <w:p>
      <w:pPr>
        <w:spacing w:line="360" w:lineRule="auto"/>
        <w:ind w:firstLine="560" w:firstLineChars="200"/>
        <w:rPr>
          <w:sz w:val="28"/>
          <w:szCs w:val="28"/>
        </w:rPr>
      </w:pPr>
      <w:r>
        <w:rPr>
          <w:rFonts w:hint="eastAsia"/>
          <w:sz w:val="28"/>
          <w:szCs w:val="28"/>
        </w:rPr>
        <w:t>（15）《省安委会关于进一步加强化工集中区安全管理的通知》（苏安〔2013〕11号）</w:t>
      </w:r>
    </w:p>
    <w:p>
      <w:pPr>
        <w:spacing w:line="360" w:lineRule="auto"/>
        <w:ind w:firstLine="560" w:firstLineChars="200"/>
        <w:rPr>
          <w:sz w:val="28"/>
          <w:szCs w:val="28"/>
        </w:rPr>
      </w:pPr>
      <w:r>
        <w:rPr>
          <w:rFonts w:hint="eastAsia"/>
          <w:sz w:val="28"/>
          <w:szCs w:val="28"/>
        </w:rPr>
        <w:t>（16）《关于印发&lt;江苏省生产安全事故应急预案管理办法（试行）&gt;的通知》（苏应急[2011]190号）</w:t>
      </w:r>
    </w:p>
    <w:p>
      <w:pPr>
        <w:spacing w:line="360" w:lineRule="auto"/>
        <w:ind w:firstLine="560" w:firstLineChars="200"/>
        <w:rPr>
          <w:rFonts w:hint="eastAsia" w:ascii="宋体" w:hAnsi="宋体"/>
          <w:sz w:val="28"/>
          <w:szCs w:val="28"/>
        </w:rPr>
      </w:pPr>
      <w:r>
        <w:rPr>
          <w:rFonts w:hint="eastAsia"/>
          <w:sz w:val="28"/>
          <w:szCs w:val="28"/>
        </w:rPr>
        <w:t>（</w:t>
      </w:r>
      <w:r>
        <w:rPr>
          <w:sz w:val="28"/>
          <w:szCs w:val="28"/>
        </w:rPr>
        <w:t>1</w:t>
      </w:r>
      <w:r>
        <w:rPr>
          <w:rFonts w:hint="eastAsia"/>
          <w:sz w:val="28"/>
          <w:szCs w:val="28"/>
        </w:rPr>
        <w:t>8）《江苏省突发公共事件总体应急预案》</w:t>
      </w:r>
      <w:r>
        <w:rPr>
          <w:rFonts w:hint="eastAsia" w:ascii="宋体" w:hAnsi="宋体"/>
          <w:sz w:val="28"/>
          <w:szCs w:val="28"/>
        </w:rPr>
        <w:t>（苏政发〔2020〕6号）</w:t>
      </w:r>
    </w:p>
    <w:p>
      <w:pPr>
        <w:spacing w:line="360" w:lineRule="auto"/>
        <w:ind w:firstLine="560" w:firstLineChars="200"/>
        <w:outlineLvl w:val="1"/>
        <w:rPr>
          <w:sz w:val="28"/>
          <w:szCs w:val="28"/>
        </w:rPr>
      </w:pPr>
      <w:bookmarkStart w:id="12" w:name="_Toc18844"/>
      <w:bookmarkStart w:id="13" w:name="_Toc16945"/>
      <w:bookmarkStart w:id="14" w:name="_Toc17966"/>
      <w:r>
        <w:rPr>
          <w:sz w:val="28"/>
          <w:szCs w:val="28"/>
        </w:rPr>
        <w:t>1.</w:t>
      </w:r>
      <w:r>
        <w:rPr>
          <w:rFonts w:hint="eastAsia"/>
          <w:sz w:val="28"/>
          <w:szCs w:val="28"/>
        </w:rPr>
        <w:t>3</w:t>
      </w:r>
      <w:r>
        <w:rPr>
          <w:sz w:val="28"/>
          <w:szCs w:val="28"/>
        </w:rPr>
        <w:t xml:space="preserve">  </w:t>
      </w:r>
      <w:r>
        <w:rPr>
          <w:rFonts w:hint="eastAsia"/>
          <w:sz w:val="28"/>
          <w:szCs w:val="28"/>
        </w:rPr>
        <w:t>生产安全事故定义及等级划分</w:t>
      </w:r>
      <w:bookmarkEnd w:id="12"/>
      <w:bookmarkEnd w:id="13"/>
      <w:bookmarkEnd w:id="14"/>
    </w:p>
    <w:p>
      <w:pPr>
        <w:spacing w:line="360" w:lineRule="auto"/>
        <w:ind w:firstLine="560" w:firstLineChars="200"/>
        <w:rPr>
          <w:sz w:val="28"/>
          <w:szCs w:val="28"/>
        </w:rPr>
      </w:pPr>
      <w:r>
        <w:rPr>
          <w:rFonts w:hint="eastAsia"/>
          <w:sz w:val="28"/>
          <w:szCs w:val="28"/>
        </w:rPr>
        <w:t>1.3.1标准规范中的定义及等级划分</w:t>
      </w:r>
    </w:p>
    <w:p>
      <w:pPr>
        <w:spacing w:line="360" w:lineRule="auto"/>
        <w:ind w:firstLine="560" w:firstLineChars="200"/>
        <w:rPr>
          <w:sz w:val="28"/>
          <w:szCs w:val="28"/>
        </w:rPr>
      </w:pPr>
      <w:r>
        <w:rPr>
          <w:rFonts w:hint="eastAsia"/>
          <w:sz w:val="28"/>
          <w:szCs w:val="28"/>
        </w:rPr>
        <w:t>生产安全事故是指在本行政区域内的生产生产、经营单位在其生产、经营过程中发生的造成人员伤害、财产损失和环境污染的事故。</w:t>
      </w:r>
    </w:p>
    <w:p>
      <w:pPr>
        <w:spacing w:line="360" w:lineRule="auto"/>
        <w:ind w:firstLine="560" w:firstLineChars="200"/>
        <w:rPr>
          <w:sz w:val="28"/>
          <w:szCs w:val="28"/>
        </w:rPr>
      </w:pPr>
      <w:r>
        <w:rPr>
          <w:rFonts w:hint="eastAsia"/>
          <w:sz w:val="28"/>
          <w:szCs w:val="28"/>
        </w:rPr>
        <w:t>按事故灾难的可控性、严重程度和影响范围，将本区域的生产安全事故分为特别重大事故（</w:t>
      </w:r>
      <w:r>
        <w:rPr>
          <w:rFonts w:hint="eastAsia" w:ascii="宋体" w:hAnsi="宋体"/>
          <w:sz w:val="28"/>
          <w:szCs w:val="28"/>
        </w:rPr>
        <w:t>Ⅰ</w:t>
      </w:r>
      <w:r>
        <w:rPr>
          <w:rFonts w:hint="eastAsia"/>
          <w:sz w:val="28"/>
          <w:szCs w:val="28"/>
        </w:rPr>
        <w:t>级）、重大事故（</w:t>
      </w:r>
      <w:r>
        <w:rPr>
          <w:rFonts w:hint="eastAsia" w:ascii="宋体" w:hAnsi="宋体"/>
          <w:sz w:val="28"/>
          <w:szCs w:val="28"/>
        </w:rPr>
        <w:t>Ⅱ</w:t>
      </w:r>
      <w:r>
        <w:rPr>
          <w:rFonts w:hint="eastAsia"/>
          <w:sz w:val="28"/>
          <w:szCs w:val="28"/>
        </w:rPr>
        <w:t>级）、较大事故（</w:t>
      </w:r>
      <w:r>
        <w:rPr>
          <w:rFonts w:hint="eastAsia" w:ascii="宋体" w:hAnsi="宋体"/>
          <w:sz w:val="28"/>
          <w:szCs w:val="28"/>
        </w:rPr>
        <w:t>Ⅲ</w:t>
      </w:r>
      <w:r>
        <w:rPr>
          <w:rFonts w:hint="eastAsia"/>
          <w:sz w:val="28"/>
          <w:szCs w:val="28"/>
        </w:rPr>
        <w:t>级）、一般事故（</w:t>
      </w:r>
      <w:r>
        <w:rPr>
          <w:rFonts w:hint="eastAsia" w:ascii="宋体" w:hAnsi="宋体"/>
          <w:sz w:val="28"/>
          <w:szCs w:val="28"/>
        </w:rPr>
        <w:t>Ⅳ</w:t>
      </w:r>
      <w:r>
        <w:rPr>
          <w:rFonts w:hint="eastAsia"/>
          <w:sz w:val="28"/>
          <w:szCs w:val="28"/>
        </w:rPr>
        <w:t>级）四种情形。</w:t>
      </w:r>
    </w:p>
    <w:p>
      <w:pPr>
        <w:spacing w:line="360" w:lineRule="auto"/>
        <w:ind w:firstLine="560" w:firstLineChars="200"/>
        <w:rPr>
          <w:sz w:val="28"/>
          <w:szCs w:val="28"/>
        </w:rPr>
      </w:pPr>
      <w:r>
        <w:rPr>
          <w:rFonts w:hint="eastAsia"/>
          <w:sz w:val="28"/>
          <w:szCs w:val="28"/>
        </w:rPr>
        <w:t>（1）</w:t>
      </w:r>
      <w:r>
        <w:rPr>
          <w:rFonts w:hint="eastAsia" w:ascii="宋体" w:hAnsi="宋体"/>
          <w:sz w:val="28"/>
          <w:szCs w:val="28"/>
        </w:rPr>
        <w:t>Ⅰ</w:t>
      </w:r>
      <w:r>
        <w:rPr>
          <w:rFonts w:hint="eastAsia"/>
          <w:sz w:val="28"/>
          <w:szCs w:val="28"/>
        </w:rPr>
        <w:t>级：在生产、经营过程发生的火灾事故、爆炸事故、易燃易爆或有毒物质泄漏事故，已经严重危及周边社区、居民的生命财产安全，造成或可能造成30人以上死亡、或100人以上中毒、或疏散转移10万人以上、或1亿元以上直接经济损失、或特别重大社会影响，事故事态发展严重，且急待外部力量应急救援等。</w:t>
      </w:r>
    </w:p>
    <w:p>
      <w:pPr>
        <w:spacing w:line="360" w:lineRule="auto"/>
        <w:ind w:firstLine="560" w:firstLineChars="200"/>
        <w:rPr>
          <w:sz w:val="28"/>
          <w:szCs w:val="28"/>
        </w:rPr>
      </w:pPr>
      <w:r>
        <w:rPr>
          <w:rFonts w:hint="eastAsia"/>
          <w:sz w:val="28"/>
          <w:szCs w:val="28"/>
        </w:rPr>
        <w:t>（2）</w:t>
      </w:r>
      <w:r>
        <w:rPr>
          <w:rFonts w:hint="eastAsia" w:ascii="宋体" w:hAnsi="宋体"/>
          <w:sz w:val="28"/>
          <w:szCs w:val="28"/>
        </w:rPr>
        <w:t>Ⅱ</w:t>
      </w:r>
      <w:r>
        <w:rPr>
          <w:rFonts w:hint="eastAsia"/>
          <w:sz w:val="28"/>
          <w:szCs w:val="28"/>
        </w:rPr>
        <w:t>级：在生产、经营过程发生的火灾、爆炸事故、易燃易爆或有毒物质泄漏事故，已经危及周边社区、居民的生命财产安全，造成或可能造成10-29人死亡、或50-100人中毒、或5000-10000万元直接经济损失、或重大社会影响等。</w:t>
      </w:r>
    </w:p>
    <w:p>
      <w:pPr>
        <w:spacing w:line="360" w:lineRule="auto"/>
        <w:ind w:firstLine="560" w:firstLineChars="200"/>
        <w:rPr>
          <w:sz w:val="28"/>
          <w:szCs w:val="28"/>
        </w:rPr>
      </w:pPr>
      <w:r>
        <w:rPr>
          <w:rFonts w:hint="eastAsia"/>
          <w:sz w:val="28"/>
          <w:szCs w:val="28"/>
        </w:rPr>
        <w:t>（3）</w:t>
      </w:r>
      <w:r>
        <w:rPr>
          <w:rFonts w:hint="eastAsia" w:ascii="宋体" w:hAnsi="宋体"/>
          <w:sz w:val="28"/>
          <w:szCs w:val="28"/>
        </w:rPr>
        <w:t>Ⅲ</w:t>
      </w:r>
      <w:r>
        <w:rPr>
          <w:rFonts w:hint="eastAsia"/>
          <w:sz w:val="28"/>
          <w:szCs w:val="28"/>
        </w:rPr>
        <w:t>级：在生产、经营过程发生的火灾、爆炸事故、易燃易爆或有毒物质泄漏事故，已经危及周边社区、居民的生命财产安全，造成或可能造成3-9人死亡、或30-50人中毒、或直接经济损失较大、或较大社会影响等。</w:t>
      </w:r>
    </w:p>
    <w:p>
      <w:pPr>
        <w:spacing w:line="360" w:lineRule="auto"/>
        <w:ind w:firstLine="560" w:firstLineChars="200"/>
        <w:rPr>
          <w:sz w:val="28"/>
          <w:szCs w:val="28"/>
        </w:rPr>
      </w:pPr>
      <w:r>
        <w:rPr>
          <w:rFonts w:hint="eastAsia"/>
          <w:sz w:val="28"/>
          <w:szCs w:val="28"/>
        </w:rPr>
        <w:t>（4）</w:t>
      </w:r>
      <w:r>
        <w:rPr>
          <w:rFonts w:hint="eastAsia" w:ascii="宋体" w:hAnsi="宋体"/>
          <w:sz w:val="28"/>
          <w:szCs w:val="28"/>
        </w:rPr>
        <w:t>Ⅳ</w:t>
      </w:r>
      <w:r>
        <w:rPr>
          <w:rFonts w:hint="eastAsia"/>
          <w:sz w:val="28"/>
          <w:szCs w:val="28"/>
        </w:rPr>
        <w:t>级：在生产、经营过程发生的火灾、爆炸事故、易燃易爆或有毒物质泄漏事故，已经危及周边社区、居民的生命财产安全，造成或可能造成2-3人死亡、或10-30人中毒、或一定社会影响等。</w:t>
      </w:r>
    </w:p>
    <w:p>
      <w:pPr>
        <w:spacing w:line="360" w:lineRule="auto"/>
        <w:ind w:firstLine="560" w:firstLineChars="200"/>
        <w:rPr>
          <w:sz w:val="28"/>
          <w:szCs w:val="28"/>
        </w:rPr>
      </w:pPr>
      <w:r>
        <w:rPr>
          <w:rFonts w:hint="eastAsia"/>
          <w:sz w:val="28"/>
          <w:szCs w:val="28"/>
        </w:rPr>
        <w:t>（5）</w:t>
      </w:r>
      <w:r>
        <w:rPr>
          <w:rFonts w:hint="eastAsia" w:ascii="宋体" w:hAnsi="宋体"/>
          <w:sz w:val="28"/>
          <w:szCs w:val="28"/>
        </w:rPr>
        <w:t>Ⅴ级：</w:t>
      </w:r>
      <w:r>
        <w:rPr>
          <w:rFonts w:hint="eastAsia"/>
          <w:sz w:val="28"/>
          <w:szCs w:val="28"/>
        </w:rPr>
        <w:t>在生产、经营过程发生的火灾、爆炸事故、易燃易爆或有毒物质泄漏事故，已经危及周边社区、居民的生命财产安全，造成或可能造成1人以下死亡、或10人以下中毒、或一定社会影响等。</w:t>
      </w:r>
    </w:p>
    <w:p>
      <w:pPr>
        <w:spacing w:line="360" w:lineRule="auto"/>
        <w:ind w:firstLine="560" w:firstLineChars="200"/>
        <w:outlineLvl w:val="1"/>
        <w:rPr>
          <w:sz w:val="28"/>
          <w:szCs w:val="28"/>
        </w:rPr>
      </w:pPr>
      <w:bookmarkStart w:id="15" w:name="_Toc8427"/>
      <w:bookmarkStart w:id="16" w:name="_Toc15938"/>
      <w:bookmarkStart w:id="17" w:name="_Toc9545"/>
      <w:r>
        <w:rPr>
          <w:sz w:val="28"/>
          <w:szCs w:val="28"/>
        </w:rPr>
        <w:t>1.</w:t>
      </w:r>
      <w:r>
        <w:rPr>
          <w:rFonts w:hint="eastAsia"/>
          <w:sz w:val="28"/>
          <w:szCs w:val="28"/>
        </w:rPr>
        <w:t>4</w:t>
      </w:r>
      <w:r>
        <w:rPr>
          <w:sz w:val="28"/>
          <w:szCs w:val="28"/>
        </w:rPr>
        <w:t xml:space="preserve">  </w:t>
      </w:r>
      <w:r>
        <w:rPr>
          <w:rFonts w:hint="eastAsia"/>
          <w:sz w:val="28"/>
          <w:szCs w:val="28"/>
        </w:rPr>
        <w:t>工作原则</w:t>
      </w:r>
      <w:bookmarkEnd w:id="15"/>
      <w:bookmarkEnd w:id="16"/>
      <w:bookmarkEnd w:id="17"/>
    </w:p>
    <w:p>
      <w:pPr>
        <w:spacing w:line="360" w:lineRule="auto"/>
        <w:ind w:firstLine="560" w:firstLineChars="200"/>
        <w:rPr>
          <w:sz w:val="28"/>
          <w:szCs w:val="28"/>
        </w:rPr>
      </w:pPr>
      <w:r>
        <w:rPr>
          <w:rFonts w:hint="eastAsia"/>
          <w:sz w:val="28"/>
          <w:szCs w:val="28"/>
        </w:rPr>
        <w:t>（</w:t>
      </w:r>
      <w:r>
        <w:rPr>
          <w:sz w:val="28"/>
          <w:szCs w:val="28"/>
        </w:rPr>
        <w:t>1</w:t>
      </w:r>
      <w:r>
        <w:rPr>
          <w:rFonts w:hint="eastAsia"/>
          <w:sz w:val="28"/>
          <w:szCs w:val="28"/>
        </w:rPr>
        <w:t>）以人为本、减少危害</w:t>
      </w:r>
    </w:p>
    <w:p>
      <w:pPr>
        <w:spacing w:line="360" w:lineRule="auto"/>
        <w:ind w:firstLine="560" w:firstLineChars="200"/>
        <w:rPr>
          <w:sz w:val="28"/>
          <w:szCs w:val="28"/>
        </w:rPr>
      </w:pPr>
      <w:r>
        <w:rPr>
          <w:rFonts w:hint="eastAsia"/>
          <w:sz w:val="28"/>
          <w:szCs w:val="28"/>
        </w:rPr>
        <w:t>把保障人民群众的生命安全和身体健康作为应急工作的首要任务，最大限度地减少事故造成的人员伤亡和危害，以及国家财产损失。</w:t>
      </w:r>
    </w:p>
    <w:p>
      <w:pPr>
        <w:spacing w:line="360" w:lineRule="auto"/>
        <w:ind w:firstLine="560" w:firstLineChars="200"/>
        <w:rPr>
          <w:sz w:val="28"/>
          <w:szCs w:val="28"/>
        </w:rPr>
      </w:pPr>
      <w:r>
        <w:rPr>
          <w:rFonts w:hint="eastAsia"/>
          <w:sz w:val="28"/>
          <w:szCs w:val="28"/>
        </w:rPr>
        <w:t>（</w:t>
      </w:r>
      <w:r>
        <w:rPr>
          <w:sz w:val="28"/>
          <w:szCs w:val="28"/>
        </w:rPr>
        <w:t>2</w:t>
      </w:r>
      <w:r>
        <w:rPr>
          <w:rFonts w:hint="eastAsia"/>
          <w:sz w:val="28"/>
          <w:szCs w:val="28"/>
        </w:rPr>
        <w:t>）依靠科学、预防为主</w:t>
      </w:r>
    </w:p>
    <w:p>
      <w:pPr>
        <w:spacing w:line="360" w:lineRule="auto"/>
        <w:ind w:firstLine="560" w:firstLineChars="200"/>
        <w:rPr>
          <w:sz w:val="28"/>
          <w:szCs w:val="28"/>
        </w:rPr>
      </w:pPr>
      <w:r>
        <w:rPr>
          <w:rFonts w:hint="eastAsia"/>
          <w:sz w:val="28"/>
          <w:szCs w:val="28"/>
        </w:rPr>
        <w:t>采用先进的预测、预警、预防和应急处置技术，充分发挥社会力量和专家作用，提高预防和应对突发危化品事故的科技水平和能力。</w:t>
      </w:r>
    </w:p>
    <w:p>
      <w:pPr>
        <w:spacing w:line="360" w:lineRule="auto"/>
        <w:ind w:firstLine="560" w:firstLineChars="200"/>
        <w:rPr>
          <w:sz w:val="28"/>
          <w:szCs w:val="28"/>
        </w:rPr>
      </w:pPr>
      <w:r>
        <w:rPr>
          <w:rFonts w:hint="eastAsia"/>
          <w:sz w:val="28"/>
          <w:szCs w:val="28"/>
        </w:rPr>
        <w:t>（</w:t>
      </w:r>
      <w:r>
        <w:rPr>
          <w:sz w:val="28"/>
          <w:szCs w:val="28"/>
        </w:rPr>
        <w:t>3</w:t>
      </w:r>
      <w:r>
        <w:rPr>
          <w:rFonts w:hint="eastAsia"/>
          <w:sz w:val="28"/>
          <w:szCs w:val="28"/>
        </w:rPr>
        <w:t>）统一领导、分级管理</w:t>
      </w:r>
    </w:p>
    <w:p>
      <w:pPr>
        <w:spacing w:line="360" w:lineRule="auto"/>
        <w:ind w:firstLine="560" w:firstLineChars="200"/>
        <w:rPr>
          <w:sz w:val="28"/>
          <w:szCs w:val="28"/>
        </w:rPr>
      </w:pPr>
      <w:r>
        <w:rPr>
          <w:rFonts w:hint="eastAsia"/>
          <w:sz w:val="28"/>
          <w:szCs w:val="28"/>
        </w:rPr>
        <w:t>太仓市城厢镇安委会统一领导、组织协调；各应急救援小组按照分级响应原则，各自职责和权限，负责有关安全生产事故的应急管理和应急处置工作；各企业认真履行安全生产责任主体的职责，建立有效的安全生产应急预案和应急机制。</w:t>
      </w:r>
    </w:p>
    <w:p>
      <w:pPr>
        <w:spacing w:line="360" w:lineRule="auto"/>
        <w:ind w:firstLine="560" w:firstLineChars="200"/>
        <w:rPr>
          <w:sz w:val="28"/>
          <w:szCs w:val="28"/>
        </w:rPr>
      </w:pPr>
      <w:r>
        <w:rPr>
          <w:rFonts w:hint="eastAsia"/>
          <w:sz w:val="28"/>
          <w:szCs w:val="28"/>
        </w:rPr>
        <w:t>（</w:t>
      </w:r>
      <w:r>
        <w:rPr>
          <w:sz w:val="28"/>
          <w:szCs w:val="28"/>
        </w:rPr>
        <w:t>4</w:t>
      </w:r>
      <w:r>
        <w:rPr>
          <w:rFonts w:hint="eastAsia"/>
          <w:sz w:val="28"/>
          <w:szCs w:val="28"/>
        </w:rPr>
        <w:t>）快速反应、协调应对</w:t>
      </w:r>
    </w:p>
    <w:p>
      <w:pPr>
        <w:spacing w:line="360" w:lineRule="auto"/>
        <w:ind w:firstLine="560" w:firstLineChars="200"/>
        <w:rPr>
          <w:sz w:val="28"/>
          <w:szCs w:val="28"/>
        </w:rPr>
      </w:pPr>
      <w:r>
        <w:rPr>
          <w:rFonts w:hint="eastAsia"/>
          <w:sz w:val="28"/>
          <w:szCs w:val="28"/>
        </w:rPr>
        <w:t>建立健全高效的事故预报体系和快速反应机制，协调联动，密切配合，构建人、财、物和信息科技保障机制，迅速控制和处置危险化学品事故，防止次生灾害发生，恢复正常社会经济秩序。</w:t>
      </w:r>
    </w:p>
    <w:p>
      <w:pPr>
        <w:spacing w:line="360" w:lineRule="auto"/>
        <w:ind w:firstLine="560" w:firstLineChars="200"/>
        <w:rPr>
          <w:sz w:val="28"/>
          <w:szCs w:val="28"/>
        </w:rPr>
      </w:pPr>
      <w:r>
        <w:rPr>
          <w:rFonts w:hint="eastAsia"/>
          <w:sz w:val="28"/>
          <w:szCs w:val="28"/>
        </w:rPr>
        <w:t>（</w:t>
      </w:r>
      <w:r>
        <w:rPr>
          <w:sz w:val="28"/>
          <w:szCs w:val="28"/>
        </w:rPr>
        <w:t>5</w:t>
      </w:r>
      <w:r>
        <w:rPr>
          <w:rFonts w:hint="eastAsia"/>
          <w:sz w:val="28"/>
          <w:szCs w:val="28"/>
        </w:rPr>
        <w:t>）平战结合、整合资源</w:t>
      </w:r>
    </w:p>
    <w:p>
      <w:pPr>
        <w:spacing w:line="360" w:lineRule="auto"/>
        <w:ind w:firstLine="560" w:firstLineChars="200"/>
        <w:rPr>
          <w:sz w:val="28"/>
          <w:szCs w:val="28"/>
        </w:rPr>
      </w:pPr>
      <w:r>
        <w:rPr>
          <w:rFonts w:hint="eastAsia"/>
          <w:sz w:val="28"/>
          <w:szCs w:val="28"/>
        </w:rPr>
        <w:t>做好突发生产安全事故的预案、机制、组织、思想、物资准备，加强培训、演练，常备不懈。结合条块、企业资源进行整合，充分利用资源，实现迅速、有效救援。</w:t>
      </w:r>
    </w:p>
    <w:p>
      <w:pPr>
        <w:spacing w:line="360" w:lineRule="auto"/>
        <w:ind w:firstLine="560" w:firstLineChars="200"/>
        <w:outlineLvl w:val="1"/>
        <w:rPr>
          <w:sz w:val="28"/>
          <w:szCs w:val="28"/>
        </w:rPr>
      </w:pPr>
      <w:bookmarkStart w:id="18" w:name="_Toc21365"/>
      <w:bookmarkStart w:id="19" w:name="_Toc26313"/>
      <w:bookmarkStart w:id="20" w:name="_Toc10375"/>
      <w:r>
        <w:rPr>
          <w:rFonts w:hint="eastAsia"/>
          <w:sz w:val="28"/>
          <w:szCs w:val="28"/>
        </w:rPr>
        <w:t>1.5  应急预案体系</w:t>
      </w:r>
      <w:bookmarkEnd w:id="18"/>
      <w:bookmarkEnd w:id="19"/>
      <w:bookmarkEnd w:id="20"/>
    </w:p>
    <w:p>
      <w:pPr>
        <w:spacing w:line="360" w:lineRule="auto"/>
        <w:ind w:firstLine="560" w:firstLineChars="200"/>
        <w:jc w:val="left"/>
        <w:rPr>
          <w:sz w:val="28"/>
          <w:szCs w:val="28"/>
        </w:rPr>
      </w:pPr>
      <w:r>
        <w:rPr>
          <w:rFonts w:hint="eastAsia"/>
          <w:sz w:val="28"/>
          <w:szCs w:val="28"/>
        </w:rPr>
        <w:t>本预案属于《</w:t>
      </w:r>
      <w:r>
        <w:rPr>
          <w:rFonts w:hint="eastAsia" w:ascii="宋体" w:hAnsi="宋体"/>
          <w:sz w:val="28"/>
          <w:szCs w:val="28"/>
        </w:rPr>
        <w:t>太仓市城厢镇</w:t>
      </w:r>
      <w:r>
        <w:rPr>
          <w:rFonts w:hint="eastAsia"/>
          <w:sz w:val="28"/>
          <w:szCs w:val="28"/>
        </w:rPr>
        <w:t>突发公共事件总体应急救援预案》的专项应急预案之一，同时上接《太仓市突发公共事件总体应急救援预案》，下连各企业《生产安全事故应急救援预案》。</w:t>
      </w:r>
    </w:p>
    <w:p>
      <w:pPr>
        <w:spacing w:line="360" w:lineRule="auto"/>
        <w:ind w:firstLine="560" w:firstLineChars="200"/>
        <w:jc w:val="left"/>
        <w:rPr>
          <w:sz w:val="28"/>
          <w:szCs w:val="28"/>
        </w:rPr>
      </w:pPr>
      <w:r>
        <w:rPr>
          <w:rFonts w:hint="eastAsia"/>
          <w:sz w:val="28"/>
          <w:szCs w:val="28"/>
        </w:rPr>
        <w:t>其衔接关系见下图：</w:t>
      </w:r>
    </w:p>
    <w:p>
      <w:pPr>
        <w:spacing w:line="360" w:lineRule="auto"/>
        <w:ind w:firstLine="560" w:firstLineChars="200"/>
        <w:rPr>
          <w:sz w:val="28"/>
          <w:szCs w:val="28"/>
        </w:rPr>
      </w:pPr>
      <w:r>
        <w:rPr>
          <w:sz w:val="28"/>
        </w:rPr>
        <mc:AlternateContent>
          <mc:Choice Requires="wpg">
            <w:drawing>
              <wp:anchor distT="0" distB="0" distL="114300" distR="114300" simplePos="0" relativeHeight="251662336" behindDoc="0" locked="0" layoutInCell="1" allowOverlap="1">
                <wp:simplePos x="0" y="0"/>
                <wp:positionH relativeFrom="column">
                  <wp:posOffset>790575</wp:posOffset>
                </wp:positionH>
                <wp:positionV relativeFrom="paragraph">
                  <wp:posOffset>156210</wp:posOffset>
                </wp:positionV>
                <wp:extent cx="3466465" cy="1684020"/>
                <wp:effectExtent l="4445" t="5080" r="15240" b="0"/>
                <wp:wrapNone/>
                <wp:docPr id="24" name="组合 218"/>
                <wp:cNvGraphicFramePr/>
                <a:graphic xmlns:a="http://schemas.openxmlformats.org/drawingml/2006/main">
                  <a:graphicData uri="http://schemas.microsoft.com/office/word/2010/wordprocessingGroup">
                    <wpg:wgp>
                      <wpg:cNvGrpSpPr/>
                      <wpg:grpSpPr>
                        <a:xfrm>
                          <a:off x="0" y="0"/>
                          <a:ext cx="3466465" cy="1684020"/>
                          <a:chOff x="4731" y="147049"/>
                          <a:chExt cx="5459" cy="2652"/>
                        </a:xfrm>
                        <a:effectLst/>
                      </wpg:grpSpPr>
                      <wps:wsp>
                        <wps:cNvPr id="16" name="文本框 16"/>
                        <wps:cNvSpPr txBox="1"/>
                        <wps:spPr>
                          <a:xfrm>
                            <a:off x="5016" y="147049"/>
                            <a:ext cx="5174"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rPr>
                                <w:t>太仓市城厢镇突发公共事件总体应急救援预案</w:t>
                              </w:r>
                            </w:p>
                          </w:txbxContent>
                        </wps:txbx>
                        <wps:bodyPr upright="1"/>
                      </wps:wsp>
                      <wps:wsp>
                        <wps:cNvPr id="17" name="直接连接符 17"/>
                        <wps:cNvCnPr/>
                        <wps:spPr>
                          <a:xfrm>
                            <a:off x="6351" y="147517"/>
                            <a:ext cx="0" cy="312"/>
                          </a:xfrm>
                          <a:prstGeom prst="line">
                            <a:avLst/>
                          </a:prstGeom>
                          <a:ln w="9525" cap="flat" cmpd="sng">
                            <a:solidFill>
                              <a:srgbClr val="000000"/>
                            </a:solidFill>
                            <a:prstDash val="solid"/>
                            <a:headEnd type="none" w="med" len="med"/>
                            <a:tailEnd type="triangle" w="med" len="med"/>
                          </a:ln>
                          <a:effectLst/>
                        </wps:spPr>
                        <wps:bodyPr upright="1"/>
                      </wps:wsp>
                      <wps:wsp>
                        <wps:cNvPr id="18" name="文本框 18"/>
                        <wps:cNvSpPr txBox="1"/>
                        <wps:spPr>
                          <a:xfrm>
                            <a:off x="5091" y="147829"/>
                            <a:ext cx="234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rPr>
                                <w:t>本预案</w:t>
                              </w:r>
                            </w:p>
                          </w:txbxContent>
                        </wps:txbx>
                        <wps:bodyPr upright="1"/>
                      </wps:wsp>
                      <wps:wsp>
                        <wps:cNvPr id="19" name="文本框 19"/>
                        <wps:cNvSpPr txBox="1"/>
                        <wps:spPr>
                          <a:xfrm>
                            <a:off x="7791" y="147829"/>
                            <a:ext cx="234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rPr>
                                <w:t>其他专项预案</w:t>
                              </w:r>
                            </w:p>
                          </w:txbxContent>
                        </wps:txbx>
                        <wps:bodyPr upright="1"/>
                      </wps:wsp>
                      <wps:wsp>
                        <wps:cNvPr id="20" name="直接连接符 20"/>
                        <wps:cNvCnPr/>
                        <wps:spPr>
                          <a:xfrm>
                            <a:off x="6351" y="148297"/>
                            <a:ext cx="0" cy="312"/>
                          </a:xfrm>
                          <a:prstGeom prst="line">
                            <a:avLst/>
                          </a:prstGeom>
                          <a:ln w="9525" cap="flat" cmpd="sng">
                            <a:solidFill>
                              <a:srgbClr val="000000"/>
                            </a:solidFill>
                            <a:prstDash val="solid"/>
                            <a:headEnd type="none" w="med" len="med"/>
                            <a:tailEnd type="triangle" w="med" len="med"/>
                          </a:ln>
                          <a:effectLst/>
                        </wps:spPr>
                        <wps:bodyPr upright="1"/>
                      </wps:wsp>
                      <wps:wsp>
                        <wps:cNvPr id="21" name="文本框 21"/>
                        <wps:cNvSpPr txBox="1"/>
                        <wps:spPr>
                          <a:xfrm>
                            <a:off x="4731" y="148609"/>
                            <a:ext cx="306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rPr>
                                <w:t>企业生产安全事故应急预案</w:t>
                              </w:r>
                            </w:p>
                          </w:txbxContent>
                        </wps:txbx>
                        <wps:bodyPr upright="1"/>
                      </wps:wsp>
                      <wps:wsp>
                        <wps:cNvPr id="22" name="直接连接符 22"/>
                        <wps:cNvCnPr/>
                        <wps:spPr>
                          <a:xfrm>
                            <a:off x="8871" y="147517"/>
                            <a:ext cx="0" cy="312"/>
                          </a:xfrm>
                          <a:prstGeom prst="line">
                            <a:avLst/>
                          </a:prstGeom>
                          <a:ln w="9525" cap="flat" cmpd="sng">
                            <a:solidFill>
                              <a:srgbClr val="000000"/>
                            </a:solidFill>
                            <a:prstDash val="solid"/>
                            <a:headEnd type="none" w="med" len="med"/>
                            <a:tailEnd type="triangle" w="med" len="med"/>
                          </a:ln>
                          <a:effectLst/>
                        </wps:spPr>
                        <wps:bodyPr upright="1"/>
                      </wps:wsp>
                      <wps:wsp>
                        <wps:cNvPr id="23" name="文本框 23"/>
                        <wps:cNvSpPr txBox="1"/>
                        <wps:spPr>
                          <a:xfrm>
                            <a:off x="6351" y="149233"/>
                            <a:ext cx="2880" cy="468"/>
                          </a:xfrm>
                          <a:prstGeom prst="rect">
                            <a:avLst/>
                          </a:prstGeom>
                          <a:noFill/>
                          <a:ln w="9525">
                            <a:noFill/>
                          </a:ln>
                          <a:effectLst/>
                        </wps:spPr>
                        <wps:txbx>
                          <w:txbxContent>
                            <w:p>
                              <w:r>
                                <w:rPr>
                                  <w:rFonts w:hint="eastAsia"/>
                                </w:rPr>
                                <w:t>图1-1应急预案体系关系图</w:t>
                              </w:r>
                            </w:p>
                          </w:txbxContent>
                        </wps:txbx>
                        <wps:bodyPr upright="1"/>
                      </wps:wsp>
                    </wpg:wgp>
                  </a:graphicData>
                </a:graphic>
              </wp:anchor>
            </w:drawing>
          </mc:Choice>
          <mc:Fallback>
            <w:pict>
              <v:group id="组合 218" o:spid="_x0000_s1026" o:spt="203" style="position:absolute;left:0pt;margin-left:62.25pt;margin-top:12.3pt;height:132.6pt;width:272.95pt;z-index:251662336;mso-width-relative:page;mso-height-relative:page;" coordorigin="4731,147049" coordsize="5459,2652" o:gfxdata="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">
                <o:lock v:ext="edit" aspectratio="f"/>
                <v:shape id="_x0000_s1026" o:spid="_x0000_s1026" o:spt="202" type="#_x0000_t202" style="position:absolute;left:5016;top:147049;height:468;width:5174;" fillcolor="#FFFFFF" filled="t" stroked="t" coordsize="21600,21600" o:gfxdata="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nh4ja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jc w:val="center"/>
                        </w:pPr>
                        <w:r>
                          <w:rPr>
                            <w:rFonts w:hint="eastAsia"/>
                          </w:rPr>
                          <w:t>太仓市城厢镇突发公共事件总体应急救援预案</w:t>
                        </w:r>
                      </w:p>
                    </w:txbxContent>
                  </v:textbox>
                </v:shape>
                <v:line id="_x0000_s1026" o:spid="_x0000_s1026" o:spt="20" style="position:absolute;left:6351;top:147517;height:312;width:0;" filled="f" stroked="t" coordsize="21600,21600" o:gfxdata="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ZAZN+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shape id="_x0000_s1026" o:spid="_x0000_s1026" o:spt="202" type="#_x0000_t202" style="position:absolute;left:5091;top:147829;height:468;width:2340;"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pPr>
                        <w:r>
                          <w:rPr>
                            <w:rFonts w:hint="eastAsia"/>
                          </w:rPr>
                          <w:t>本预案</w:t>
                        </w:r>
                      </w:p>
                    </w:txbxContent>
                  </v:textbox>
                </v:shape>
                <v:shape id="_x0000_s1026" o:spid="_x0000_s1026" o:spt="202" type="#_x0000_t202" style="position:absolute;left:7791;top:147829;height:468;width:2340;" fillcolor="#FFFFFF" filled="t" stroked="t" coordsize="21600,21600" o:gfxdata="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h+dkS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jc w:val="center"/>
                        </w:pPr>
                        <w:r>
                          <w:rPr>
                            <w:rFonts w:hint="eastAsia"/>
                          </w:rPr>
                          <w:t>其他专项预案</w:t>
                        </w:r>
                      </w:p>
                    </w:txbxContent>
                  </v:textbox>
                </v:shape>
                <v:line id="_x0000_s1026" o:spid="_x0000_s1026" o:spt="20" style="position:absolute;left:6351;top:148297;height:312;width:0;" filled="f" stroked="t" coordsize="21600,21600" o:gfxdata="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FNha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shape id="_x0000_s1026" o:spid="_x0000_s1026" o:spt="202" type="#_x0000_t202" style="position:absolute;left:4731;top:148609;height:468;width:3060;" fillcolor="#FFFFFF" filled="t" stroked="t" coordsize="21600,21600" o:gfxdata="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GSw/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pPr>
                        <w:r>
                          <w:rPr>
                            <w:rFonts w:hint="eastAsia"/>
                          </w:rPr>
                          <w:t>企业生产安全事故应急预案</w:t>
                        </w:r>
                      </w:p>
                    </w:txbxContent>
                  </v:textbox>
                </v:shape>
                <v:line id="_x0000_s1026" o:spid="_x0000_s1026" o:spt="20" style="position:absolute;left:8871;top:147517;height:312;width:0;" filled="f" stroked="t" coordsize="21600,21600" o:gfxdata="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hbDfq/&#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_x0000_s1026" o:spid="_x0000_s1026" o:spt="202" type="#_x0000_t202" style="position:absolute;left:6351;top:149233;height:468;width:2880;" filled="f" stroked="f" coordsize="21600,21600" o:gfxdata="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DdI8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r>
                          <w:rPr>
                            <w:rFonts w:hint="eastAsia"/>
                          </w:rPr>
                          <w:t>图1-1应急预案体系关系图</w:t>
                        </w:r>
                      </w:p>
                    </w:txbxContent>
                  </v:textbox>
                </v:shape>
              </v:group>
            </w:pict>
          </mc:Fallback>
        </mc:AlternateContent>
      </w: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outlineLvl w:val="1"/>
        <w:rPr>
          <w:sz w:val="28"/>
          <w:szCs w:val="28"/>
        </w:rPr>
      </w:pPr>
      <w:bookmarkStart w:id="21" w:name="_Toc3399"/>
      <w:bookmarkStart w:id="22" w:name="_Toc4446"/>
      <w:bookmarkStart w:id="23" w:name="_Toc15692"/>
      <w:r>
        <w:rPr>
          <w:rFonts w:hint="eastAsia"/>
          <w:sz w:val="28"/>
          <w:szCs w:val="28"/>
        </w:rPr>
        <w:t>1.6  适用范围</w:t>
      </w:r>
      <w:bookmarkEnd w:id="21"/>
      <w:bookmarkEnd w:id="22"/>
      <w:bookmarkEnd w:id="23"/>
    </w:p>
    <w:p>
      <w:pPr>
        <w:spacing w:line="360" w:lineRule="auto"/>
        <w:ind w:firstLine="560" w:firstLineChars="200"/>
        <w:rPr>
          <w:sz w:val="28"/>
          <w:szCs w:val="28"/>
        </w:rPr>
      </w:pPr>
      <w:r>
        <w:rPr>
          <w:rFonts w:hint="eastAsia"/>
          <w:sz w:val="28"/>
          <w:szCs w:val="28"/>
        </w:rPr>
        <w:t>本预案适用于在太仓市城厢镇范围内发生的生产安全事故（包括火灾爆炸、中毒、触电、起重伤害、机械伤害、坍塌等）的应急救援。</w:t>
      </w:r>
    </w:p>
    <w:p>
      <w:pPr>
        <w:spacing w:line="360" w:lineRule="auto"/>
        <w:ind w:firstLine="560" w:firstLineChars="200"/>
        <w:outlineLvl w:val="1"/>
        <w:rPr>
          <w:sz w:val="28"/>
          <w:szCs w:val="28"/>
        </w:rPr>
      </w:pPr>
      <w:bookmarkStart w:id="24" w:name="_Toc29371"/>
      <w:bookmarkStart w:id="25" w:name="_Toc25049"/>
      <w:r>
        <w:rPr>
          <w:sz w:val="28"/>
          <w:szCs w:val="28"/>
        </w:rPr>
        <w:t>1.</w:t>
      </w:r>
      <w:r>
        <w:rPr>
          <w:rFonts w:hint="eastAsia"/>
          <w:sz w:val="28"/>
          <w:szCs w:val="28"/>
        </w:rPr>
        <w:t>7</w:t>
      </w:r>
      <w:r>
        <w:rPr>
          <w:sz w:val="28"/>
          <w:szCs w:val="28"/>
        </w:rPr>
        <w:t xml:space="preserve">  </w:t>
      </w:r>
      <w:r>
        <w:rPr>
          <w:rFonts w:hint="eastAsia"/>
          <w:sz w:val="28"/>
          <w:szCs w:val="28"/>
        </w:rPr>
        <w:t>危险源识别</w:t>
      </w:r>
      <w:bookmarkEnd w:id="24"/>
      <w:bookmarkEnd w:id="25"/>
    </w:p>
    <w:p>
      <w:pPr>
        <w:spacing w:line="360" w:lineRule="auto"/>
        <w:ind w:firstLine="560" w:firstLineChars="200"/>
        <w:rPr>
          <w:sz w:val="28"/>
          <w:szCs w:val="28"/>
        </w:rPr>
      </w:pPr>
      <w:r>
        <w:rPr>
          <w:rFonts w:hint="eastAsia"/>
          <w:sz w:val="28"/>
          <w:szCs w:val="28"/>
        </w:rPr>
        <w:t>太仓市城厢镇存在的企业类型主要包括：机械、注塑、轻工等多个行业。</w:t>
      </w:r>
    </w:p>
    <w:p>
      <w:pPr>
        <w:spacing w:line="360" w:lineRule="auto"/>
        <w:ind w:firstLine="560" w:firstLineChars="200"/>
        <w:rPr>
          <w:sz w:val="28"/>
          <w:szCs w:val="28"/>
        </w:rPr>
      </w:pPr>
      <w:r>
        <w:rPr>
          <w:rFonts w:hint="eastAsia"/>
          <w:sz w:val="28"/>
          <w:szCs w:val="28"/>
        </w:rPr>
        <w:t>这些单位在生产过程中可能使用到部分危险化学品，如：液氨等毒害性物料；天然气、氢气等易燃气体；液氮、液氧等液化气体；各类油漆、稀释剂、丙酮、乙酸乙酯、乙醇等易燃易爆液体，以及酸碱类腐蚀品。这些化学品具有有易燃、易爆、毒害性、低温、腐蚀等特性。</w:t>
      </w:r>
    </w:p>
    <w:p>
      <w:pPr>
        <w:spacing w:line="360" w:lineRule="auto"/>
        <w:ind w:firstLine="560" w:firstLineChars="200"/>
        <w:rPr>
          <w:sz w:val="28"/>
          <w:szCs w:val="28"/>
        </w:rPr>
      </w:pPr>
      <w:r>
        <w:rPr>
          <w:rFonts w:hint="eastAsia"/>
          <w:sz w:val="28"/>
          <w:szCs w:val="28"/>
        </w:rPr>
        <w:t>生产过程中各类机械设备、起重设备、输送设备等在使用过程中，可能存在机械伤害、物体打击、起重伤害、车辆伤害、触电、高处坠落等危险有害因素。</w:t>
      </w:r>
    </w:p>
    <w:p>
      <w:pPr>
        <w:spacing w:line="360" w:lineRule="auto"/>
        <w:ind w:firstLine="560" w:firstLineChars="200"/>
        <w:rPr>
          <w:sz w:val="28"/>
          <w:szCs w:val="28"/>
        </w:rPr>
      </w:pPr>
      <w:r>
        <w:rPr>
          <w:rFonts w:hint="eastAsia"/>
          <w:sz w:val="28"/>
          <w:szCs w:val="28"/>
        </w:rPr>
        <w:t>1、火灾、爆炸</w:t>
      </w:r>
    </w:p>
    <w:p>
      <w:pPr>
        <w:spacing w:line="360" w:lineRule="auto"/>
        <w:ind w:firstLine="560" w:firstLineChars="200"/>
        <w:rPr>
          <w:sz w:val="28"/>
          <w:szCs w:val="28"/>
        </w:rPr>
      </w:pPr>
      <w:r>
        <w:rPr>
          <w:rFonts w:hint="eastAsia"/>
          <w:sz w:val="28"/>
          <w:szCs w:val="28"/>
        </w:rPr>
        <w:t>天然气、氢气、乙炔等易燃气体；乙酸乙酯、丙酮、乙醇等易燃液体；各类易燃固体及可燃物等，遇明火极易发生火灾、爆炸事故；自燃物品遇高温易发生火灾、爆炸事故；遇湿易燃物品与水接触能发生迅猛的化学反应，并同时放出大量热量和有害气体，极易引起火灾爆炸事故。</w:t>
      </w:r>
    </w:p>
    <w:p>
      <w:pPr>
        <w:spacing w:line="360" w:lineRule="auto"/>
        <w:ind w:firstLine="560" w:firstLineChars="200"/>
        <w:rPr>
          <w:sz w:val="28"/>
          <w:szCs w:val="28"/>
        </w:rPr>
      </w:pPr>
      <w:r>
        <w:rPr>
          <w:rFonts w:hint="eastAsia"/>
          <w:sz w:val="28"/>
          <w:szCs w:val="28"/>
        </w:rPr>
        <w:t>2、中毒</w:t>
      </w:r>
    </w:p>
    <w:p>
      <w:pPr>
        <w:spacing w:line="360" w:lineRule="auto"/>
        <w:ind w:firstLine="560" w:firstLineChars="200"/>
        <w:rPr>
          <w:sz w:val="28"/>
          <w:szCs w:val="28"/>
        </w:rPr>
      </w:pPr>
      <w:r>
        <w:rPr>
          <w:rFonts w:hint="eastAsia"/>
          <w:sz w:val="28"/>
          <w:szCs w:val="28"/>
        </w:rPr>
        <w:t>本区域内存在氨气等有毒气体的使用单位，具有毒害性的物料一旦发生泄漏会危害范围广，可能会造成人员中毒。</w:t>
      </w:r>
    </w:p>
    <w:p>
      <w:pPr>
        <w:spacing w:line="360" w:lineRule="auto"/>
        <w:ind w:firstLine="560" w:firstLineChars="200"/>
        <w:rPr>
          <w:sz w:val="28"/>
          <w:szCs w:val="28"/>
        </w:rPr>
      </w:pPr>
      <w:r>
        <w:rPr>
          <w:rFonts w:hint="eastAsia"/>
          <w:sz w:val="28"/>
          <w:szCs w:val="28"/>
        </w:rPr>
        <w:t>极度危害的毒害品，高度危害的有机溶剂，中、轻度危害的酸碱物料等，短时间内大量接触引起急性中毒。长期吸入、食入这些有毒物质，会引起慢性中毒。易燃物质发生火灾爆炸后的产物大都具有一定的毒性，也可能引起人员的中毒事故。</w:t>
      </w:r>
    </w:p>
    <w:p>
      <w:pPr>
        <w:spacing w:line="360" w:lineRule="auto"/>
        <w:ind w:firstLine="560" w:firstLineChars="200"/>
        <w:rPr>
          <w:sz w:val="28"/>
          <w:szCs w:val="28"/>
        </w:rPr>
      </w:pPr>
      <w:r>
        <w:rPr>
          <w:rFonts w:hint="eastAsia"/>
          <w:sz w:val="28"/>
          <w:szCs w:val="28"/>
        </w:rPr>
        <w:t>3、腐蚀、化学灼伤</w:t>
      </w:r>
    </w:p>
    <w:p>
      <w:pPr>
        <w:spacing w:line="360" w:lineRule="auto"/>
        <w:ind w:firstLine="560" w:firstLineChars="200"/>
        <w:rPr>
          <w:sz w:val="28"/>
          <w:szCs w:val="28"/>
        </w:rPr>
      </w:pPr>
      <w:r>
        <w:rPr>
          <w:rFonts w:hint="eastAsia"/>
          <w:sz w:val="28"/>
          <w:szCs w:val="28"/>
        </w:rPr>
        <w:t>硫酸、盐酸、液碱等具有腐蚀性的物料可能发生泄漏事故，当人员直接接触腐蚀性物质后会引起灼伤或发生破坏性创伤等；当人员吸入腐蚀性物质挥发出来的蒸气或飞扬到空气中的粉尘时，呼吸道黏膜便会受到腐蚀，引起咳嗽、呕吐、头疼等症状。腐蚀性物质对设备设施、建（构）筑等也有较强腐蚀作用。</w:t>
      </w:r>
    </w:p>
    <w:p>
      <w:pPr>
        <w:spacing w:line="360" w:lineRule="auto"/>
        <w:ind w:firstLine="560" w:firstLineChars="200"/>
        <w:rPr>
          <w:sz w:val="28"/>
          <w:szCs w:val="28"/>
        </w:rPr>
      </w:pPr>
      <w:r>
        <w:rPr>
          <w:rFonts w:hint="eastAsia"/>
          <w:sz w:val="28"/>
          <w:szCs w:val="28"/>
        </w:rPr>
        <w:t>4、机械伤害</w:t>
      </w:r>
    </w:p>
    <w:p>
      <w:pPr>
        <w:spacing w:line="360" w:lineRule="auto"/>
        <w:ind w:firstLine="560" w:firstLineChars="200"/>
        <w:rPr>
          <w:sz w:val="28"/>
          <w:szCs w:val="28"/>
        </w:rPr>
      </w:pPr>
      <w:r>
        <w:rPr>
          <w:rFonts w:hint="eastAsia"/>
          <w:sz w:val="28"/>
          <w:szCs w:val="28"/>
        </w:rPr>
        <w:t>各类机加工设备在运行过程中，若机械设备运动或静止的部件、工具、加工件直接与人体接触，即可能引起挤压、碰撞、冲击、剪切、卷入、绞绕、切割、切断、刺伤等机械伤害。尤其是机械设备的皮带、齿轮、转动轴等往复式运行的设备及部位，均存在一定的机械伤害的危险。</w:t>
      </w:r>
    </w:p>
    <w:p>
      <w:pPr>
        <w:spacing w:line="360" w:lineRule="auto"/>
        <w:ind w:firstLine="560" w:firstLineChars="200"/>
        <w:rPr>
          <w:sz w:val="28"/>
          <w:szCs w:val="28"/>
        </w:rPr>
      </w:pPr>
      <w:r>
        <w:rPr>
          <w:rFonts w:hint="eastAsia"/>
          <w:sz w:val="28"/>
          <w:szCs w:val="28"/>
        </w:rPr>
        <w:t>5、物体打击</w:t>
      </w:r>
    </w:p>
    <w:p>
      <w:pPr>
        <w:spacing w:line="360" w:lineRule="auto"/>
        <w:ind w:firstLine="560" w:firstLineChars="200"/>
        <w:rPr>
          <w:sz w:val="28"/>
          <w:szCs w:val="28"/>
        </w:rPr>
      </w:pPr>
      <w:r>
        <w:rPr>
          <w:rFonts w:hint="eastAsia"/>
          <w:sz w:val="28"/>
          <w:szCs w:val="28"/>
        </w:rPr>
        <w:t>本辖区范围内各企事业单位生产过程中，可能发生物体在重力或其他外力的作用下产生运动，打击人体而造成物体打击的事故。</w:t>
      </w:r>
    </w:p>
    <w:p>
      <w:pPr>
        <w:spacing w:line="360" w:lineRule="auto"/>
        <w:ind w:firstLine="560" w:firstLineChars="200"/>
        <w:rPr>
          <w:sz w:val="28"/>
          <w:szCs w:val="28"/>
        </w:rPr>
      </w:pPr>
      <w:r>
        <w:rPr>
          <w:rFonts w:hint="eastAsia"/>
          <w:sz w:val="28"/>
          <w:szCs w:val="28"/>
        </w:rPr>
        <w:t>6、起重伤害</w:t>
      </w:r>
    </w:p>
    <w:p>
      <w:pPr>
        <w:spacing w:line="360" w:lineRule="auto"/>
        <w:ind w:firstLine="560" w:firstLineChars="200"/>
        <w:rPr>
          <w:sz w:val="28"/>
          <w:szCs w:val="28"/>
        </w:rPr>
      </w:pPr>
      <w:r>
        <w:rPr>
          <w:rFonts w:hint="eastAsia"/>
          <w:sz w:val="28"/>
          <w:szCs w:val="28"/>
        </w:rPr>
        <w:t>生产过程中，各类超重作业（如起重机安装、检修、运行）过程中，可能由于设备设施故障、安全防护措施失效、作业人员误操作或违反操作规程等原因，发生起重伤害事故。</w:t>
      </w:r>
    </w:p>
    <w:p>
      <w:pPr>
        <w:spacing w:line="360" w:lineRule="auto"/>
        <w:ind w:firstLine="560" w:firstLineChars="200"/>
        <w:rPr>
          <w:sz w:val="28"/>
          <w:szCs w:val="28"/>
        </w:rPr>
      </w:pPr>
      <w:r>
        <w:rPr>
          <w:rFonts w:hint="eastAsia"/>
          <w:sz w:val="28"/>
          <w:szCs w:val="28"/>
        </w:rPr>
        <w:t>7、触电</w:t>
      </w:r>
    </w:p>
    <w:p>
      <w:pPr>
        <w:spacing w:line="360" w:lineRule="auto"/>
        <w:ind w:firstLine="560" w:firstLineChars="200"/>
        <w:rPr>
          <w:sz w:val="28"/>
          <w:szCs w:val="28"/>
        </w:rPr>
      </w:pPr>
      <w:r>
        <w:rPr>
          <w:rFonts w:hint="eastAsia"/>
          <w:sz w:val="28"/>
          <w:szCs w:val="28"/>
        </w:rPr>
        <w:t>电工作业及电气设备作业时，若无有效的漏电保护措施、绝缘工具或作业人员误操作等，可能发生触电事故导致人员伤亡。</w:t>
      </w:r>
    </w:p>
    <w:p>
      <w:pPr>
        <w:spacing w:line="360" w:lineRule="auto"/>
        <w:ind w:firstLine="560" w:firstLineChars="200"/>
        <w:rPr>
          <w:sz w:val="28"/>
          <w:szCs w:val="28"/>
        </w:rPr>
      </w:pPr>
      <w:r>
        <w:rPr>
          <w:rFonts w:hint="eastAsia"/>
          <w:sz w:val="28"/>
          <w:szCs w:val="28"/>
        </w:rPr>
        <w:t>8、高处坠落</w:t>
      </w:r>
    </w:p>
    <w:p>
      <w:pPr>
        <w:spacing w:line="360" w:lineRule="auto"/>
        <w:ind w:firstLine="560" w:firstLineChars="200"/>
        <w:rPr>
          <w:sz w:val="28"/>
          <w:szCs w:val="28"/>
        </w:rPr>
      </w:pPr>
      <w:r>
        <w:rPr>
          <w:rFonts w:hint="eastAsia"/>
          <w:sz w:val="28"/>
          <w:szCs w:val="28"/>
        </w:rPr>
        <w:t>作业人员在无有效的防护措施下，在作业过程中可能从距离坠落基准面2m以上位置坠落，发生高处坠落事故。</w:t>
      </w:r>
    </w:p>
    <w:p>
      <w:pPr>
        <w:spacing w:line="360" w:lineRule="auto"/>
        <w:ind w:firstLine="560" w:firstLineChars="200"/>
        <w:rPr>
          <w:sz w:val="28"/>
          <w:szCs w:val="28"/>
        </w:rPr>
      </w:pPr>
      <w:r>
        <w:rPr>
          <w:rFonts w:hint="eastAsia"/>
          <w:sz w:val="28"/>
          <w:szCs w:val="28"/>
        </w:rPr>
        <w:t>9、坍塌</w:t>
      </w:r>
    </w:p>
    <w:p>
      <w:pPr>
        <w:pStyle w:val="17"/>
        <w:widowControl w:val="0"/>
        <w:spacing w:line="360" w:lineRule="auto"/>
        <w:ind w:firstLine="560"/>
        <w:rPr>
          <w:sz w:val="28"/>
          <w:szCs w:val="28"/>
        </w:rPr>
      </w:pPr>
      <w:r>
        <w:rPr>
          <w:rFonts w:hint="eastAsia"/>
          <w:sz w:val="28"/>
          <w:szCs w:val="28"/>
        </w:rPr>
        <w:t>在企事业单位的仓管或物料运送过程中，可能因物料堆垛过高、外力撞击等原因，发生货架或堆放物料坍塌事故。</w:t>
      </w:r>
    </w:p>
    <w:p>
      <w:pPr>
        <w:spacing w:line="360" w:lineRule="auto"/>
        <w:ind w:firstLine="560" w:firstLineChars="200"/>
        <w:rPr>
          <w:sz w:val="28"/>
          <w:szCs w:val="28"/>
        </w:rPr>
      </w:pPr>
      <w:r>
        <w:rPr>
          <w:rFonts w:hint="eastAsia"/>
          <w:sz w:val="28"/>
          <w:szCs w:val="28"/>
        </w:rPr>
        <w:t>10、电梯事故</w:t>
      </w:r>
    </w:p>
    <w:p>
      <w:pPr>
        <w:spacing w:line="360" w:lineRule="auto"/>
        <w:ind w:firstLine="560" w:firstLineChars="200"/>
        <w:rPr>
          <w:rFonts w:hint="eastAsia"/>
          <w:sz w:val="28"/>
          <w:szCs w:val="28"/>
        </w:rPr>
      </w:pPr>
      <w:r>
        <w:rPr>
          <w:rFonts w:hint="eastAsia"/>
          <w:sz w:val="28"/>
          <w:szCs w:val="28"/>
        </w:rPr>
        <w:t>电梯是指动力驱动、沿刚性导轨或固定线路运送人、货物的机电设备，包括载人电梯和载货电梯等。因为电梯工作频繁，老化速度快，久而久之，会造成机械或电气装置动作不可靠，若维修更换不及时，电梯带隐患运行，则很容易发生电梯事故。</w:t>
      </w:r>
    </w:p>
    <w:p>
      <w:pPr>
        <w:spacing w:line="360" w:lineRule="auto"/>
        <w:ind w:firstLine="560" w:firstLineChars="200"/>
        <w:rPr>
          <w:rFonts w:hint="eastAsia"/>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sectPr>
          <w:footerReference r:id="rId9" w:type="first"/>
          <w:footerReference r:id="rId8" w:type="default"/>
          <w:pgSz w:w="11906" w:h="16838"/>
          <w:pgMar w:top="1440" w:right="1797" w:bottom="1440" w:left="1797" w:header="851" w:footer="992" w:gutter="0"/>
          <w:pgNumType w:start="1"/>
          <w:cols w:space="720" w:num="1"/>
          <w:titlePg/>
          <w:docGrid w:type="lines" w:linePitch="312" w:charSpace="0"/>
        </w:sectPr>
      </w:pP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0"/>
        <w:rPr>
          <w:b/>
          <w:sz w:val="28"/>
          <w:szCs w:val="28"/>
        </w:rPr>
      </w:pPr>
      <w:bookmarkStart w:id="26" w:name="_Toc19115"/>
      <w:bookmarkStart w:id="27" w:name="_Toc10705"/>
      <w:bookmarkStart w:id="28" w:name="_Toc2474"/>
      <w:r>
        <w:rPr>
          <w:b/>
          <w:sz w:val="28"/>
          <w:szCs w:val="28"/>
        </w:rPr>
        <w:t xml:space="preserve">2  </w:t>
      </w:r>
      <w:r>
        <w:rPr>
          <w:rFonts w:hint="eastAsia"/>
          <w:b/>
          <w:sz w:val="28"/>
          <w:szCs w:val="28"/>
        </w:rPr>
        <w:t>组织指挥体系及职责</w:t>
      </w:r>
      <w:bookmarkEnd w:id="26"/>
      <w:bookmarkEnd w:id="27"/>
      <w:bookmarkEnd w:id="28"/>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outlineLvl w:val="1"/>
        <w:rPr>
          <w:rFonts w:hint="eastAsia"/>
          <w:sz w:val="28"/>
          <w:szCs w:val="28"/>
        </w:rPr>
      </w:pPr>
      <w:bookmarkStart w:id="29" w:name="_Toc11691"/>
      <w:bookmarkStart w:id="30" w:name="_Toc26780"/>
      <w:bookmarkStart w:id="31" w:name="_Toc13382"/>
      <w:r>
        <w:rPr>
          <w:sz w:val="28"/>
          <w:szCs w:val="28"/>
        </w:rPr>
        <w:t xml:space="preserve">2.1   </w:t>
      </w:r>
      <w:r>
        <w:rPr>
          <w:rFonts w:hint="eastAsia"/>
          <w:sz w:val="28"/>
          <w:szCs w:val="28"/>
        </w:rPr>
        <w:t>应急组织机构与职责</w:t>
      </w:r>
      <w:bookmarkEnd w:id="29"/>
      <w:bookmarkEnd w:id="30"/>
      <w:bookmarkEnd w:id="31"/>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outlineLvl w:val="2"/>
        <w:rPr>
          <w:sz w:val="28"/>
          <w:szCs w:val="28"/>
        </w:rPr>
      </w:pPr>
      <w:r>
        <w:rPr>
          <w:rFonts w:hint="eastAsia"/>
          <w:sz w:val="28"/>
          <w:szCs w:val="28"/>
        </w:rPr>
        <w:t>2.1.</w:t>
      </w:r>
      <w:r>
        <w:rPr>
          <w:rFonts w:hint="eastAsia"/>
          <w:sz w:val="28"/>
          <w:szCs w:val="28"/>
          <w:lang w:val="en-US" w:eastAsia="zh-CN"/>
        </w:rPr>
        <w:t>1</w:t>
      </w:r>
      <w:r>
        <w:rPr>
          <w:rFonts w:hint="eastAsia"/>
          <w:sz w:val="28"/>
          <w:szCs w:val="28"/>
        </w:rPr>
        <w:t xml:space="preserve">  应急机构职责</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sz w:val="28"/>
          <w:szCs w:val="28"/>
        </w:rPr>
      </w:pPr>
      <w:r>
        <w:rPr>
          <w:rFonts w:hint="eastAsia"/>
          <w:color w:val="000000"/>
          <w:sz w:val="28"/>
          <w:szCs w:val="28"/>
        </w:rPr>
        <w:t>应急机构职责见下表2-1。</w:t>
      </w:r>
    </w:p>
    <w:p>
      <w:pPr>
        <w:spacing w:line="360" w:lineRule="auto"/>
        <w:jc w:val="center"/>
      </w:pPr>
      <w:r>
        <w:rPr>
          <w:rFonts w:hint="eastAsia" w:ascii="宋体" w:hAnsi="宋体"/>
          <w:b/>
          <w:bCs/>
          <w:color w:val="000000"/>
          <w:sz w:val="24"/>
        </w:rPr>
        <w:t>表2-1  应急机构职责</w:t>
      </w:r>
    </w:p>
    <w:p>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1"/>
        <w:rPr>
          <w:rFonts w:hint="eastAsia"/>
          <w:sz w:val="28"/>
          <w:szCs w:val="28"/>
        </w:rPr>
      </w:pPr>
    </w:p>
    <w:tbl>
      <w:tblPr>
        <w:tblStyle w:val="12"/>
        <w:tblW w:w="1360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6"/>
        <w:gridCol w:w="1538"/>
        <w:gridCol w:w="2486"/>
        <w:gridCol w:w="2142"/>
        <w:gridCol w:w="6756"/>
      </w:tblGrid>
      <w:tr>
        <w:tblPrEx>
          <w:tblCellMar>
            <w:top w:w="0" w:type="dxa"/>
            <w:left w:w="108" w:type="dxa"/>
            <w:bottom w:w="0" w:type="dxa"/>
            <w:right w:w="108" w:type="dxa"/>
          </w:tblCellMar>
        </w:tblPrEx>
        <w:trPr>
          <w:trHeight w:val="380" w:hRule="atLeast"/>
          <w:tblHeader/>
        </w:trPr>
        <w:tc>
          <w:tcPr>
            <w:tcW w:w="686" w:type="dxa"/>
            <w:tcBorders>
              <w:top w:val="single" w:color="auto" w:sz="12" w:space="0"/>
            </w:tcBorders>
            <w:vAlign w:val="center"/>
          </w:tcPr>
          <w:p>
            <w:pPr>
              <w:spacing w:beforeLines="50"/>
              <w:jc w:val="center"/>
              <w:rPr>
                <w:b/>
                <w:bCs/>
                <w:szCs w:val="21"/>
              </w:rPr>
            </w:pPr>
            <w:bookmarkStart w:id="32" w:name="_Toc19822"/>
            <w:bookmarkStart w:id="33" w:name="_Toc293150064"/>
            <w:bookmarkStart w:id="34" w:name="_Toc18553"/>
            <w:bookmarkStart w:id="35" w:name="_Toc8704"/>
            <w:r>
              <w:rPr>
                <w:rFonts w:hint="eastAsia" w:cs="宋体"/>
                <w:b/>
                <w:bCs/>
                <w:szCs w:val="21"/>
              </w:rPr>
              <w:t>序号</w:t>
            </w:r>
          </w:p>
        </w:tc>
        <w:tc>
          <w:tcPr>
            <w:tcW w:w="1538" w:type="dxa"/>
            <w:tcBorders>
              <w:top w:val="single" w:color="auto" w:sz="12" w:space="0"/>
            </w:tcBorders>
            <w:vAlign w:val="center"/>
          </w:tcPr>
          <w:p>
            <w:pPr>
              <w:spacing w:beforeLines="50"/>
              <w:jc w:val="center"/>
              <w:rPr>
                <w:b/>
                <w:bCs/>
                <w:szCs w:val="21"/>
              </w:rPr>
            </w:pPr>
            <w:r>
              <w:rPr>
                <w:rFonts w:hint="eastAsia" w:cs="宋体"/>
                <w:b/>
                <w:bCs/>
                <w:szCs w:val="21"/>
              </w:rPr>
              <w:t>应急机构名称</w:t>
            </w:r>
          </w:p>
        </w:tc>
        <w:tc>
          <w:tcPr>
            <w:tcW w:w="2486" w:type="dxa"/>
            <w:tcBorders>
              <w:top w:val="single" w:color="auto" w:sz="12" w:space="0"/>
            </w:tcBorders>
            <w:vAlign w:val="center"/>
          </w:tcPr>
          <w:p>
            <w:pPr>
              <w:spacing w:beforeLines="50"/>
              <w:jc w:val="center"/>
              <w:rPr>
                <w:b/>
                <w:bCs/>
                <w:szCs w:val="21"/>
              </w:rPr>
            </w:pPr>
            <w:r>
              <w:rPr>
                <w:rFonts w:hint="eastAsia" w:cs="宋体"/>
                <w:b/>
                <w:bCs/>
                <w:szCs w:val="21"/>
              </w:rPr>
              <w:t>责任部门</w:t>
            </w:r>
          </w:p>
        </w:tc>
        <w:tc>
          <w:tcPr>
            <w:tcW w:w="2142" w:type="dxa"/>
            <w:tcBorders>
              <w:top w:val="single" w:color="auto" w:sz="12" w:space="0"/>
            </w:tcBorders>
            <w:vAlign w:val="center"/>
          </w:tcPr>
          <w:p>
            <w:pPr>
              <w:spacing w:beforeLines="50"/>
              <w:jc w:val="center"/>
              <w:rPr>
                <w:b/>
                <w:bCs/>
                <w:szCs w:val="21"/>
                <w:highlight w:val="none"/>
              </w:rPr>
            </w:pPr>
            <w:r>
              <w:rPr>
                <w:rFonts w:hint="eastAsia" w:cs="宋体"/>
                <w:b/>
                <w:bCs/>
                <w:szCs w:val="21"/>
                <w:highlight w:val="none"/>
              </w:rPr>
              <w:t>责任人及联系方式</w:t>
            </w:r>
          </w:p>
        </w:tc>
        <w:tc>
          <w:tcPr>
            <w:tcW w:w="6756" w:type="dxa"/>
            <w:tcBorders>
              <w:top w:val="single" w:color="auto" w:sz="12" w:space="0"/>
            </w:tcBorders>
            <w:vAlign w:val="center"/>
          </w:tcPr>
          <w:p>
            <w:pPr>
              <w:spacing w:beforeLines="50"/>
              <w:jc w:val="center"/>
              <w:rPr>
                <w:b/>
                <w:bCs/>
                <w:szCs w:val="21"/>
              </w:rPr>
            </w:pPr>
            <w:r>
              <w:rPr>
                <w:rFonts w:hint="eastAsia" w:cs="宋体"/>
                <w:b/>
                <w:bCs/>
                <w:szCs w:val="21"/>
              </w:rPr>
              <w:t>应急救援工作内容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56" w:hRule="atLeast"/>
        </w:trPr>
        <w:tc>
          <w:tcPr>
            <w:tcW w:w="686" w:type="dxa"/>
            <w:vAlign w:val="center"/>
          </w:tcPr>
          <w:p>
            <w:pPr>
              <w:jc w:val="center"/>
              <w:rPr>
                <w:szCs w:val="21"/>
              </w:rPr>
            </w:pPr>
            <w:r>
              <w:rPr>
                <w:szCs w:val="21"/>
              </w:rPr>
              <w:t>1</w:t>
            </w:r>
          </w:p>
        </w:tc>
        <w:tc>
          <w:tcPr>
            <w:tcW w:w="1538" w:type="dxa"/>
            <w:vAlign w:val="center"/>
          </w:tcPr>
          <w:p>
            <w:pPr>
              <w:jc w:val="center"/>
              <w:rPr>
                <w:szCs w:val="21"/>
              </w:rPr>
            </w:pPr>
            <w:r>
              <w:rPr>
                <w:rFonts w:hint="eastAsia" w:cs="宋体"/>
                <w:szCs w:val="21"/>
              </w:rPr>
              <w:t>城厢镇应急救援中心</w:t>
            </w:r>
          </w:p>
        </w:tc>
        <w:tc>
          <w:tcPr>
            <w:tcW w:w="2486" w:type="dxa"/>
            <w:vAlign w:val="center"/>
          </w:tcPr>
          <w:p>
            <w:pPr>
              <w:rPr>
                <w:szCs w:val="21"/>
              </w:rPr>
            </w:pPr>
            <w:r>
              <w:rPr>
                <w:rFonts w:hint="eastAsia"/>
                <w:szCs w:val="21"/>
              </w:rPr>
              <w:t>安委办</w:t>
            </w:r>
          </w:p>
        </w:tc>
        <w:tc>
          <w:tcPr>
            <w:tcW w:w="2142" w:type="dxa"/>
            <w:vAlign w:val="center"/>
          </w:tcPr>
          <w:p>
            <w:pPr>
              <w:rPr>
                <w:szCs w:val="21"/>
                <w:highlight w:val="none"/>
              </w:rPr>
            </w:pPr>
            <w:r>
              <w:rPr>
                <w:szCs w:val="21"/>
                <w:highlight w:val="none"/>
              </w:rPr>
              <w:t>叶强</w:t>
            </w:r>
            <w:r>
              <w:rPr>
                <w:rFonts w:hint="eastAsia"/>
                <w:szCs w:val="21"/>
                <w:highlight w:val="none"/>
              </w:rPr>
              <w:t xml:space="preserve"> </w:t>
            </w:r>
          </w:p>
          <w:p>
            <w:pPr>
              <w:rPr>
                <w:szCs w:val="21"/>
                <w:highlight w:val="none"/>
              </w:rPr>
            </w:pPr>
            <w:r>
              <w:rPr>
                <w:rFonts w:hint="eastAsia"/>
                <w:szCs w:val="21"/>
                <w:highlight w:val="none"/>
              </w:rPr>
              <w:t>高成</w:t>
            </w:r>
          </w:p>
        </w:tc>
        <w:tc>
          <w:tcPr>
            <w:tcW w:w="6756" w:type="dxa"/>
            <w:vAlign w:val="center"/>
          </w:tcPr>
          <w:p>
            <w:pPr>
              <w:rPr>
                <w:szCs w:val="21"/>
              </w:rPr>
            </w:pPr>
            <w:r>
              <w:rPr>
                <w:rFonts w:hint="eastAsia" w:cs="宋体"/>
                <w:szCs w:val="21"/>
              </w:rPr>
              <w:t>是城厢镇突发公共事件的最高指挥机构，负责本区内突发公共事件的应急指挥工作，职责如下：</w:t>
            </w:r>
          </w:p>
          <w:p>
            <w:pPr>
              <w:rPr>
                <w:szCs w:val="21"/>
              </w:rPr>
            </w:pPr>
            <w:r>
              <w:rPr>
                <w:rFonts w:hint="eastAsia" w:cs="宋体"/>
                <w:szCs w:val="21"/>
              </w:rPr>
              <w:t>（</w:t>
            </w:r>
            <w:r>
              <w:rPr>
                <w:szCs w:val="21"/>
              </w:rPr>
              <w:t>1</w:t>
            </w:r>
            <w:r>
              <w:rPr>
                <w:rFonts w:hint="eastAsia" w:cs="宋体"/>
                <w:szCs w:val="21"/>
              </w:rPr>
              <w:t>）接受事故报警，请示应急救援总指挥开启应急预案，并落实指令；</w:t>
            </w:r>
          </w:p>
          <w:p>
            <w:pPr>
              <w:rPr>
                <w:szCs w:val="21"/>
              </w:rPr>
            </w:pPr>
            <w:r>
              <w:rPr>
                <w:rFonts w:hint="eastAsia" w:cs="宋体"/>
                <w:szCs w:val="21"/>
              </w:rPr>
              <w:t>（</w:t>
            </w:r>
            <w:r>
              <w:rPr>
                <w:szCs w:val="21"/>
              </w:rPr>
              <w:t>2</w:t>
            </w:r>
            <w:r>
              <w:rPr>
                <w:rFonts w:hint="eastAsia" w:cs="宋体"/>
                <w:szCs w:val="21"/>
              </w:rPr>
              <w:t>）下达应急预案启动和终止指令；</w:t>
            </w:r>
          </w:p>
          <w:p>
            <w:pPr>
              <w:rPr>
                <w:szCs w:val="21"/>
              </w:rPr>
            </w:pPr>
            <w:r>
              <w:rPr>
                <w:rFonts w:hint="eastAsia" w:cs="宋体"/>
                <w:szCs w:val="21"/>
              </w:rPr>
              <w:t>（</w:t>
            </w:r>
            <w:r>
              <w:rPr>
                <w:szCs w:val="21"/>
              </w:rPr>
              <w:t>3</w:t>
            </w:r>
            <w:r>
              <w:rPr>
                <w:rFonts w:hint="eastAsia" w:cs="宋体"/>
                <w:szCs w:val="21"/>
              </w:rPr>
              <w:t>）负责应急救援工作的组织、指挥、协调和落实；统一协调社会救援力量；</w:t>
            </w:r>
          </w:p>
          <w:p>
            <w:pPr>
              <w:rPr>
                <w:szCs w:val="21"/>
              </w:rPr>
            </w:pPr>
            <w:r>
              <w:rPr>
                <w:rFonts w:hint="eastAsia" w:cs="宋体"/>
                <w:szCs w:val="21"/>
              </w:rPr>
              <w:t>（</w:t>
            </w:r>
            <w:r>
              <w:rPr>
                <w:szCs w:val="21"/>
              </w:rPr>
              <w:t>4</w:t>
            </w:r>
            <w:r>
              <w:rPr>
                <w:rFonts w:hint="eastAsia" w:cs="宋体"/>
                <w:szCs w:val="21"/>
              </w:rPr>
              <w:t>）确定应急救援指挥部人员名单和聘请的专家名单，并下达派出指令；</w:t>
            </w:r>
          </w:p>
          <w:p>
            <w:pPr>
              <w:rPr>
                <w:szCs w:val="21"/>
              </w:rPr>
            </w:pPr>
            <w:r>
              <w:rPr>
                <w:rFonts w:hint="eastAsia" w:cs="宋体"/>
                <w:szCs w:val="21"/>
              </w:rPr>
              <w:t>（</w:t>
            </w:r>
            <w:r>
              <w:rPr>
                <w:szCs w:val="21"/>
              </w:rPr>
              <w:t>5</w:t>
            </w:r>
            <w:r>
              <w:rPr>
                <w:rFonts w:hint="eastAsia" w:cs="宋体"/>
                <w:szCs w:val="21"/>
              </w:rPr>
              <w:t>）组织编制、修订事故应急救援预案，组织演练；</w:t>
            </w:r>
          </w:p>
          <w:p>
            <w:pPr>
              <w:rPr>
                <w:szCs w:val="21"/>
              </w:rPr>
            </w:pPr>
            <w:r>
              <w:rPr>
                <w:rFonts w:hint="eastAsia" w:cs="宋体"/>
                <w:szCs w:val="21"/>
              </w:rPr>
              <w:t>（</w:t>
            </w:r>
            <w:r>
              <w:rPr>
                <w:szCs w:val="21"/>
              </w:rPr>
              <w:t>6</w:t>
            </w:r>
            <w:r>
              <w:rPr>
                <w:rFonts w:hint="eastAsia" w:cs="宋体"/>
                <w:szCs w:val="21"/>
              </w:rPr>
              <w:t>）组织对重大事故进行调查，核发事故通报。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90" w:hRule="atLeast"/>
        </w:trPr>
        <w:tc>
          <w:tcPr>
            <w:tcW w:w="686" w:type="dxa"/>
            <w:vAlign w:val="center"/>
          </w:tcPr>
          <w:p>
            <w:pPr>
              <w:jc w:val="center"/>
              <w:rPr>
                <w:szCs w:val="21"/>
              </w:rPr>
            </w:pPr>
            <w:r>
              <w:rPr>
                <w:szCs w:val="21"/>
              </w:rPr>
              <w:t>2</w:t>
            </w:r>
          </w:p>
        </w:tc>
        <w:tc>
          <w:tcPr>
            <w:tcW w:w="1538" w:type="dxa"/>
            <w:vAlign w:val="center"/>
          </w:tcPr>
          <w:p>
            <w:pPr>
              <w:jc w:val="center"/>
              <w:rPr>
                <w:szCs w:val="21"/>
              </w:rPr>
            </w:pPr>
            <w:r>
              <w:rPr>
                <w:rFonts w:hint="eastAsia" w:cs="宋体"/>
                <w:szCs w:val="21"/>
              </w:rPr>
              <w:t>应急救援</w:t>
            </w:r>
          </w:p>
          <w:p>
            <w:pPr>
              <w:jc w:val="center"/>
              <w:rPr>
                <w:szCs w:val="21"/>
              </w:rPr>
            </w:pPr>
            <w:r>
              <w:rPr>
                <w:rFonts w:hint="eastAsia" w:cs="宋体"/>
                <w:szCs w:val="21"/>
              </w:rPr>
              <w:t>总指挥</w:t>
            </w:r>
          </w:p>
        </w:tc>
        <w:tc>
          <w:tcPr>
            <w:tcW w:w="2486" w:type="dxa"/>
            <w:vAlign w:val="center"/>
          </w:tcPr>
          <w:p>
            <w:pPr>
              <w:rPr>
                <w:szCs w:val="21"/>
              </w:rPr>
            </w:pPr>
            <w:r>
              <w:rPr>
                <w:rFonts w:hint="eastAsia"/>
                <w:szCs w:val="21"/>
              </w:rPr>
              <w:t>安委会</w:t>
            </w:r>
          </w:p>
        </w:tc>
        <w:tc>
          <w:tcPr>
            <w:tcW w:w="2142" w:type="dxa"/>
            <w:vAlign w:val="center"/>
          </w:tcPr>
          <w:p>
            <w:pPr>
              <w:rPr>
                <w:rFonts w:ascii="宋体" w:hAnsi="宋体" w:cs="宋体"/>
                <w:szCs w:val="21"/>
                <w:highlight w:val="none"/>
              </w:rPr>
            </w:pPr>
            <w:r>
              <w:rPr>
                <w:rFonts w:hint="eastAsia"/>
                <w:szCs w:val="21"/>
                <w:highlight w:val="none"/>
              </w:rPr>
              <w:t>顾强</w:t>
            </w:r>
          </w:p>
        </w:tc>
        <w:tc>
          <w:tcPr>
            <w:tcW w:w="6756" w:type="dxa"/>
            <w:vAlign w:val="center"/>
          </w:tcPr>
          <w:p>
            <w:pPr>
              <w:rPr>
                <w:szCs w:val="21"/>
              </w:rPr>
            </w:pPr>
            <w:r>
              <w:rPr>
                <w:rFonts w:hint="eastAsia" w:cs="宋体"/>
                <w:szCs w:val="21"/>
              </w:rPr>
              <w:t>（</w:t>
            </w:r>
            <w:r>
              <w:rPr>
                <w:szCs w:val="21"/>
              </w:rPr>
              <w:t>1</w:t>
            </w:r>
            <w:r>
              <w:rPr>
                <w:rFonts w:hint="eastAsia" w:cs="宋体"/>
                <w:szCs w:val="21"/>
              </w:rPr>
              <w:t>）负责宣布启动和解除应急救援预案的命令；</w:t>
            </w:r>
          </w:p>
          <w:p>
            <w:pPr>
              <w:rPr>
                <w:szCs w:val="21"/>
              </w:rPr>
            </w:pPr>
            <w:r>
              <w:rPr>
                <w:rFonts w:hint="eastAsia" w:cs="宋体"/>
                <w:szCs w:val="21"/>
              </w:rPr>
              <w:t>（</w:t>
            </w:r>
            <w:r>
              <w:rPr>
                <w:szCs w:val="21"/>
              </w:rPr>
              <w:t>2</w:t>
            </w:r>
            <w:r>
              <w:rPr>
                <w:rFonts w:hint="eastAsia" w:cs="宋体"/>
                <w:szCs w:val="21"/>
              </w:rPr>
              <w:t>）指挥应急救援小组有序开展救援工作；</w:t>
            </w:r>
          </w:p>
          <w:p>
            <w:pPr>
              <w:rPr>
                <w:szCs w:val="21"/>
              </w:rPr>
            </w:pPr>
            <w:r>
              <w:rPr>
                <w:rFonts w:hint="eastAsia" w:cs="宋体"/>
                <w:szCs w:val="21"/>
              </w:rPr>
              <w:t>（</w:t>
            </w:r>
            <w:r>
              <w:rPr>
                <w:szCs w:val="21"/>
              </w:rPr>
              <w:t>3</w:t>
            </w:r>
            <w:r>
              <w:rPr>
                <w:rFonts w:hint="eastAsia" w:cs="宋体"/>
                <w:szCs w:val="21"/>
              </w:rPr>
              <w:t>）向上级汇报事故情况，必要时向有关单位发出救援请求。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6" w:type="dxa"/>
            <w:vAlign w:val="center"/>
          </w:tcPr>
          <w:p>
            <w:pPr>
              <w:jc w:val="center"/>
              <w:rPr>
                <w:szCs w:val="21"/>
              </w:rPr>
            </w:pPr>
            <w:r>
              <w:rPr>
                <w:szCs w:val="21"/>
              </w:rPr>
              <w:t>3</w:t>
            </w:r>
          </w:p>
        </w:tc>
        <w:tc>
          <w:tcPr>
            <w:tcW w:w="1538" w:type="dxa"/>
            <w:vAlign w:val="center"/>
          </w:tcPr>
          <w:p>
            <w:pPr>
              <w:jc w:val="center"/>
              <w:rPr>
                <w:szCs w:val="21"/>
              </w:rPr>
            </w:pPr>
            <w:r>
              <w:rPr>
                <w:rFonts w:hint="eastAsia" w:cs="宋体"/>
                <w:szCs w:val="21"/>
              </w:rPr>
              <w:t>安全警戒疏散组</w:t>
            </w:r>
          </w:p>
        </w:tc>
        <w:tc>
          <w:tcPr>
            <w:tcW w:w="2486" w:type="dxa"/>
            <w:vAlign w:val="center"/>
          </w:tcPr>
          <w:p>
            <w:pPr>
              <w:spacing w:line="276" w:lineRule="auto"/>
              <w:rPr>
                <w:rFonts w:hint="eastAsia" w:cs="宋体"/>
                <w:szCs w:val="21"/>
              </w:rPr>
            </w:pPr>
            <w:r>
              <w:rPr>
                <w:rFonts w:hint="eastAsia" w:cs="宋体"/>
                <w:szCs w:val="21"/>
                <w:lang w:val="en-US" w:eastAsia="zh-CN"/>
              </w:rPr>
              <w:t>城中</w:t>
            </w:r>
            <w:r>
              <w:rPr>
                <w:rFonts w:hint="eastAsia" w:cs="宋体"/>
                <w:szCs w:val="21"/>
              </w:rPr>
              <w:t>派出所</w:t>
            </w:r>
          </w:p>
          <w:p>
            <w:pPr>
              <w:spacing w:line="276" w:lineRule="auto"/>
              <w:rPr>
                <w:rFonts w:hint="eastAsia" w:cs="宋体"/>
                <w:szCs w:val="21"/>
                <w:lang w:val="en-US" w:eastAsia="zh-CN"/>
              </w:rPr>
            </w:pPr>
            <w:r>
              <w:rPr>
                <w:rFonts w:hint="eastAsia" w:cs="宋体"/>
                <w:szCs w:val="21"/>
                <w:lang w:val="en-US" w:eastAsia="zh-CN"/>
              </w:rPr>
              <w:t>城西派出所</w:t>
            </w:r>
          </w:p>
          <w:p>
            <w:pPr>
              <w:spacing w:line="276" w:lineRule="auto"/>
              <w:rPr>
                <w:rFonts w:hint="eastAsia" w:cs="宋体"/>
                <w:szCs w:val="21"/>
                <w:lang w:val="en-US" w:eastAsia="zh-CN"/>
              </w:rPr>
            </w:pPr>
            <w:r>
              <w:rPr>
                <w:rFonts w:hint="eastAsia" w:cs="宋体"/>
                <w:szCs w:val="21"/>
                <w:lang w:val="en-US" w:eastAsia="zh-CN"/>
              </w:rPr>
              <w:t>金仓湖派出所</w:t>
            </w:r>
          </w:p>
          <w:p>
            <w:pPr>
              <w:spacing w:line="276" w:lineRule="auto"/>
              <w:rPr>
                <w:szCs w:val="21"/>
              </w:rPr>
            </w:pPr>
            <w:r>
              <w:rPr>
                <w:rFonts w:hint="eastAsia" w:cs="宋体"/>
                <w:szCs w:val="21"/>
              </w:rPr>
              <w:t>交警</w:t>
            </w:r>
            <w:r>
              <w:rPr>
                <w:rFonts w:hint="eastAsia" w:cs="宋体"/>
                <w:szCs w:val="21"/>
                <w:lang w:val="en-US" w:eastAsia="zh-CN"/>
              </w:rPr>
              <w:t>城厢</w:t>
            </w:r>
            <w:r>
              <w:rPr>
                <w:rFonts w:hint="eastAsia" w:cs="宋体"/>
                <w:szCs w:val="21"/>
              </w:rPr>
              <w:t>中队</w:t>
            </w:r>
          </w:p>
        </w:tc>
        <w:tc>
          <w:tcPr>
            <w:tcW w:w="2142" w:type="dxa"/>
            <w:vAlign w:val="center"/>
          </w:tcPr>
          <w:p>
            <w:pPr>
              <w:spacing w:line="276" w:lineRule="auto"/>
              <w:rPr>
                <w:rFonts w:hint="eastAsia" w:cs="宋体"/>
                <w:szCs w:val="21"/>
                <w:lang w:val="en-US" w:eastAsia="zh-CN"/>
              </w:rPr>
            </w:pPr>
            <w:r>
              <w:rPr>
                <w:rFonts w:hint="eastAsia" w:cs="宋体"/>
                <w:szCs w:val="21"/>
                <w:lang w:val="en-US" w:eastAsia="zh-CN"/>
              </w:rPr>
              <w:t>周  丹</w:t>
            </w:r>
          </w:p>
          <w:p>
            <w:pPr>
              <w:spacing w:line="276" w:lineRule="auto"/>
              <w:rPr>
                <w:rFonts w:hint="eastAsia" w:cs="宋体"/>
                <w:szCs w:val="21"/>
                <w:lang w:val="en-US" w:eastAsia="zh-CN"/>
              </w:rPr>
            </w:pPr>
            <w:r>
              <w:rPr>
                <w:rFonts w:hint="eastAsia" w:cs="宋体"/>
                <w:szCs w:val="21"/>
                <w:lang w:val="en-US" w:eastAsia="zh-CN"/>
              </w:rPr>
              <w:t>何  振</w:t>
            </w:r>
          </w:p>
          <w:p>
            <w:pPr>
              <w:spacing w:line="276" w:lineRule="auto"/>
              <w:rPr>
                <w:rFonts w:hint="eastAsia" w:cs="宋体"/>
                <w:szCs w:val="21"/>
                <w:lang w:val="en-US" w:eastAsia="zh-CN"/>
              </w:rPr>
            </w:pPr>
            <w:r>
              <w:rPr>
                <w:rFonts w:hint="eastAsia" w:cs="宋体"/>
                <w:szCs w:val="21"/>
                <w:lang w:val="en-US" w:eastAsia="zh-CN"/>
              </w:rPr>
              <w:t>刘  浩</w:t>
            </w:r>
          </w:p>
          <w:p>
            <w:pPr>
              <w:rPr>
                <w:rFonts w:ascii="宋体" w:hAnsi="宋体" w:cs="宋体"/>
                <w:szCs w:val="21"/>
                <w:highlight w:val="yellow"/>
              </w:rPr>
            </w:pPr>
            <w:r>
              <w:rPr>
                <w:rFonts w:hint="eastAsia" w:cs="宋体"/>
                <w:szCs w:val="21"/>
                <w:lang w:val="en-US" w:eastAsia="zh-CN"/>
              </w:rPr>
              <w:t>鲁亮贤</w:t>
            </w:r>
          </w:p>
        </w:tc>
        <w:tc>
          <w:tcPr>
            <w:tcW w:w="6756" w:type="dxa"/>
            <w:vAlign w:val="center"/>
          </w:tcPr>
          <w:p>
            <w:pPr>
              <w:rPr>
                <w:szCs w:val="21"/>
              </w:rPr>
            </w:pPr>
            <w:r>
              <w:rPr>
                <w:rFonts w:hint="eastAsia" w:cs="宋体"/>
                <w:szCs w:val="21"/>
              </w:rPr>
              <w:t>（</w:t>
            </w:r>
            <w:r>
              <w:rPr>
                <w:szCs w:val="21"/>
              </w:rPr>
              <w:t>1</w:t>
            </w:r>
            <w:r>
              <w:rPr>
                <w:rFonts w:hint="eastAsia" w:cs="宋体"/>
                <w:szCs w:val="21"/>
              </w:rPr>
              <w:t>）负责事故现场、外围道路交通疏导及管制，保证救援车辆、物资、人员畅通；</w:t>
            </w:r>
          </w:p>
          <w:p>
            <w:pPr>
              <w:rPr>
                <w:szCs w:val="21"/>
              </w:rPr>
            </w:pPr>
            <w:r>
              <w:rPr>
                <w:rFonts w:hint="eastAsia" w:cs="宋体"/>
                <w:szCs w:val="21"/>
              </w:rPr>
              <w:t>（</w:t>
            </w:r>
            <w:r>
              <w:rPr>
                <w:szCs w:val="21"/>
              </w:rPr>
              <w:t>2</w:t>
            </w:r>
            <w:r>
              <w:rPr>
                <w:rFonts w:hint="eastAsia" w:cs="宋体"/>
                <w:szCs w:val="21"/>
              </w:rPr>
              <w:t>）负责撤离现场人员安全疏散至集合点；</w:t>
            </w:r>
          </w:p>
          <w:p>
            <w:pPr>
              <w:rPr>
                <w:szCs w:val="21"/>
              </w:rPr>
            </w:pPr>
            <w:r>
              <w:rPr>
                <w:rFonts w:hint="eastAsia" w:cs="宋体"/>
                <w:szCs w:val="21"/>
              </w:rPr>
              <w:t>（</w:t>
            </w:r>
            <w:r>
              <w:rPr>
                <w:szCs w:val="21"/>
              </w:rPr>
              <w:t>3</w:t>
            </w:r>
            <w:r>
              <w:rPr>
                <w:rFonts w:hint="eastAsia" w:cs="宋体"/>
                <w:szCs w:val="21"/>
              </w:rPr>
              <w:t>）负责外围人员的安全疏散；</w:t>
            </w:r>
          </w:p>
          <w:p>
            <w:pPr>
              <w:rPr>
                <w:szCs w:val="21"/>
              </w:rPr>
            </w:pPr>
            <w:r>
              <w:rPr>
                <w:rFonts w:hint="eastAsia" w:cs="宋体"/>
                <w:szCs w:val="21"/>
              </w:rPr>
              <w:t>（</w:t>
            </w:r>
            <w:r>
              <w:rPr>
                <w:szCs w:val="21"/>
              </w:rPr>
              <w:t>4</w:t>
            </w:r>
            <w:r>
              <w:rPr>
                <w:rFonts w:hint="eastAsia" w:cs="宋体"/>
                <w:szCs w:val="21"/>
              </w:rPr>
              <w:t>）负责现场安全警戒。</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6" w:type="dxa"/>
            <w:vAlign w:val="center"/>
          </w:tcPr>
          <w:p>
            <w:pPr>
              <w:jc w:val="center"/>
              <w:rPr>
                <w:szCs w:val="21"/>
              </w:rPr>
            </w:pPr>
            <w:r>
              <w:rPr>
                <w:szCs w:val="21"/>
              </w:rPr>
              <w:t>4</w:t>
            </w:r>
          </w:p>
        </w:tc>
        <w:tc>
          <w:tcPr>
            <w:tcW w:w="1538" w:type="dxa"/>
            <w:vAlign w:val="center"/>
          </w:tcPr>
          <w:p>
            <w:pPr>
              <w:jc w:val="center"/>
              <w:rPr>
                <w:szCs w:val="21"/>
              </w:rPr>
            </w:pPr>
            <w:r>
              <w:rPr>
                <w:rFonts w:hint="eastAsia" w:cs="宋体"/>
                <w:szCs w:val="21"/>
              </w:rPr>
              <w:t>抢险救灾组</w:t>
            </w:r>
          </w:p>
        </w:tc>
        <w:tc>
          <w:tcPr>
            <w:tcW w:w="2486" w:type="dxa"/>
            <w:vAlign w:val="center"/>
          </w:tcPr>
          <w:p>
            <w:pPr>
              <w:spacing w:line="276" w:lineRule="auto"/>
              <w:rPr>
                <w:rFonts w:cs="宋体"/>
                <w:szCs w:val="21"/>
              </w:rPr>
            </w:pPr>
            <w:r>
              <w:rPr>
                <w:rFonts w:hint="eastAsia" w:cs="宋体"/>
                <w:szCs w:val="21"/>
              </w:rPr>
              <w:t>综合</w:t>
            </w:r>
            <w:r>
              <w:rPr>
                <w:rFonts w:hint="eastAsia" w:cs="宋体"/>
                <w:szCs w:val="21"/>
                <w:lang w:val="en-US" w:eastAsia="zh-CN"/>
              </w:rPr>
              <w:t>行政</w:t>
            </w:r>
            <w:r>
              <w:rPr>
                <w:rFonts w:hint="eastAsia" w:cs="宋体"/>
                <w:szCs w:val="21"/>
              </w:rPr>
              <w:t>执法局</w:t>
            </w:r>
          </w:p>
          <w:p>
            <w:pPr>
              <w:spacing w:line="276" w:lineRule="auto"/>
              <w:rPr>
                <w:rFonts w:cs="宋体"/>
                <w:szCs w:val="21"/>
              </w:rPr>
            </w:pPr>
            <w:r>
              <w:rPr>
                <w:rFonts w:hint="eastAsia" w:cs="宋体"/>
                <w:szCs w:val="21"/>
              </w:rPr>
              <w:t>建设局</w:t>
            </w:r>
          </w:p>
          <w:p>
            <w:pPr>
              <w:spacing w:line="276" w:lineRule="auto"/>
              <w:rPr>
                <w:rFonts w:hint="default" w:eastAsia="宋体" w:cs="宋体"/>
                <w:szCs w:val="21"/>
                <w:lang w:val="en-US" w:eastAsia="zh-CN"/>
              </w:rPr>
            </w:pPr>
            <w:r>
              <w:rPr>
                <w:rFonts w:hint="eastAsia" w:cs="宋体"/>
                <w:szCs w:val="21"/>
                <w:lang w:val="en-US" w:eastAsia="zh-CN"/>
              </w:rPr>
              <w:t>社会治理和社会事业局</w:t>
            </w:r>
          </w:p>
        </w:tc>
        <w:tc>
          <w:tcPr>
            <w:tcW w:w="2142" w:type="dxa"/>
            <w:vAlign w:val="center"/>
          </w:tcPr>
          <w:p>
            <w:pPr>
              <w:spacing w:line="276" w:lineRule="auto"/>
              <w:rPr>
                <w:rFonts w:hint="eastAsia" w:ascii="宋体" w:hAnsi="宋体" w:eastAsia="宋体" w:cs="宋体"/>
                <w:szCs w:val="21"/>
                <w:highlight w:val="none"/>
                <w:lang w:val="en-US" w:eastAsia="zh-CN"/>
              </w:rPr>
            </w:pPr>
            <w:r>
              <w:rPr>
                <w:rFonts w:hint="eastAsia" w:ascii="宋体" w:hAnsi="宋体" w:cs="宋体"/>
                <w:szCs w:val="21"/>
                <w:highlight w:val="none"/>
              </w:rPr>
              <w:t>浦燕</w:t>
            </w:r>
            <w:r>
              <w:rPr>
                <w:rFonts w:hint="eastAsia" w:ascii="宋体" w:hAnsi="宋体" w:cs="宋体"/>
                <w:szCs w:val="21"/>
                <w:highlight w:val="none"/>
                <w:lang w:val="en-US" w:eastAsia="zh-CN"/>
              </w:rPr>
              <w:t>锋</w:t>
            </w:r>
          </w:p>
          <w:p>
            <w:pPr>
              <w:spacing w:line="276" w:lineRule="auto"/>
              <w:rPr>
                <w:rFonts w:ascii="宋体" w:hAnsi="宋体" w:cs="宋体"/>
                <w:szCs w:val="21"/>
                <w:highlight w:val="none"/>
              </w:rPr>
            </w:pPr>
            <w:r>
              <w:rPr>
                <w:rFonts w:hint="eastAsia" w:ascii="宋体" w:hAnsi="宋体" w:cs="宋体"/>
                <w:szCs w:val="21"/>
                <w:highlight w:val="none"/>
              </w:rPr>
              <w:t>陈  俊</w:t>
            </w:r>
          </w:p>
          <w:p>
            <w:pPr>
              <w:spacing w:line="276" w:lineRule="auto"/>
              <w:rPr>
                <w:rFonts w:ascii="宋体" w:hAnsi="宋体" w:cs="宋体"/>
                <w:szCs w:val="21"/>
                <w:highlight w:val="yellow"/>
              </w:rPr>
            </w:pPr>
            <w:r>
              <w:rPr>
                <w:rFonts w:hint="eastAsia" w:ascii="宋体" w:hAnsi="宋体" w:cs="宋体"/>
                <w:szCs w:val="21"/>
                <w:highlight w:val="none"/>
              </w:rPr>
              <w:t>陆丽峰</w:t>
            </w:r>
          </w:p>
        </w:tc>
        <w:tc>
          <w:tcPr>
            <w:tcW w:w="6756" w:type="dxa"/>
            <w:vAlign w:val="center"/>
          </w:tcPr>
          <w:p>
            <w:pPr>
              <w:rPr>
                <w:szCs w:val="21"/>
              </w:rPr>
            </w:pPr>
            <w:r>
              <w:rPr>
                <w:rFonts w:hint="eastAsia" w:cs="宋体"/>
                <w:szCs w:val="21"/>
              </w:rPr>
              <w:t>（</w:t>
            </w:r>
            <w:r>
              <w:rPr>
                <w:szCs w:val="21"/>
              </w:rPr>
              <w:t>1</w:t>
            </w:r>
            <w:r>
              <w:rPr>
                <w:rFonts w:hint="eastAsia" w:cs="宋体"/>
                <w:szCs w:val="21"/>
              </w:rPr>
              <w:t>）抢险：在保证安全的条件下，对事故现场及周围物资进行抢险；</w:t>
            </w:r>
          </w:p>
          <w:p>
            <w:pPr>
              <w:rPr>
                <w:szCs w:val="21"/>
              </w:rPr>
            </w:pPr>
            <w:r>
              <w:rPr>
                <w:rFonts w:hint="eastAsia" w:cs="宋体"/>
                <w:szCs w:val="21"/>
              </w:rPr>
              <w:t>（</w:t>
            </w:r>
            <w:r>
              <w:rPr>
                <w:szCs w:val="21"/>
              </w:rPr>
              <w:t>2</w:t>
            </w:r>
            <w:r>
              <w:rPr>
                <w:rFonts w:hint="eastAsia" w:cs="宋体"/>
                <w:szCs w:val="21"/>
              </w:rPr>
              <w:t>）抢救：抢救现场受围、受伤人员；</w:t>
            </w:r>
          </w:p>
          <w:p>
            <w:pPr>
              <w:rPr>
                <w:szCs w:val="21"/>
              </w:rPr>
            </w:pPr>
            <w:r>
              <w:rPr>
                <w:rFonts w:hint="eastAsia" w:cs="宋体"/>
                <w:szCs w:val="21"/>
              </w:rPr>
              <w:t>（</w:t>
            </w:r>
            <w:r>
              <w:rPr>
                <w:szCs w:val="21"/>
              </w:rPr>
              <w:t>3</w:t>
            </w:r>
            <w:r>
              <w:rPr>
                <w:rFonts w:hint="eastAsia" w:cs="宋体"/>
                <w:szCs w:val="21"/>
              </w:rPr>
              <w:t>）抢修：对可能造成更大事故已损坏的设备、设施，在采取安全措施前提下进行抢修；</w:t>
            </w:r>
          </w:p>
          <w:p>
            <w:pPr>
              <w:rPr>
                <w:szCs w:val="21"/>
              </w:rPr>
            </w:pPr>
            <w:r>
              <w:rPr>
                <w:rFonts w:hint="eastAsia" w:cs="宋体"/>
                <w:szCs w:val="21"/>
              </w:rPr>
              <w:t>（</w:t>
            </w:r>
            <w:r>
              <w:rPr>
                <w:szCs w:val="21"/>
              </w:rPr>
              <w:t>4</w:t>
            </w:r>
            <w:r>
              <w:rPr>
                <w:rFonts w:hint="eastAsia" w:cs="宋体"/>
                <w:szCs w:val="21"/>
              </w:rPr>
              <w:t>）泄漏处理：进行堵漏，用沙土覆盖、收容、转移等进行处理；</w:t>
            </w:r>
          </w:p>
          <w:p>
            <w:pPr>
              <w:rPr>
                <w:szCs w:val="21"/>
              </w:rPr>
            </w:pPr>
            <w:r>
              <w:rPr>
                <w:rFonts w:hint="eastAsia" w:cs="宋体"/>
                <w:szCs w:val="21"/>
              </w:rPr>
              <w:t>（</w:t>
            </w:r>
            <w:r>
              <w:rPr>
                <w:szCs w:val="21"/>
              </w:rPr>
              <w:t>5</w:t>
            </w:r>
            <w:r>
              <w:rPr>
                <w:rFonts w:hint="eastAsia" w:cs="宋体"/>
                <w:szCs w:val="21"/>
              </w:rPr>
              <w:t>）现场消洗：对事故现场进行消洗处置工作</w:t>
            </w:r>
          </w:p>
          <w:p>
            <w:pPr>
              <w:rPr>
                <w:szCs w:val="21"/>
              </w:rPr>
            </w:pPr>
            <w:r>
              <w:rPr>
                <w:rFonts w:hint="eastAsia" w:cs="宋体"/>
                <w:szCs w:val="21"/>
              </w:rPr>
              <w:t>（由企业技术骨干及相关抢险、抢修人员组成）。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686" w:type="dxa"/>
            <w:vAlign w:val="center"/>
          </w:tcPr>
          <w:p>
            <w:pPr>
              <w:jc w:val="center"/>
              <w:rPr>
                <w:szCs w:val="21"/>
              </w:rPr>
            </w:pPr>
            <w:r>
              <w:rPr>
                <w:szCs w:val="21"/>
              </w:rPr>
              <w:t>5</w:t>
            </w:r>
          </w:p>
        </w:tc>
        <w:tc>
          <w:tcPr>
            <w:tcW w:w="1538" w:type="dxa"/>
            <w:vAlign w:val="center"/>
          </w:tcPr>
          <w:p>
            <w:pPr>
              <w:jc w:val="center"/>
              <w:rPr>
                <w:szCs w:val="21"/>
              </w:rPr>
            </w:pPr>
            <w:r>
              <w:rPr>
                <w:rFonts w:hint="eastAsia" w:cs="宋体"/>
                <w:szCs w:val="21"/>
              </w:rPr>
              <w:t>灭火救援组</w:t>
            </w:r>
          </w:p>
        </w:tc>
        <w:tc>
          <w:tcPr>
            <w:tcW w:w="2486" w:type="dxa"/>
            <w:vAlign w:val="center"/>
          </w:tcPr>
          <w:p>
            <w:pPr>
              <w:rPr>
                <w:rFonts w:hint="eastAsia" w:cs="宋体"/>
                <w:szCs w:val="21"/>
              </w:rPr>
            </w:pPr>
            <w:r>
              <w:rPr>
                <w:rFonts w:hint="eastAsia" w:cs="宋体"/>
                <w:szCs w:val="21"/>
              </w:rPr>
              <w:t>消防中队</w:t>
            </w:r>
          </w:p>
          <w:p>
            <w:pPr>
              <w:rPr>
                <w:rFonts w:cs="宋体"/>
                <w:szCs w:val="21"/>
              </w:rPr>
            </w:pPr>
            <w:r>
              <w:rPr>
                <w:rFonts w:hint="eastAsia" w:cs="宋体"/>
                <w:szCs w:val="21"/>
              </w:rPr>
              <w:t>交警</w:t>
            </w:r>
            <w:r>
              <w:rPr>
                <w:rFonts w:hint="eastAsia" w:cs="宋体"/>
                <w:szCs w:val="21"/>
                <w:lang w:val="en-US" w:eastAsia="zh-CN"/>
              </w:rPr>
              <w:t>城厢</w:t>
            </w:r>
            <w:r>
              <w:rPr>
                <w:rFonts w:hint="eastAsia" w:cs="宋体"/>
                <w:szCs w:val="21"/>
              </w:rPr>
              <w:t>中队</w:t>
            </w:r>
          </w:p>
        </w:tc>
        <w:tc>
          <w:tcPr>
            <w:tcW w:w="2142" w:type="dxa"/>
            <w:vAlign w:val="center"/>
          </w:tcPr>
          <w:p>
            <w:pPr>
              <w:rPr>
                <w:rFonts w:hint="eastAsia" w:ascii="宋体" w:hAnsi="宋体" w:eastAsia="宋体" w:cs="宋体"/>
                <w:szCs w:val="21"/>
                <w:highlight w:val="none"/>
                <w:lang w:val="en-US" w:eastAsia="zh-CN"/>
              </w:rPr>
            </w:pPr>
            <w:r>
              <w:rPr>
                <w:rFonts w:hint="eastAsia" w:ascii="宋体" w:hAnsi="宋体" w:cs="宋体"/>
                <w:szCs w:val="21"/>
                <w:highlight w:val="none"/>
              </w:rPr>
              <w:t>单进</w:t>
            </w:r>
            <w:r>
              <w:rPr>
                <w:rFonts w:hint="eastAsia" w:ascii="宋体" w:hAnsi="宋体" w:cs="宋体"/>
                <w:szCs w:val="21"/>
                <w:highlight w:val="none"/>
                <w:lang w:val="en-US" w:eastAsia="zh-CN"/>
              </w:rPr>
              <w:t>锋</w:t>
            </w:r>
          </w:p>
          <w:p>
            <w:pPr>
              <w:rPr>
                <w:rFonts w:hint="eastAsia" w:ascii="宋体" w:hAnsi="宋体" w:eastAsia="宋体" w:cs="宋体"/>
                <w:szCs w:val="21"/>
                <w:highlight w:val="none"/>
                <w:lang w:eastAsia="zh-CN"/>
              </w:rPr>
            </w:pPr>
            <w:r>
              <w:rPr>
                <w:rFonts w:hint="eastAsia" w:ascii="宋体" w:hAnsi="宋体" w:cs="宋体"/>
                <w:szCs w:val="21"/>
                <w:highlight w:val="none"/>
              </w:rPr>
              <w:t>鲁</w:t>
            </w:r>
            <w:r>
              <w:rPr>
                <w:rFonts w:hint="eastAsia" w:ascii="宋体" w:hAnsi="宋体" w:cs="宋体"/>
                <w:szCs w:val="21"/>
                <w:highlight w:val="none"/>
                <w:lang w:val="en-US" w:eastAsia="zh-CN"/>
              </w:rPr>
              <w:t>亮贤</w:t>
            </w:r>
          </w:p>
        </w:tc>
        <w:tc>
          <w:tcPr>
            <w:tcW w:w="6756" w:type="dxa"/>
            <w:vAlign w:val="center"/>
          </w:tcPr>
          <w:p>
            <w:pPr>
              <w:rPr>
                <w:szCs w:val="21"/>
              </w:rPr>
            </w:pPr>
            <w:r>
              <w:rPr>
                <w:rFonts w:hint="eastAsia" w:cs="宋体"/>
                <w:szCs w:val="21"/>
              </w:rPr>
              <w:t>（</w:t>
            </w:r>
            <w:r>
              <w:rPr>
                <w:szCs w:val="21"/>
              </w:rPr>
              <w:t>1</w:t>
            </w:r>
            <w:r>
              <w:rPr>
                <w:rFonts w:hint="eastAsia" w:cs="宋体"/>
                <w:szCs w:val="21"/>
              </w:rPr>
              <w:t>）根据火灾发生位置、特点和气象采取合适的灭火方案，进行灭火；</w:t>
            </w:r>
          </w:p>
          <w:p>
            <w:pPr>
              <w:rPr>
                <w:szCs w:val="21"/>
              </w:rPr>
            </w:pPr>
            <w:r>
              <w:rPr>
                <w:rFonts w:hint="eastAsia" w:cs="宋体"/>
                <w:szCs w:val="21"/>
              </w:rPr>
              <w:t>（</w:t>
            </w:r>
            <w:r>
              <w:rPr>
                <w:szCs w:val="21"/>
              </w:rPr>
              <w:t>2</w:t>
            </w:r>
            <w:r>
              <w:rPr>
                <w:rFonts w:hint="eastAsia" w:cs="宋体"/>
                <w:szCs w:val="21"/>
              </w:rPr>
              <w:t>）进行火场周边可能会引发二次事故的场所，应了解其特点进行应急处理，如隔离、移走、冷却等；</w:t>
            </w:r>
          </w:p>
          <w:p>
            <w:pPr>
              <w:rPr>
                <w:szCs w:val="21"/>
              </w:rPr>
            </w:pPr>
            <w:r>
              <w:rPr>
                <w:rFonts w:hint="eastAsia" w:cs="宋体"/>
                <w:szCs w:val="21"/>
              </w:rPr>
              <w:t>（</w:t>
            </w:r>
            <w:r>
              <w:rPr>
                <w:szCs w:val="21"/>
              </w:rPr>
              <w:t>3</w:t>
            </w:r>
            <w:r>
              <w:rPr>
                <w:rFonts w:hint="eastAsia" w:cs="宋体"/>
                <w:szCs w:val="21"/>
              </w:rPr>
              <w:t>）消防人员应注意防中毒等自身保护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6" w:type="dxa"/>
            <w:vAlign w:val="center"/>
          </w:tcPr>
          <w:p>
            <w:pPr>
              <w:jc w:val="center"/>
              <w:rPr>
                <w:szCs w:val="21"/>
              </w:rPr>
            </w:pPr>
            <w:r>
              <w:rPr>
                <w:szCs w:val="21"/>
              </w:rPr>
              <w:t>6</w:t>
            </w:r>
          </w:p>
        </w:tc>
        <w:tc>
          <w:tcPr>
            <w:tcW w:w="1538" w:type="dxa"/>
            <w:vAlign w:val="center"/>
          </w:tcPr>
          <w:p>
            <w:pPr>
              <w:jc w:val="center"/>
              <w:rPr>
                <w:szCs w:val="21"/>
              </w:rPr>
            </w:pPr>
            <w:r>
              <w:rPr>
                <w:rFonts w:hint="eastAsia" w:cs="宋体"/>
                <w:szCs w:val="21"/>
              </w:rPr>
              <w:t>后勤保障组</w:t>
            </w:r>
          </w:p>
        </w:tc>
        <w:tc>
          <w:tcPr>
            <w:tcW w:w="2486" w:type="dxa"/>
            <w:vAlign w:val="center"/>
          </w:tcPr>
          <w:p>
            <w:pPr>
              <w:spacing w:line="276" w:lineRule="auto"/>
              <w:rPr>
                <w:rFonts w:hint="eastAsia" w:eastAsia="宋体"/>
                <w:szCs w:val="21"/>
                <w:lang w:val="en-US" w:eastAsia="zh-CN"/>
              </w:rPr>
            </w:pPr>
            <w:r>
              <w:rPr>
                <w:rFonts w:hint="eastAsia"/>
                <w:szCs w:val="21"/>
              </w:rPr>
              <w:t>党政办</w:t>
            </w:r>
            <w:r>
              <w:rPr>
                <w:rFonts w:hint="eastAsia"/>
                <w:szCs w:val="21"/>
                <w:lang w:val="en-US" w:eastAsia="zh-CN"/>
              </w:rPr>
              <w:t>公室</w:t>
            </w:r>
          </w:p>
          <w:p>
            <w:pPr>
              <w:spacing w:line="276" w:lineRule="auto"/>
              <w:rPr>
                <w:szCs w:val="21"/>
              </w:rPr>
            </w:pPr>
            <w:r>
              <w:rPr>
                <w:rFonts w:hint="eastAsia" w:cs="宋体"/>
                <w:szCs w:val="21"/>
                <w:lang w:val="en-US" w:eastAsia="zh-CN"/>
              </w:rPr>
              <w:t>社会治理和社会事业局</w:t>
            </w:r>
          </w:p>
        </w:tc>
        <w:tc>
          <w:tcPr>
            <w:tcW w:w="2142" w:type="dxa"/>
            <w:vAlign w:val="center"/>
          </w:tcPr>
          <w:p>
            <w:pPr>
              <w:rPr>
                <w:rFonts w:ascii="宋体" w:hAnsi="宋体" w:cs="宋体"/>
                <w:szCs w:val="21"/>
                <w:highlight w:val="none"/>
              </w:rPr>
            </w:pPr>
          </w:p>
          <w:p>
            <w:pPr>
              <w:rPr>
                <w:rFonts w:ascii="宋体" w:hAnsi="宋体" w:cs="宋体"/>
                <w:szCs w:val="21"/>
                <w:highlight w:val="none"/>
              </w:rPr>
            </w:pPr>
            <w:r>
              <w:rPr>
                <w:rFonts w:hint="eastAsia" w:ascii="宋体" w:hAnsi="宋体" w:cs="宋体"/>
                <w:szCs w:val="21"/>
                <w:highlight w:val="none"/>
              </w:rPr>
              <w:t>成</w:t>
            </w:r>
            <w:r>
              <w:rPr>
                <w:rFonts w:hint="eastAsia" w:ascii="宋体" w:hAnsi="宋体" w:cs="宋体"/>
                <w:szCs w:val="21"/>
                <w:highlight w:val="none"/>
                <w:lang w:val="en-US" w:eastAsia="zh-CN"/>
              </w:rPr>
              <w:t xml:space="preserve">  </w:t>
            </w:r>
            <w:r>
              <w:rPr>
                <w:rFonts w:hint="eastAsia" w:ascii="宋体" w:hAnsi="宋体" w:cs="宋体"/>
                <w:szCs w:val="21"/>
                <w:highlight w:val="none"/>
              </w:rPr>
              <w:t>露</w:t>
            </w:r>
          </w:p>
          <w:p>
            <w:pPr>
              <w:rPr>
                <w:rFonts w:ascii="宋体" w:hAnsi="宋体" w:cs="宋体"/>
                <w:szCs w:val="21"/>
                <w:highlight w:val="none"/>
              </w:rPr>
            </w:pPr>
            <w:r>
              <w:rPr>
                <w:rFonts w:hint="eastAsia" w:ascii="宋体" w:hAnsi="宋体" w:cs="宋体"/>
                <w:szCs w:val="21"/>
                <w:highlight w:val="none"/>
              </w:rPr>
              <w:t>浦春兰</w:t>
            </w:r>
          </w:p>
          <w:p>
            <w:pPr>
              <w:rPr>
                <w:rFonts w:ascii="宋体" w:hAnsi="宋体" w:cs="宋体"/>
                <w:szCs w:val="21"/>
                <w:highlight w:val="none"/>
              </w:rPr>
            </w:pPr>
          </w:p>
        </w:tc>
        <w:tc>
          <w:tcPr>
            <w:tcW w:w="6756" w:type="dxa"/>
            <w:vAlign w:val="center"/>
          </w:tcPr>
          <w:p>
            <w:pPr>
              <w:rPr>
                <w:szCs w:val="21"/>
              </w:rPr>
            </w:pPr>
            <w:r>
              <w:rPr>
                <w:rFonts w:hint="eastAsia" w:cs="宋体"/>
                <w:szCs w:val="21"/>
              </w:rPr>
              <w:t>（</w:t>
            </w:r>
            <w:r>
              <w:rPr>
                <w:szCs w:val="21"/>
              </w:rPr>
              <w:t>1</w:t>
            </w:r>
            <w:r>
              <w:rPr>
                <w:rFonts w:hint="eastAsia" w:cs="宋体"/>
                <w:szCs w:val="21"/>
              </w:rPr>
              <w:t>）供应应急救援器材、物资；</w:t>
            </w:r>
          </w:p>
          <w:p>
            <w:pPr>
              <w:rPr>
                <w:szCs w:val="21"/>
              </w:rPr>
            </w:pPr>
            <w:r>
              <w:rPr>
                <w:rFonts w:hint="eastAsia" w:cs="宋体"/>
                <w:szCs w:val="21"/>
              </w:rPr>
              <w:t>（</w:t>
            </w:r>
            <w:r>
              <w:rPr>
                <w:szCs w:val="21"/>
              </w:rPr>
              <w:t>2</w:t>
            </w:r>
            <w:r>
              <w:rPr>
                <w:rFonts w:hint="eastAsia" w:cs="宋体"/>
                <w:szCs w:val="21"/>
              </w:rPr>
              <w:t>）对所缺的应急救援器材、物资，与周边单位联系供给；</w:t>
            </w:r>
          </w:p>
          <w:p>
            <w:pPr>
              <w:rPr>
                <w:szCs w:val="21"/>
              </w:rPr>
            </w:pPr>
            <w:r>
              <w:rPr>
                <w:rFonts w:hint="eastAsia" w:cs="宋体"/>
                <w:szCs w:val="21"/>
              </w:rPr>
              <w:t>（</w:t>
            </w:r>
            <w:r>
              <w:rPr>
                <w:szCs w:val="21"/>
              </w:rPr>
              <w:t>3</w:t>
            </w:r>
            <w:r>
              <w:rPr>
                <w:rFonts w:hint="eastAsia" w:cs="宋体"/>
                <w:szCs w:val="21"/>
              </w:rPr>
              <w:t>）进行车辆调度。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6" w:type="dxa"/>
            <w:vAlign w:val="center"/>
          </w:tcPr>
          <w:p>
            <w:pPr>
              <w:jc w:val="center"/>
              <w:rPr>
                <w:szCs w:val="21"/>
              </w:rPr>
            </w:pPr>
            <w:r>
              <w:rPr>
                <w:szCs w:val="21"/>
              </w:rPr>
              <w:t>7</w:t>
            </w:r>
          </w:p>
        </w:tc>
        <w:tc>
          <w:tcPr>
            <w:tcW w:w="1538" w:type="dxa"/>
            <w:vAlign w:val="center"/>
          </w:tcPr>
          <w:p>
            <w:pPr>
              <w:jc w:val="center"/>
              <w:rPr>
                <w:szCs w:val="21"/>
              </w:rPr>
            </w:pPr>
            <w:r>
              <w:rPr>
                <w:rFonts w:hint="eastAsia" w:cs="宋体"/>
                <w:szCs w:val="21"/>
              </w:rPr>
              <w:t>医疗卫生组</w:t>
            </w:r>
          </w:p>
        </w:tc>
        <w:tc>
          <w:tcPr>
            <w:tcW w:w="2486" w:type="dxa"/>
            <w:vAlign w:val="center"/>
          </w:tcPr>
          <w:p>
            <w:pPr>
              <w:spacing w:line="276" w:lineRule="auto"/>
              <w:rPr>
                <w:szCs w:val="21"/>
              </w:rPr>
            </w:pPr>
            <w:r>
              <w:rPr>
                <w:rFonts w:hint="eastAsia" w:cs="宋体"/>
                <w:szCs w:val="21"/>
                <w:lang w:val="en-US" w:eastAsia="zh-CN"/>
              </w:rPr>
              <w:t>社会治理和社会事业局</w:t>
            </w:r>
          </w:p>
        </w:tc>
        <w:tc>
          <w:tcPr>
            <w:tcW w:w="2142" w:type="dxa"/>
            <w:vAlign w:val="center"/>
          </w:tcPr>
          <w:p>
            <w:pPr>
              <w:rPr>
                <w:rFonts w:ascii="宋体" w:hAnsi="宋体" w:cs="宋体"/>
                <w:szCs w:val="21"/>
                <w:highlight w:val="none"/>
              </w:rPr>
            </w:pPr>
            <w:r>
              <w:rPr>
                <w:rFonts w:hint="eastAsia" w:ascii="宋体" w:hAnsi="宋体" w:cs="宋体"/>
                <w:szCs w:val="21"/>
                <w:highlight w:val="none"/>
              </w:rPr>
              <w:t>陆丽峰</w:t>
            </w:r>
          </w:p>
        </w:tc>
        <w:tc>
          <w:tcPr>
            <w:tcW w:w="6756" w:type="dxa"/>
            <w:vAlign w:val="center"/>
          </w:tcPr>
          <w:p>
            <w:pPr>
              <w:rPr>
                <w:szCs w:val="21"/>
              </w:rPr>
            </w:pPr>
            <w:r>
              <w:rPr>
                <w:rFonts w:hint="eastAsia" w:cs="宋体"/>
                <w:szCs w:val="21"/>
              </w:rPr>
              <w:t>（</w:t>
            </w:r>
            <w:r>
              <w:rPr>
                <w:szCs w:val="21"/>
              </w:rPr>
              <w:t>1</w:t>
            </w:r>
            <w:r>
              <w:rPr>
                <w:rFonts w:hint="eastAsia" w:cs="宋体"/>
                <w:szCs w:val="21"/>
              </w:rPr>
              <w:t>）及时抢救现场撤出的受伤人员，并移至安全处进行现场急救（如止血、固定包扎、心肺复苏等）；</w:t>
            </w:r>
          </w:p>
          <w:p>
            <w:pPr>
              <w:rPr>
                <w:szCs w:val="21"/>
              </w:rPr>
            </w:pPr>
            <w:r>
              <w:rPr>
                <w:rFonts w:hint="eastAsia" w:cs="宋体"/>
                <w:szCs w:val="21"/>
              </w:rPr>
              <w:t>（</w:t>
            </w:r>
            <w:r>
              <w:rPr>
                <w:szCs w:val="21"/>
              </w:rPr>
              <w:t>2</w:t>
            </w:r>
            <w:r>
              <w:rPr>
                <w:rFonts w:hint="eastAsia" w:cs="宋体"/>
                <w:szCs w:val="21"/>
              </w:rPr>
              <w:t>）对中毒、伤重的病人用救护车送往医院（并通知医院准备相应器材、药品等）。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6" w:type="dxa"/>
            <w:vAlign w:val="center"/>
          </w:tcPr>
          <w:p>
            <w:pPr>
              <w:jc w:val="center"/>
              <w:rPr>
                <w:szCs w:val="21"/>
              </w:rPr>
            </w:pPr>
            <w:r>
              <w:rPr>
                <w:szCs w:val="21"/>
              </w:rPr>
              <w:t>8</w:t>
            </w:r>
          </w:p>
        </w:tc>
        <w:tc>
          <w:tcPr>
            <w:tcW w:w="1538" w:type="dxa"/>
            <w:vAlign w:val="center"/>
          </w:tcPr>
          <w:p>
            <w:pPr>
              <w:jc w:val="center"/>
              <w:rPr>
                <w:rFonts w:cs="宋体"/>
                <w:szCs w:val="21"/>
              </w:rPr>
            </w:pPr>
            <w:r>
              <w:rPr>
                <w:rFonts w:hint="eastAsia"/>
                <w:szCs w:val="21"/>
              </w:rPr>
              <w:t>通讯组</w:t>
            </w:r>
          </w:p>
        </w:tc>
        <w:tc>
          <w:tcPr>
            <w:tcW w:w="2486" w:type="dxa"/>
            <w:vAlign w:val="center"/>
          </w:tcPr>
          <w:p>
            <w:pPr>
              <w:spacing w:line="276" w:lineRule="auto"/>
              <w:rPr>
                <w:rFonts w:cs="宋体"/>
                <w:szCs w:val="21"/>
              </w:rPr>
            </w:pPr>
            <w:r>
              <w:rPr>
                <w:rFonts w:cs="宋体"/>
                <w:szCs w:val="21"/>
              </w:rPr>
              <w:t>集成指挥中心</w:t>
            </w:r>
          </w:p>
          <w:p>
            <w:pPr>
              <w:spacing w:line="276" w:lineRule="auto"/>
              <w:rPr>
                <w:rFonts w:cs="宋体"/>
                <w:szCs w:val="21"/>
              </w:rPr>
            </w:pPr>
            <w:r>
              <w:rPr>
                <w:rFonts w:hint="eastAsia" w:cs="宋体"/>
                <w:szCs w:val="21"/>
              </w:rPr>
              <w:t>行政审批局</w:t>
            </w:r>
          </w:p>
        </w:tc>
        <w:tc>
          <w:tcPr>
            <w:tcW w:w="2142" w:type="dxa"/>
            <w:vAlign w:val="center"/>
          </w:tcPr>
          <w:p>
            <w:pPr>
              <w:spacing w:line="276" w:lineRule="auto"/>
              <w:rPr>
                <w:rFonts w:hint="eastAsia" w:ascii="宋体" w:hAnsi="宋体" w:cs="宋体"/>
                <w:szCs w:val="21"/>
                <w:highlight w:val="none"/>
                <w:lang w:eastAsia="zh-CN"/>
              </w:rPr>
            </w:pPr>
            <w:r>
              <w:rPr>
                <w:rFonts w:hint="eastAsia" w:ascii="宋体" w:hAnsi="宋体" w:cs="宋体"/>
                <w:szCs w:val="21"/>
                <w:highlight w:val="none"/>
                <w:lang w:eastAsia="zh-CN"/>
              </w:rPr>
              <w:t>龚志刚</w:t>
            </w:r>
          </w:p>
          <w:p>
            <w:pPr>
              <w:spacing w:line="276" w:lineRule="auto"/>
              <w:rPr>
                <w:rFonts w:hint="eastAsia" w:ascii="宋体" w:hAnsi="宋体" w:eastAsia="宋体" w:cs="宋体"/>
                <w:szCs w:val="21"/>
                <w:highlight w:val="none"/>
                <w:lang w:eastAsia="zh-CN"/>
              </w:rPr>
            </w:pPr>
            <w:r>
              <w:rPr>
                <w:rFonts w:hint="eastAsia" w:ascii="宋体" w:hAnsi="宋体" w:cs="宋体"/>
                <w:szCs w:val="21"/>
                <w:highlight w:val="none"/>
              </w:rPr>
              <w:t>景</w:t>
            </w:r>
            <w:r>
              <w:rPr>
                <w:rFonts w:hint="eastAsia" w:ascii="宋体" w:hAnsi="宋体" w:cs="宋体"/>
                <w:szCs w:val="21"/>
                <w:highlight w:val="none"/>
                <w:lang w:val="en-US" w:eastAsia="zh-CN"/>
              </w:rPr>
              <w:t xml:space="preserve">  </w:t>
            </w:r>
            <w:r>
              <w:rPr>
                <w:rFonts w:hint="eastAsia" w:ascii="宋体" w:hAnsi="宋体" w:cs="宋体"/>
                <w:szCs w:val="21"/>
                <w:highlight w:val="none"/>
              </w:rPr>
              <w:t>俊</w:t>
            </w:r>
          </w:p>
        </w:tc>
        <w:tc>
          <w:tcPr>
            <w:tcW w:w="6756" w:type="dxa"/>
            <w:vAlign w:val="center"/>
          </w:tcPr>
          <w:p>
            <w:pPr>
              <w:rPr>
                <w:szCs w:val="21"/>
              </w:rPr>
            </w:pPr>
            <w:r>
              <w:rPr>
                <w:rFonts w:hint="eastAsia" w:cs="宋体"/>
                <w:szCs w:val="21"/>
              </w:rPr>
              <w:t>（</w:t>
            </w:r>
            <w:r>
              <w:rPr>
                <w:szCs w:val="21"/>
              </w:rPr>
              <w:t>1</w:t>
            </w:r>
            <w:r>
              <w:rPr>
                <w:rFonts w:hint="eastAsia" w:cs="宋体"/>
                <w:szCs w:val="21"/>
              </w:rPr>
              <w:t>）负责事故信息、咨询意见准确、迅速传递；</w:t>
            </w:r>
          </w:p>
          <w:p>
            <w:pPr>
              <w:rPr>
                <w:szCs w:val="21"/>
              </w:rPr>
            </w:pPr>
            <w:r>
              <w:rPr>
                <w:rFonts w:hint="eastAsia" w:cs="宋体"/>
                <w:szCs w:val="21"/>
              </w:rPr>
              <w:t>（</w:t>
            </w:r>
            <w:r>
              <w:rPr>
                <w:szCs w:val="21"/>
              </w:rPr>
              <w:t>2</w:t>
            </w:r>
            <w:r>
              <w:rPr>
                <w:rFonts w:hint="eastAsia" w:cs="宋体"/>
                <w:szCs w:val="21"/>
              </w:rPr>
              <w:t>）负责与现场各组、队的联络并向指挥部及时报告，传达指令；</w:t>
            </w:r>
          </w:p>
          <w:p>
            <w:pPr>
              <w:rPr>
                <w:rFonts w:cs="宋体"/>
                <w:szCs w:val="21"/>
              </w:rPr>
            </w:pPr>
            <w:r>
              <w:rPr>
                <w:rFonts w:hint="eastAsia" w:cs="宋体"/>
                <w:szCs w:val="21"/>
              </w:rPr>
              <w:t>（</w:t>
            </w:r>
            <w:r>
              <w:rPr>
                <w:szCs w:val="21"/>
              </w:rPr>
              <w:t>3</w:t>
            </w:r>
            <w:r>
              <w:rPr>
                <w:rFonts w:hint="eastAsia" w:cs="宋体"/>
                <w:szCs w:val="21"/>
              </w:rPr>
              <w:t>）负责与社会救援组织、机构联系。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6" w:type="dxa"/>
            <w:vAlign w:val="center"/>
          </w:tcPr>
          <w:p>
            <w:pPr>
              <w:jc w:val="center"/>
              <w:rPr>
                <w:szCs w:val="21"/>
              </w:rPr>
            </w:pPr>
            <w:r>
              <w:rPr>
                <w:szCs w:val="21"/>
              </w:rPr>
              <w:t>9</w:t>
            </w:r>
          </w:p>
        </w:tc>
        <w:tc>
          <w:tcPr>
            <w:tcW w:w="1538" w:type="dxa"/>
            <w:vAlign w:val="center"/>
          </w:tcPr>
          <w:p>
            <w:pPr>
              <w:jc w:val="center"/>
              <w:rPr>
                <w:szCs w:val="21"/>
              </w:rPr>
            </w:pPr>
            <w:r>
              <w:rPr>
                <w:rFonts w:hint="eastAsia" w:cs="宋体"/>
                <w:szCs w:val="21"/>
              </w:rPr>
              <w:t>应急救援</w:t>
            </w:r>
          </w:p>
          <w:p>
            <w:pPr>
              <w:jc w:val="center"/>
              <w:rPr>
                <w:szCs w:val="21"/>
              </w:rPr>
            </w:pPr>
            <w:r>
              <w:rPr>
                <w:rFonts w:hint="eastAsia" w:cs="宋体"/>
                <w:szCs w:val="21"/>
              </w:rPr>
              <w:t>专家组</w:t>
            </w:r>
          </w:p>
        </w:tc>
        <w:tc>
          <w:tcPr>
            <w:tcW w:w="2486" w:type="dxa"/>
            <w:vAlign w:val="center"/>
          </w:tcPr>
          <w:p>
            <w:pPr>
              <w:spacing w:line="276" w:lineRule="auto"/>
              <w:rPr>
                <w:szCs w:val="21"/>
              </w:rPr>
            </w:pPr>
            <w:r>
              <w:rPr>
                <w:rFonts w:hint="eastAsia"/>
                <w:szCs w:val="21"/>
              </w:rPr>
              <w:t>安委办</w:t>
            </w:r>
          </w:p>
        </w:tc>
        <w:tc>
          <w:tcPr>
            <w:tcW w:w="2142" w:type="dxa"/>
            <w:vAlign w:val="center"/>
          </w:tcPr>
          <w:p>
            <w:pPr>
              <w:rPr>
                <w:rFonts w:ascii="宋体" w:hAnsi="宋体" w:cs="宋体"/>
                <w:szCs w:val="21"/>
                <w:highlight w:val="none"/>
              </w:rPr>
            </w:pPr>
            <w:r>
              <w:rPr>
                <w:rFonts w:hint="eastAsia" w:ascii="宋体" w:hAnsi="宋体" w:cs="宋体"/>
                <w:szCs w:val="21"/>
                <w:highlight w:val="none"/>
              </w:rPr>
              <w:t>王</w:t>
            </w:r>
            <w:r>
              <w:rPr>
                <w:rFonts w:hint="eastAsia" w:ascii="宋体" w:hAnsi="宋体" w:cs="宋体"/>
                <w:szCs w:val="21"/>
                <w:highlight w:val="none"/>
                <w:lang w:val="en-US" w:eastAsia="zh-CN"/>
              </w:rPr>
              <w:t xml:space="preserve">  </w:t>
            </w:r>
            <w:r>
              <w:rPr>
                <w:rFonts w:hint="eastAsia" w:ascii="宋体" w:hAnsi="宋体" w:cs="宋体"/>
                <w:szCs w:val="21"/>
                <w:highlight w:val="none"/>
              </w:rPr>
              <w:t>炜</w:t>
            </w:r>
          </w:p>
        </w:tc>
        <w:tc>
          <w:tcPr>
            <w:tcW w:w="6756" w:type="dxa"/>
            <w:vAlign w:val="center"/>
          </w:tcPr>
          <w:p>
            <w:pPr>
              <w:rPr>
                <w:szCs w:val="21"/>
              </w:rPr>
            </w:pPr>
            <w:r>
              <w:rPr>
                <w:rFonts w:hint="eastAsia" w:cs="宋体"/>
                <w:szCs w:val="21"/>
              </w:rPr>
              <w:t>（</w:t>
            </w:r>
            <w:r>
              <w:rPr>
                <w:szCs w:val="21"/>
              </w:rPr>
              <w:t>1</w:t>
            </w:r>
            <w:r>
              <w:rPr>
                <w:rFonts w:hint="eastAsia" w:cs="宋体"/>
                <w:szCs w:val="21"/>
              </w:rPr>
              <w:t>）对事故应急救援提出方案和安全措施；</w:t>
            </w:r>
          </w:p>
          <w:p>
            <w:pPr>
              <w:rPr>
                <w:szCs w:val="21"/>
              </w:rPr>
            </w:pPr>
            <w:r>
              <w:rPr>
                <w:rFonts w:hint="eastAsia" w:cs="宋体"/>
                <w:szCs w:val="21"/>
              </w:rPr>
              <w:t>（</w:t>
            </w:r>
            <w:r>
              <w:rPr>
                <w:szCs w:val="21"/>
              </w:rPr>
              <w:t>2</w:t>
            </w:r>
            <w:r>
              <w:rPr>
                <w:rFonts w:hint="eastAsia" w:cs="宋体"/>
                <w:szCs w:val="21"/>
              </w:rPr>
              <w:t>）为现场指挥救援工作提供技术咨询。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6" w:type="dxa"/>
            <w:vAlign w:val="center"/>
          </w:tcPr>
          <w:p>
            <w:pPr>
              <w:jc w:val="center"/>
              <w:rPr>
                <w:szCs w:val="21"/>
              </w:rPr>
            </w:pPr>
            <w:r>
              <w:rPr>
                <w:szCs w:val="21"/>
              </w:rPr>
              <w:t>10</w:t>
            </w:r>
          </w:p>
        </w:tc>
        <w:tc>
          <w:tcPr>
            <w:tcW w:w="1538" w:type="dxa"/>
            <w:vAlign w:val="center"/>
          </w:tcPr>
          <w:p>
            <w:pPr>
              <w:jc w:val="center"/>
              <w:rPr>
                <w:szCs w:val="21"/>
              </w:rPr>
            </w:pPr>
            <w:r>
              <w:rPr>
                <w:rFonts w:hint="eastAsia" w:cs="宋体"/>
                <w:szCs w:val="21"/>
              </w:rPr>
              <w:t>综合管理组</w:t>
            </w:r>
          </w:p>
        </w:tc>
        <w:tc>
          <w:tcPr>
            <w:tcW w:w="2486" w:type="dxa"/>
            <w:vAlign w:val="center"/>
          </w:tcPr>
          <w:p>
            <w:pPr>
              <w:spacing w:line="276" w:lineRule="auto"/>
              <w:rPr>
                <w:rFonts w:cs="宋体"/>
                <w:szCs w:val="21"/>
              </w:rPr>
            </w:pPr>
            <w:r>
              <w:rPr>
                <w:rFonts w:hint="eastAsia" w:cs="宋体"/>
                <w:szCs w:val="21"/>
              </w:rPr>
              <w:t>党政办</w:t>
            </w:r>
          </w:p>
          <w:p>
            <w:pPr>
              <w:spacing w:line="276" w:lineRule="auto"/>
              <w:rPr>
                <w:rFonts w:cs="宋体"/>
                <w:szCs w:val="21"/>
              </w:rPr>
            </w:pPr>
            <w:r>
              <w:rPr>
                <w:rFonts w:hint="eastAsia" w:cs="宋体"/>
                <w:szCs w:val="21"/>
              </w:rPr>
              <w:t>安委办</w:t>
            </w:r>
          </w:p>
        </w:tc>
        <w:tc>
          <w:tcPr>
            <w:tcW w:w="2142" w:type="dxa"/>
            <w:vAlign w:val="center"/>
          </w:tcPr>
          <w:p>
            <w:pPr>
              <w:rPr>
                <w:rFonts w:ascii="宋体" w:hAnsi="宋体" w:cs="宋体"/>
                <w:szCs w:val="21"/>
                <w:highlight w:val="none"/>
              </w:rPr>
            </w:pPr>
            <w:r>
              <w:rPr>
                <w:rFonts w:hint="eastAsia" w:ascii="宋体" w:hAnsi="宋体" w:cs="宋体"/>
                <w:szCs w:val="21"/>
                <w:highlight w:val="none"/>
              </w:rPr>
              <w:t>成</w:t>
            </w:r>
            <w:r>
              <w:rPr>
                <w:rFonts w:hint="eastAsia" w:ascii="宋体" w:hAnsi="宋体" w:cs="宋体"/>
                <w:szCs w:val="21"/>
                <w:highlight w:val="none"/>
                <w:lang w:val="en-US" w:eastAsia="zh-CN"/>
              </w:rPr>
              <w:t xml:space="preserve">  </w:t>
            </w:r>
            <w:r>
              <w:rPr>
                <w:rFonts w:hint="eastAsia" w:ascii="宋体" w:hAnsi="宋体" w:cs="宋体"/>
                <w:szCs w:val="21"/>
                <w:highlight w:val="none"/>
              </w:rPr>
              <w:t>露</w:t>
            </w:r>
          </w:p>
          <w:p>
            <w:pPr>
              <w:rPr>
                <w:rFonts w:hint="eastAsia" w:ascii="宋体" w:hAnsi="宋体" w:cs="宋体"/>
                <w:szCs w:val="21"/>
                <w:highlight w:val="none"/>
                <w:lang w:val="en-US" w:eastAsia="zh-CN"/>
              </w:rPr>
            </w:pPr>
            <w:r>
              <w:rPr>
                <w:rFonts w:hint="eastAsia" w:ascii="宋体" w:hAnsi="宋体" w:cs="宋体"/>
                <w:szCs w:val="21"/>
                <w:highlight w:val="none"/>
                <w:lang w:val="en-US" w:eastAsia="zh-CN"/>
              </w:rPr>
              <w:t>王  业</w:t>
            </w:r>
          </w:p>
          <w:p>
            <w:pPr>
              <w:rPr>
                <w:rFonts w:hint="eastAsia" w:ascii="宋体" w:hAnsi="宋体" w:cs="宋体"/>
                <w:szCs w:val="21"/>
                <w:highlight w:val="none"/>
                <w:lang w:val="en-US" w:eastAsia="zh-CN"/>
              </w:rPr>
            </w:pPr>
            <w:r>
              <w:rPr>
                <w:rFonts w:hint="eastAsia" w:ascii="宋体" w:hAnsi="宋体" w:cs="宋体"/>
                <w:szCs w:val="21"/>
                <w:highlight w:val="none"/>
              </w:rPr>
              <w:t>王</w:t>
            </w:r>
            <w:r>
              <w:rPr>
                <w:rFonts w:hint="eastAsia" w:ascii="宋体" w:hAnsi="宋体" w:cs="宋体"/>
                <w:szCs w:val="21"/>
                <w:highlight w:val="none"/>
                <w:lang w:val="en-US" w:eastAsia="zh-CN"/>
              </w:rPr>
              <w:t xml:space="preserve">  </w:t>
            </w:r>
            <w:r>
              <w:rPr>
                <w:rFonts w:hint="eastAsia" w:ascii="宋体" w:hAnsi="宋体" w:cs="宋体"/>
                <w:szCs w:val="21"/>
                <w:highlight w:val="none"/>
              </w:rPr>
              <w:t>炜</w:t>
            </w:r>
          </w:p>
        </w:tc>
        <w:tc>
          <w:tcPr>
            <w:tcW w:w="6756" w:type="dxa"/>
            <w:vAlign w:val="center"/>
          </w:tcPr>
          <w:p>
            <w:pPr>
              <w:rPr>
                <w:szCs w:val="21"/>
              </w:rPr>
            </w:pPr>
            <w:r>
              <w:rPr>
                <w:rFonts w:hint="eastAsia" w:cs="宋体"/>
                <w:szCs w:val="21"/>
              </w:rPr>
              <w:t>（</w:t>
            </w:r>
            <w:r>
              <w:rPr>
                <w:szCs w:val="21"/>
              </w:rPr>
              <w:t>1</w:t>
            </w:r>
            <w:r>
              <w:rPr>
                <w:rFonts w:hint="eastAsia" w:cs="宋体"/>
                <w:szCs w:val="21"/>
              </w:rPr>
              <w:t>）负责外援联系；</w:t>
            </w:r>
          </w:p>
          <w:p>
            <w:pPr>
              <w:rPr>
                <w:szCs w:val="21"/>
              </w:rPr>
            </w:pPr>
            <w:r>
              <w:rPr>
                <w:rFonts w:hint="eastAsia" w:cs="宋体"/>
                <w:szCs w:val="21"/>
              </w:rPr>
              <w:t>（</w:t>
            </w:r>
            <w:r>
              <w:rPr>
                <w:szCs w:val="21"/>
              </w:rPr>
              <w:t>2</w:t>
            </w:r>
            <w:r>
              <w:rPr>
                <w:rFonts w:hint="eastAsia" w:cs="宋体"/>
                <w:szCs w:val="21"/>
              </w:rPr>
              <w:t>）负责接待境内外记者，统筹协调各媒体关于事故的报导，引导社会舆论；</w:t>
            </w:r>
          </w:p>
          <w:p>
            <w:pPr>
              <w:rPr>
                <w:szCs w:val="21"/>
              </w:rPr>
            </w:pPr>
            <w:r>
              <w:rPr>
                <w:rFonts w:hint="eastAsia" w:cs="宋体"/>
                <w:szCs w:val="21"/>
              </w:rPr>
              <w:t>（</w:t>
            </w:r>
            <w:r>
              <w:rPr>
                <w:szCs w:val="21"/>
              </w:rPr>
              <w:t>3</w:t>
            </w:r>
            <w:r>
              <w:rPr>
                <w:rFonts w:hint="eastAsia" w:cs="宋体"/>
                <w:szCs w:val="21"/>
              </w:rPr>
              <w:t>）进行善后处理及其它未尽事项。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686" w:type="dxa"/>
            <w:tcBorders>
              <w:bottom w:val="single" w:color="auto" w:sz="12" w:space="0"/>
            </w:tcBorders>
            <w:vAlign w:val="center"/>
          </w:tcPr>
          <w:p>
            <w:pPr>
              <w:jc w:val="center"/>
              <w:rPr>
                <w:szCs w:val="21"/>
              </w:rPr>
            </w:pPr>
            <w:r>
              <w:rPr>
                <w:szCs w:val="21"/>
              </w:rPr>
              <w:t>11</w:t>
            </w:r>
          </w:p>
        </w:tc>
        <w:tc>
          <w:tcPr>
            <w:tcW w:w="1538" w:type="dxa"/>
            <w:tcBorders>
              <w:bottom w:val="single" w:color="auto" w:sz="12" w:space="0"/>
            </w:tcBorders>
            <w:vAlign w:val="center"/>
          </w:tcPr>
          <w:p>
            <w:pPr>
              <w:jc w:val="center"/>
              <w:rPr>
                <w:szCs w:val="21"/>
              </w:rPr>
            </w:pPr>
            <w:r>
              <w:rPr>
                <w:rFonts w:hint="eastAsia" w:cs="宋体"/>
                <w:szCs w:val="21"/>
              </w:rPr>
              <w:t>环保组</w:t>
            </w:r>
          </w:p>
        </w:tc>
        <w:tc>
          <w:tcPr>
            <w:tcW w:w="2486" w:type="dxa"/>
            <w:tcBorders>
              <w:bottom w:val="single" w:color="auto" w:sz="12" w:space="0"/>
            </w:tcBorders>
            <w:vAlign w:val="center"/>
          </w:tcPr>
          <w:p>
            <w:pPr>
              <w:spacing w:line="276" w:lineRule="auto"/>
              <w:rPr>
                <w:szCs w:val="21"/>
              </w:rPr>
            </w:pPr>
            <w:r>
              <w:rPr>
                <w:rFonts w:hint="eastAsia" w:cs="宋体"/>
                <w:szCs w:val="21"/>
              </w:rPr>
              <w:t>综合</w:t>
            </w:r>
            <w:r>
              <w:rPr>
                <w:rFonts w:hint="eastAsia" w:cs="宋体"/>
                <w:szCs w:val="21"/>
                <w:lang w:val="en-US" w:eastAsia="zh-CN"/>
              </w:rPr>
              <w:t>行政</w:t>
            </w:r>
            <w:r>
              <w:rPr>
                <w:rFonts w:hint="eastAsia" w:cs="宋体"/>
                <w:szCs w:val="21"/>
              </w:rPr>
              <w:t>执法局（环保）</w:t>
            </w:r>
          </w:p>
        </w:tc>
        <w:tc>
          <w:tcPr>
            <w:tcW w:w="2142" w:type="dxa"/>
            <w:tcBorders>
              <w:bottom w:val="single" w:color="auto" w:sz="12" w:space="0"/>
            </w:tcBorders>
            <w:vAlign w:val="center"/>
          </w:tcPr>
          <w:p>
            <w:pPr>
              <w:rPr>
                <w:rFonts w:ascii="宋体" w:hAnsi="宋体" w:cs="宋体"/>
                <w:color w:val="FFFFFF" w:themeColor="background1"/>
                <w:szCs w:val="21"/>
                <w:highlight w:val="none"/>
                <w14:textFill>
                  <w14:solidFill>
                    <w14:schemeClr w14:val="bg1"/>
                  </w14:solidFill>
                </w14:textFill>
              </w:rPr>
            </w:pPr>
            <w:r>
              <w:rPr>
                <w:rFonts w:hint="eastAsia" w:ascii="宋体" w:hAnsi="宋体" w:cs="宋体"/>
                <w:szCs w:val="21"/>
                <w:highlight w:val="none"/>
              </w:rPr>
              <w:t>陆</w:t>
            </w:r>
            <w:r>
              <w:rPr>
                <w:rFonts w:hint="eastAsia" w:ascii="宋体" w:hAnsi="宋体" w:cs="宋体"/>
                <w:szCs w:val="21"/>
                <w:highlight w:val="none"/>
                <w:lang w:val="en-US" w:eastAsia="zh-CN"/>
              </w:rPr>
              <w:t xml:space="preserve">  </w:t>
            </w:r>
            <w:r>
              <w:rPr>
                <w:rFonts w:hint="eastAsia" w:ascii="宋体" w:hAnsi="宋体" w:cs="宋体"/>
                <w:szCs w:val="21"/>
                <w:highlight w:val="none"/>
              </w:rPr>
              <w:t>俊</w:t>
            </w:r>
          </w:p>
        </w:tc>
        <w:tc>
          <w:tcPr>
            <w:tcW w:w="6756" w:type="dxa"/>
            <w:tcBorders>
              <w:bottom w:val="single" w:color="auto" w:sz="12" w:space="0"/>
            </w:tcBorders>
            <w:vAlign w:val="center"/>
          </w:tcPr>
          <w:p>
            <w:pPr>
              <w:rPr>
                <w:szCs w:val="21"/>
              </w:rPr>
            </w:pPr>
            <w:r>
              <w:rPr>
                <w:rFonts w:hint="eastAsia" w:cs="宋体"/>
                <w:szCs w:val="21"/>
              </w:rPr>
              <w:t>（</w:t>
            </w:r>
            <w:r>
              <w:rPr>
                <w:szCs w:val="21"/>
              </w:rPr>
              <w:t>1</w:t>
            </w:r>
            <w:r>
              <w:rPr>
                <w:rFonts w:hint="eastAsia" w:cs="宋体"/>
                <w:szCs w:val="21"/>
              </w:rPr>
              <w:t>）对现场、外围侦检化学品的性质、浓度；</w:t>
            </w:r>
          </w:p>
          <w:p>
            <w:pPr>
              <w:rPr>
                <w:szCs w:val="21"/>
              </w:rPr>
            </w:pPr>
            <w:r>
              <w:rPr>
                <w:rFonts w:hint="eastAsia" w:cs="宋体"/>
                <w:szCs w:val="21"/>
              </w:rPr>
              <w:t>（</w:t>
            </w:r>
            <w:r>
              <w:rPr>
                <w:szCs w:val="21"/>
              </w:rPr>
              <w:t>2</w:t>
            </w:r>
            <w:r>
              <w:rPr>
                <w:rFonts w:hint="eastAsia" w:cs="宋体"/>
                <w:szCs w:val="21"/>
              </w:rPr>
              <w:t>）对事故环境污染的场所咨询、提供指导、进行消洗；</w:t>
            </w:r>
          </w:p>
          <w:p>
            <w:pPr>
              <w:rPr>
                <w:szCs w:val="21"/>
              </w:rPr>
            </w:pPr>
            <w:r>
              <w:rPr>
                <w:rFonts w:hint="eastAsia" w:cs="宋体"/>
                <w:szCs w:val="21"/>
              </w:rPr>
              <w:t>（</w:t>
            </w:r>
            <w:r>
              <w:rPr>
                <w:szCs w:val="21"/>
              </w:rPr>
              <w:t>3</w:t>
            </w:r>
            <w:r>
              <w:rPr>
                <w:rFonts w:hint="eastAsia" w:cs="宋体"/>
                <w:szCs w:val="21"/>
              </w:rPr>
              <w:t>）对事故造成的环境影响进行调查处理。</w:t>
            </w:r>
          </w:p>
        </w:tc>
      </w:tr>
      <w:bookmarkEnd w:id="32"/>
      <w:bookmarkEnd w:id="33"/>
      <w:bookmarkEnd w:id="34"/>
      <w:bookmarkEnd w:id="35"/>
    </w:tbl>
    <w:p>
      <w:pPr>
        <w:spacing w:line="360" w:lineRule="auto"/>
        <w:rPr>
          <w:sz w:val="28"/>
          <w:szCs w:val="28"/>
        </w:rPr>
        <w:sectPr>
          <w:pgSz w:w="16838" w:h="11906" w:orient="landscape"/>
          <w:pgMar w:top="1797" w:right="1440" w:bottom="1797" w:left="1440" w:header="851" w:footer="992" w:gutter="0"/>
          <w:cols w:space="720" w:num="1"/>
          <w:titlePg/>
          <w:docGrid w:type="lines" w:linePitch="312" w:charSpace="0"/>
        </w:sectPr>
      </w:pPr>
    </w:p>
    <w:p>
      <w:pPr>
        <w:rPr>
          <w:rFonts w:hint="eastAsia"/>
          <w:sz w:val="28"/>
          <w:szCs w:val="28"/>
        </w:rPr>
      </w:pPr>
      <w:bookmarkStart w:id="36" w:name="_Toc2554"/>
      <w:bookmarkStart w:id="37" w:name="_Toc24562"/>
      <w:bookmarkStart w:id="38" w:name="_Toc9947"/>
    </w:p>
    <w:p>
      <w:pPr>
        <w:spacing w:line="360" w:lineRule="auto"/>
        <w:ind w:firstLine="560" w:firstLineChars="200"/>
        <w:outlineLvl w:val="2"/>
        <w:rPr>
          <w:sz w:val="28"/>
          <w:szCs w:val="28"/>
        </w:rPr>
      </w:pPr>
      <w:r>
        <w:rPr>
          <w:rFonts w:hint="eastAsia"/>
          <w:sz w:val="28"/>
          <w:szCs w:val="28"/>
        </w:rPr>
        <w:t>2.1.</w:t>
      </w:r>
      <w:r>
        <w:rPr>
          <w:rFonts w:hint="eastAsia"/>
          <w:sz w:val="28"/>
          <w:szCs w:val="28"/>
          <w:lang w:val="en-US" w:eastAsia="zh-CN"/>
        </w:rPr>
        <w:t>2</w:t>
      </w:r>
      <w:r>
        <w:rPr>
          <w:rFonts w:hint="eastAsia"/>
          <w:sz w:val="28"/>
          <w:szCs w:val="28"/>
        </w:rPr>
        <w:t>应急救援指挥部组成</w:t>
      </w:r>
      <w:bookmarkEnd w:id="36"/>
      <w:bookmarkEnd w:id="37"/>
      <w:bookmarkEnd w:id="38"/>
    </w:p>
    <w:p>
      <w:pPr>
        <w:spacing w:line="360" w:lineRule="auto"/>
        <w:ind w:firstLine="560" w:firstLineChars="200"/>
        <w:rPr>
          <w:rFonts w:ascii="宋体" w:hAnsi="宋体"/>
          <w:sz w:val="28"/>
          <w:szCs w:val="28"/>
        </w:rPr>
      </w:pPr>
      <w:r>
        <w:rPr>
          <w:rFonts w:hint="eastAsia" w:ascii="宋体" w:hAnsi="宋体"/>
          <w:sz w:val="28"/>
          <w:szCs w:val="28"/>
        </w:rPr>
        <w:t>太仓市城厢镇应急指挥部由安全警戒疏散组、抢险救灾组、灭火救援组、后勤保障组、医疗卫生组、通讯组、应急救援专家组、综合管理组、环保组组成。</w:t>
      </w:r>
    </w:p>
    <w:p>
      <w:pPr>
        <w:spacing w:line="360" w:lineRule="auto"/>
        <w:ind w:firstLine="560" w:firstLineChars="200"/>
        <w:rPr>
          <w:rFonts w:ascii="宋体" w:hAnsi="宋体"/>
          <w:sz w:val="28"/>
          <w:szCs w:val="28"/>
        </w:rPr>
      </w:pPr>
      <w:r>
        <w:rPr>
          <w:rFonts w:hint="eastAsia" w:ascii="宋体" w:hAnsi="宋体"/>
          <w:sz w:val="28"/>
          <w:szCs w:val="28"/>
        </w:rPr>
        <w:t>（1）安全警戒疏散组</w:t>
      </w:r>
    </w:p>
    <w:p>
      <w:pPr>
        <w:spacing w:line="360" w:lineRule="auto"/>
        <w:ind w:firstLine="560" w:firstLineChars="200"/>
        <w:rPr>
          <w:rFonts w:ascii="宋体" w:hAnsi="宋体"/>
          <w:sz w:val="28"/>
          <w:szCs w:val="28"/>
        </w:rPr>
      </w:pPr>
      <w:r>
        <w:rPr>
          <w:rFonts w:hint="eastAsia" w:ascii="宋体" w:hAnsi="宋体"/>
          <w:sz w:val="28"/>
          <w:szCs w:val="28"/>
        </w:rPr>
        <w:t>负责事故现场、外围道路交通疏导及管制，保证救援车辆、物资、人员畅通；负责撤离现场人员安全疏散至集合点；负责外围人员的安全疏散；负责现场安全警戒。</w:t>
      </w:r>
    </w:p>
    <w:p>
      <w:pPr>
        <w:spacing w:line="360" w:lineRule="auto"/>
        <w:ind w:firstLine="560" w:firstLineChars="200"/>
        <w:rPr>
          <w:rFonts w:ascii="宋体" w:hAnsi="宋体"/>
          <w:sz w:val="28"/>
          <w:szCs w:val="28"/>
        </w:rPr>
      </w:pPr>
      <w:r>
        <w:rPr>
          <w:rFonts w:hint="eastAsia" w:ascii="宋体" w:hAnsi="宋体"/>
          <w:sz w:val="28"/>
          <w:szCs w:val="28"/>
        </w:rPr>
        <w:t>（2）抢险救灾组：</w:t>
      </w:r>
    </w:p>
    <w:p>
      <w:pPr>
        <w:spacing w:line="360" w:lineRule="auto"/>
        <w:ind w:firstLine="560" w:firstLineChars="200"/>
        <w:rPr>
          <w:rFonts w:ascii="宋体" w:hAnsi="宋体"/>
          <w:sz w:val="28"/>
          <w:szCs w:val="28"/>
        </w:rPr>
      </w:pPr>
      <w:r>
        <w:rPr>
          <w:rFonts w:hint="eastAsia" w:ascii="宋体" w:hAnsi="宋体"/>
          <w:sz w:val="28"/>
          <w:szCs w:val="28"/>
        </w:rPr>
        <w:t>在保证安全的条件下，对事故现场及周围物资进行抢险；抢救现场受围、受伤人员；对可能造成更大事故已损坏的设备、设施，在采取安全措施前提下进行抢修；进行堵漏，用沙土覆盖、收容、转移等进行处理；对事故现场进行消洗处置工作。</w:t>
      </w:r>
    </w:p>
    <w:p>
      <w:pPr>
        <w:spacing w:line="360" w:lineRule="auto"/>
        <w:ind w:firstLine="560" w:firstLineChars="200"/>
        <w:rPr>
          <w:rFonts w:ascii="宋体" w:hAnsi="宋体"/>
          <w:sz w:val="28"/>
          <w:szCs w:val="28"/>
        </w:rPr>
      </w:pPr>
      <w:r>
        <w:rPr>
          <w:rFonts w:hint="eastAsia" w:ascii="宋体" w:hAnsi="宋体"/>
          <w:sz w:val="28"/>
          <w:szCs w:val="28"/>
        </w:rPr>
        <w:t>（3）灭火救援组</w:t>
      </w:r>
    </w:p>
    <w:p>
      <w:pPr>
        <w:spacing w:line="360" w:lineRule="auto"/>
        <w:ind w:firstLine="560" w:firstLineChars="200"/>
        <w:rPr>
          <w:rFonts w:ascii="宋体" w:hAnsi="宋体"/>
          <w:sz w:val="28"/>
          <w:szCs w:val="28"/>
        </w:rPr>
      </w:pPr>
      <w:r>
        <w:rPr>
          <w:rFonts w:hint="eastAsia" w:ascii="宋体" w:hAnsi="宋体"/>
          <w:sz w:val="28"/>
          <w:szCs w:val="28"/>
        </w:rPr>
        <w:t>根据火灾发生位置、特点和气象采取合适的灭火方案，进行火灾扑救；进行火场周边可能会引发二次事故的场所，应了解其特点进行应急处理，如隔离、移走、冷却等。</w:t>
      </w:r>
    </w:p>
    <w:p>
      <w:pPr>
        <w:spacing w:line="360" w:lineRule="auto"/>
        <w:ind w:firstLine="560" w:firstLineChars="200"/>
        <w:rPr>
          <w:rFonts w:ascii="宋体" w:hAnsi="宋体"/>
          <w:sz w:val="28"/>
          <w:szCs w:val="28"/>
        </w:rPr>
      </w:pPr>
      <w:r>
        <w:rPr>
          <w:rFonts w:hint="eastAsia" w:ascii="宋体" w:hAnsi="宋体"/>
          <w:sz w:val="28"/>
          <w:szCs w:val="28"/>
        </w:rPr>
        <w:t>（4）后勤保障组</w:t>
      </w:r>
    </w:p>
    <w:p>
      <w:pPr>
        <w:spacing w:line="360" w:lineRule="auto"/>
        <w:ind w:firstLine="560" w:firstLineChars="200"/>
        <w:rPr>
          <w:rFonts w:ascii="宋体" w:hAnsi="宋体"/>
          <w:sz w:val="28"/>
          <w:szCs w:val="28"/>
        </w:rPr>
      </w:pPr>
      <w:r>
        <w:rPr>
          <w:rFonts w:hint="eastAsia" w:ascii="宋体" w:hAnsi="宋体"/>
          <w:sz w:val="28"/>
          <w:szCs w:val="28"/>
        </w:rPr>
        <w:t>供应应急救援器材、物资；对所缺的应急救援器材、物资，与周边单位联系供给；进行车辆调度。</w:t>
      </w:r>
    </w:p>
    <w:p>
      <w:pPr>
        <w:spacing w:line="360" w:lineRule="auto"/>
        <w:ind w:firstLine="560" w:firstLineChars="200"/>
        <w:rPr>
          <w:rFonts w:ascii="宋体" w:hAnsi="宋体"/>
          <w:sz w:val="28"/>
          <w:szCs w:val="28"/>
        </w:rPr>
      </w:pPr>
      <w:r>
        <w:rPr>
          <w:rFonts w:hint="eastAsia" w:ascii="宋体" w:hAnsi="宋体"/>
          <w:sz w:val="28"/>
          <w:szCs w:val="28"/>
        </w:rPr>
        <w:t>（3）医疗卫生组</w:t>
      </w:r>
    </w:p>
    <w:p>
      <w:pPr>
        <w:spacing w:line="360" w:lineRule="auto"/>
        <w:ind w:firstLine="560" w:firstLineChars="200"/>
        <w:rPr>
          <w:rFonts w:ascii="宋体" w:hAnsi="宋体"/>
          <w:sz w:val="28"/>
          <w:szCs w:val="28"/>
        </w:rPr>
      </w:pPr>
      <w:r>
        <w:rPr>
          <w:rFonts w:hint="eastAsia" w:ascii="宋体" w:hAnsi="宋体"/>
          <w:sz w:val="28"/>
          <w:szCs w:val="28"/>
        </w:rPr>
        <w:t>及时抢救现场撤出的受伤人员，并移至安全处进行现场急救（如止血、固定包扎、心肺复苏等）；对中毒、伤重的病人用救护车送往医院（并通知医院准备相应器材、药品等）。</w:t>
      </w:r>
    </w:p>
    <w:p>
      <w:pPr>
        <w:spacing w:line="360" w:lineRule="auto"/>
        <w:ind w:firstLine="560" w:firstLineChars="200"/>
        <w:rPr>
          <w:rFonts w:ascii="宋体" w:hAnsi="宋体"/>
          <w:sz w:val="28"/>
          <w:szCs w:val="28"/>
        </w:rPr>
      </w:pPr>
      <w:r>
        <w:rPr>
          <w:rFonts w:hint="eastAsia" w:ascii="宋体" w:hAnsi="宋体"/>
          <w:sz w:val="28"/>
          <w:szCs w:val="28"/>
        </w:rPr>
        <w:t>（4）通讯组</w:t>
      </w:r>
    </w:p>
    <w:p>
      <w:pPr>
        <w:spacing w:line="360" w:lineRule="auto"/>
        <w:ind w:firstLine="560" w:firstLineChars="200"/>
        <w:rPr>
          <w:rFonts w:ascii="宋体" w:hAnsi="宋体"/>
          <w:sz w:val="28"/>
          <w:szCs w:val="28"/>
        </w:rPr>
      </w:pPr>
      <w:r>
        <w:rPr>
          <w:rFonts w:hint="eastAsia" w:ascii="宋体" w:hAnsi="宋体"/>
          <w:sz w:val="28"/>
          <w:szCs w:val="28"/>
        </w:rPr>
        <w:t>负责事故信息、咨询意见准确、迅速传递；负责与现场各组、队的联络并向指挥部及时报告，传达指令；负责与社会救援组织、机构联系。</w:t>
      </w:r>
    </w:p>
    <w:p>
      <w:pPr>
        <w:spacing w:line="360" w:lineRule="auto"/>
        <w:ind w:firstLine="560" w:firstLineChars="200"/>
        <w:rPr>
          <w:rFonts w:ascii="宋体" w:hAnsi="宋体"/>
          <w:sz w:val="28"/>
          <w:szCs w:val="28"/>
        </w:rPr>
      </w:pPr>
      <w:r>
        <w:rPr>
          <w:rFonts w:hint="eastAsia" w:ascii="宋体" w:hAnsi="宋体"/>
          <w:sz w:val="28"/>
          <w:szCs w:val="28"/>
        </w:rPr>
        <w:t>（5）应急救援专家组</w:t>
      </w:r>
    </w:p>
    <w:p>
      <w:pPr>
        <w:spacing w:line="360" w:lineRule="auto"/>
        <w:ind w:firstLine="560" w:firstLineChars="200"/>
        <w:rPr>
          <w:rFonts w:ascii="宋体" w:hAnsi="宋体"/>
          <w:sz w:val="28"/>
          <w:szCs w:val="28"/>
        </w:rPr>
      </w:pPr>
      <w:r>
        <w:rPr>
          <w:rFonts w:hint="eastAsia" w:ascii="宋体" w:hAnsi="宋体"/>
          <w:sz w:val="28"/>
          <w:szCs w:val="28"/>
        </w:rPr>
        <w:t>对事故应急救援提出方案和安全措施；为现场指挥救援工作提供技术咨询。</w:t>
      </w:r>
    </w:p>
    <w:p>
      <w:pPr>
        <w:spacing w:line="360" w:lineRule="auto"/>
        <w:ind w:firstLine="560" w:firstLineChars="200"/>
        <w:rPr>
          <w:rFonts w:ascii="宋体" w:hAnsi="宋体"/>
          <w:sz w:val="28"/>
          <w:szCs w:val="28"/>
        </w:rPr>
      </w:pPr>
      <w:r>
        <w:rPr>
          <w:rFonts w:hint="eastAsia" w:ascii="宋体" w:hAnsi="宋体"/>
          <w:sz w:val="28"/>
          <w:szCs w:val="28"/>
        </w:rPr>
        <w:t>（6）综合管理组</w:t>
      </w:r>
    </w:p>
    <w:p>
      <w:pPr>
        <w:spacing w:line="360" w:lineRule="auto"/>
        <w:ind w:firstLine="560" w:firstLineChars="200"/>
        <w:rPr>
          <w:rFonts w:ascii="宋体" w:hAnsi="宋体"/>
          <w:sz w:val="28"/>
          <w:szCs w:val="28"/>
        </w:rPr>
      </w:pPr>
      <w:r>
        <w:rPr>
          <w:rFonts w:hint="eastAsia" w:ascii="宋体" w:hAnsi="宋体"/>
          <w:sz w:val="28"/>
          <w:szCs w:val="28"/>
        </w:rPr>
        <w:t>负责外援联系；负责接待境内外记者，统筹协调各媒体关于事故的报导，引导社会舆论；进行善后处理及其它未尽事项。</w:t>
      </w:r>
    </w:p>
    <w:p>
      <w:pPr>
        <w:spacing w:line="360" w:lineRule="auto"/>
        <w:ind w:firstLine="560" w:firstLineChars="200"/>
        <w:rPr>
          <w:sz w:val="28"/>
          <w:szCs w:val="28"/>
        </w:rPr>
      </w:pPr>
      <w:r>
        <w:rPr>
          <w:rFonts w:hint="eastAsia"/>
          <w:sz w:val="28"/>
          <w:szCs w:val="28"/>
        </w:rPr>
        <w:t>（7）环保组</w:t>
      </w:r>
    </w:p>
    <w:p>
      <w:pPr>
        <w:spacing w:line="360" w:lineRule="auto"/>
        <w:ind w:firstLine="560" w:firstLineChars="200"/>
        <w:rPr>
          <w:rFonts w:ascii="宋体" w:hAnsi="宋体"/>
          <w:sz w:val="28"/>
          <w:szCs w:val="28"/>
        </w:rPr>
      </w:pPr>
      <w:r>
        <w:rPr>
          <w:rFonts w:hint="eastAsia" w:ascii="宋体" w:hAnsi="宋体"/>
          <w:sz w:val="28"/>
          <w:szCs w:val="28"/>
        </w:rPr>
        <w:t>对事故现场、外围侦检化学品的性质、浓度；对事故环境污染的场所咨询、提供指导、进行消洗；对事故造成的环境影响进行调查处理。</w:t>
      </w: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
    <w:p/>
    <w:p>
      <w:pPr>
        <w:sectPr>
          <w:pgSz w:w="11906" w:h="16838"/>
          <w:pgMar w:top="1440" w:right="1797" w:bottom="1440" w:left="1797" w:header="709" w:footer="709" w:gutter="0"/>
          <w:cols w:space="720" w:num="1"/>
        </w:sectPr>
      </w:pPr>
    </w:p>
    <w:p>
      <w:pPr>
        <w:spacing w:line="360" w:lineRule="auto"/>
        <w:jc w:val="center"/>
        <w:outlineLvl w:val="0"/>
        <w:rPr>
          <w:b/>
          <w:sz w:val="28"/>
          <w:szCs w:val="28"/>
        </w:rPr>
      </w:pPr>
      <w:bookmarkStart w:id="39" w:name="_Toc7147"/>
      <w:bookmarkStart w:id="40" w:name="_Toc18824"/>
      <w:bookmarkStart w:id="41" w:name="_Toc15297"/>
      <w:r>
        <w:rPr>
          <w:rFonts w:hint="eastAsia"/>
          <w:b/>
          <w:sz w:val="28"/>
          <w:szCs w:val="28"/>
        </w:rPr>
        <w:t>3  预警和预防机制</w:t>
      </w:r>
      <w:bookmarkEnd w:id="39"/>
      <w:bookmarkEnd w:id="40"/>
      <w:bookmarkEnd w:id="41"/>
    </w:p>
    <w:p>
      <w:pPr>
        <w:spacing w:line="360" w:lineRule="auto"/>
        <w:ind w:firstLine="560" w:firstLineChars="200"/>
        <w:outlineLvl w:val="1"/>
        <w:rPr>
          <w:sz w:val="28"/>
          <w:szCs w:val="28"/>
        </w:rPr>
      </w:pPr>
      <w:bookmarkStart w:id="42" w:name="_Toc25944"/>
      <w:bookmarkStart w:id="43" w:name="_Toc26217"/>
      <w:bookmarkStart w:id="44" w:name="_Toc217"/>
      <w:r>
        <w:rPr>
          <w:rFonts w:hint="eastAsia"/>
          <w:sz w:val="28"/>
          <w:szCs w:val="28"/>
        </w:rPr>
        <w:t>3.1  信息监控</w:t>
      </w:r>
      <w:bookmarkEnd w:id="42"/>
      <w:bookmarkEnd w:id="43"/>
      <w:bookmarkEnd w:id="44"/>
    </w:p>
    <w:p>
      <w:pPr>
        <w:spacing w:line="360" w:lineRule="auto"/>
        <w:ind w:firstLine="560" w:firstLineChars="200"/>
        <w:rPr>
          <w:sz w:val="28"/>
          <w:szCs w:val="28"/>
        </w:rPr>
      </w:pPr>
      <w:r>
        <w:rPr>
          <w:rFonts w:hint="eastAsia"/>
          <w:sz w:val="28"/>
          <w:szCs w:val="28"/>
        </w:rPr>
        <w:t>太仓市城厢镇安委会加强对危险场所及各企事业单位各类重点危险源的监控，对可能引发安全生产事故的险情，或者其他自然灾害、灾难可能引发安全生产事故的重要信息应及时上报。</w:t>
      </w:r>
    </w:p>
    <w:p>
      <w:pPr>
        <w:spacing w:line="360" w:lineRule="auto"/>
        <w:ind w:firstLine="560" w:firstLineChars="200"/>
        <w:rPr>
          <w:sz w:val="28"/>
          <w:szCs w:val="28"/>
        </w:rPr>
      </w:pPr>
      <w:r>
        <w:rPr>
          <w:rFonts w:hint="eastAsia"/>
          <w:sz w:val="28"/>
          <w:szCs w:val="28"/>
        </w:rPr>
        <w:t>安委会认真做好相关监控工作，安全生产监管部门加强安全生产的监督管理，各生产经营单位要加强对重点目标和重要部位的安全运行监测，及早发现和消除风险隐患。</w:t>
      </w:r>
    </w:p>
    <w:p>
      <w:pPr>
        <w:spacing w:line="360" w:lineRule="auto"/>
        <w:ind w:firstLine="560" w:firstLineChars="200"/>
        <w:rPr>
          <w:sz w:val="28"/>
          <w:szCs w:val="28"/>
        </w:rPr>
      </w:pPr>
      <w:r>
        <w:rPr>
          <w:rFonts w:hint="eastAsia"/>
          <w:sz w:val="28"/>
          <w:szCs w:val="28"/>
        </w:rPr>
        <w:t>安委会与国家、省、市、区有关部门建立有效的信息沟通渠道，及时主动跟踪监测和收集其他突发事件信息，并及时预报和发出预警通知。</w:t>
      </w:r>
    </w:p>
    <w:p>
      <w:pPr>
        <w:spacing w:line="360" w:lineRule="auto"/>
        <w:ind w:firstLine="560" w:firstLineChars="200"/>
        <w:outlineLvl w:val="1"/>
        <w:rPr>
          <w:sz w:val="28"/>
          <w:szCs w:val="28"/>
        </w:rPr>
      </w:pPr>
      <w:bookmarkStart w:id="45" w:name="_Toc7867"/>
      <w:bookmarkStart w:id="46" w:name="_Toc2093"/>
      <w:bookmarkStart w:id="47" w:name="_Toc9104"/>
      <w:r>
        <w:rPr>
          <w:sz w:val="28"/>
          <w:szCs w:val="28"/>
        </w:rPr>
        <w:t xml:space="preserve">3.2  </w:t>
      </w:r>
      <w:r>
        <w:rPr>
          <w:rFonts w:hint="eastAsia"/>
          <w:sz w:val="28"/>
          <w:szCs w:val="28"/>
        </w:rPr>
        <w:t>预警预防行动</w:t>
      </w:r>
      <w:bookmarkEnd w:id="45"/>
      <w:bookmarkEnd w:id="46"/>
      <w:bookmarkEnd w:id="47"/>
    </w:p>
    <w:p>
      <w:pPr>
        <w:spacing w:line="360" w:lineRule="auto"/>
        <w:ind w:firstLine="560" w:firstLineChars="200"/>
        <w:rPr>
          <w:sz w:val="28"/>
          <w:szCs w:val="28"/>
        </w:rPr>
      </w:pPr>
      <w:r>
        <w:rPr>
          <w:rFonts w:hint="eastAsia"/>
          <w:sz w:val="28"/>
          <w:szCs w:val="28"/>
        </w:rPr>
        <w:t>太仓市城厢镇安委会接到可能引发安全生产事故预警信息后，要及时研究确定应对方案，并通知有关部门和单位实施相应的预警行动。</w:t>
      </w:r>
    </w:p>
    <w:p>
      <w:pPr>
        <w:spacing w:line="360" w:lineRule="auto"/>
        <w:ind w:firstLine="560" w:firstLineChars="200"/>
        <w:rPr>
          <w:sz w:val="28"/>
          <w:szCs w:val="28"/>
        </w:rPr>
      </w:pPr>
      <w:r>
        <w:rPr>
          <w:rFonts w:hint="eastAsia"/>
          <w:sz w:val="28"/>
          <w:szCs w:val="28"/>
        </w:rPr>
        <w:t>安委会决定并宣布进入预警期后，其他安全生产事故相关部门可采取预防性措施并及时向安委会报告相关情况。</w:t>
      </w:r>
    </w:p>
    <w:p>
      <w:pPr>
        <w:spacing w:line="360" w:lineRule="auto"/>
        <w:ind w:firstLine="560" w:firstLineChars="200"/>
        <w:outlineLvl w:val="1"/>
        <w:rPr>
          <w:sz w:val="28"/>
          <w:szCs w:val="28"/>
        </w:rPr>
      </w:pPr>
      <w:bookmarkStart w:id="48" w:name="_Toc11022"/>
      <w:bookmarkStart w:id="49" w:name="_Toc11652"/>
      <w:bookmarkStart w:id="50" w:name="_Toc26470"/>
      <w:r>
        <w:rPr>
          <w:sz w:val="28"/>
          <w:szCs w:val="28"/>
        </w:rPr>
        <w:t xml:space="preserve">3.3  </w:t>
      </w:r>
      <w:r>
        <w:rPr>
          <w:rFonts w:hint="eastAsia"/>
          <w:sz w:val="28"/>
          <w:szCs w:val="28"/>
        </w:rPr>
        <w:t>预警级别与发布</w:t>
      </w:r>
      <w:bookmarkEnd w:id="48"/>
      <w:bookmarkEnd w:id="49"/>
      <w:bookmarkEnd w:id="50"/>
    </w:p>
    <w:p>
      <w:pPr>
        <w:spacing w:line="360" w:lineRule="auto"/>
        <w:ind w:firstLine="560" w:firstLineChars="200"/>
        <w:outlineLvl w:val="2"/>
        <w:rPr>
          <w:sz w:val="28"/>
          <w:szCs w:val="28"/>
        </w:rPr>
      </w:pPr>
      <w:bookmarkStart w:id="51" w:name="_Toc5568"/>
      <w:bookmarkStart w:id="52" w:name="_Toc30330"/>
      <w:bookmarkStart w:id="53" w:name="_Toc30734"/>
      <w:r>
        <w:rPr>
          <w:sz w:val="28"/>
          <w:szCs w:val="28"/>
        </w:rPr>
        <w:t xml:space="preserve">3.3.1  </w:t>
      </w:r>
      <w:r>
        <w:rPr>
          <w:rFonts w:hint="eastAsia"/>
          <w:sz w:val="28"/>
          <w:szCs w:val="28"/>
        </w:rPr>
        <w:t>预警级别</w:t>
      </w:r>
      <w:bookmarkEnd w:id="51"/>
      <w:bookmarkEnd w:id="52"/>
      <w:bookmarkEnd w:id="53"/>
    </w:p>
    <w:p>
      <w:pPr>
        <w:spacing w:line="360" w:lineRule="auto"/>
        <w:ind w:firstLine="560" w:firstLineChars="200"/>
        <w:rPr>
          <w:sz w:val="28"/>
          <w:szCs w:val="28"/>
        </w:rPr>
      </w:pPr>
      <w:r>
        <w:rPr>
          <w:rFonts w:hint="eastAsia"/>
          <w:sz w:val="28"/>
          <w:szCs w:val="28"/>
        </w:rPr>
        <w:t>根据安全生产事故隐患和可能造成的损失及社会影响，本区安全生产事故预警级别分为五级：Ⅰ级、Ⅱ级、Ⅲ级、Ⅳ级和</w:t>
      </w:r>
      <w:r>
        <w:rPr>
          <w:rFonts w:hint="eastAsia" w:ascii="宋体" w:hAnsi="宋体"/>
          <w:sz w:val="28"/>
          <w:szCs w:val="28"/>
        </w:rPr>
        <w:t>Ⅴ级</w:t>
      </w:r>
      <w:r>
        <w:rPr>
          <w:rFonts w:hint="eastAsia"/>
          <w:sz w:val="28"/>
          <w:szCs w:val="28"/>
        </w:rPr>
        <w:t>（见表</w:t>
      </w:r>
      <w:r>
        <w:rPr>
          <w:sz w:val="28"/>
          <w:szCs w:val="28"/>
        </w:rPr>
        <w:t>4-1</w:t>
      </w:r>
      <w:r>
        <w:rPr>
          <w:rFonts w:hint="eastAsia"/>
          <w:sz w:val="28"/>
          <w:szCs w:val="28"/>
        </w:rPr>
        <w:t>）。</w:t>
      </w:r>
    </w:p>
    <w:p>
      <w:pPr>
        <w:spacing w:line="360" w:lineRule="auto"/>
        <w:ind w:firstLine="560" w:firstLineChars="200"/>
        <w:outlineLvl w:val="2"/>
        <w:rPr>
          <w:sz w:val="28"/>
          <w:szCs w:val="28"/>
        </w:rPr>
      </w:pPr>
      <w:bookmarkStart w:id="54" w:name="_Toc15196"/>
      <w:bookmarkStart w:id="55" w:name="_Toc5159"/>
      <w:bookmarkStart w:id="56" w:name="_Toc25391"/>
      <w:r>
        <w:rPr>
          <w:sz w:val="28"/>
          <w:szCs w:val="28"/>
        </w:rPr>
        <w:t xml:space="preserve">3.3.2  </w:t>
      </w:r>
      <w:r>
        <w:rPr>
          <w:rFonts w:hint="eastAsia"/>
          <w:sz w:val="28"/>
          <w:szCs w:val="28"/>
        </w:rPr>
        <w:t>预警信息发布</w:t>
      </w:r>
      <w:bookmarkEnd w:id="54"/>
      <w:bookmarkEnd w:id="55"/>
      <w:bookmarkEnd w:id="56"/>
    </w:p>
    <w:p>
      <w:pPr>
        <w:spacing w:line="360" w:lineRule="auto"/>
        <w:ind w:firstLine="560" w:firstLineChars="200"/>
        <w:rPr>
          <w:sz w:val="28"/>
          <w:szCs w:val="28"/>
        </w:rPr>
      </w:pPr>
      <w:r>
        <w:rPr>
          <w:rFonts w:hint="eastAsia"/>
          <w:sz w:val="28"/>
          <w:szCs w:val="28"/>
        </w:rPr>
        <w:t>安全生产事故预警信息由城厢镇安委会或授权有关部门发布。信息的发布、调整和解除，可通过广播、电视、报刊、通信、信息网络、宣传车等方式进行；对老、弱、病、残、孕等弱势群体以及学校等特殊场所，应采用有效的公告方式。</w:t>
      </w:r>
    </w:p>
    <w:p>
      <w:pPr>
        <w:spacing w:line="360" w:lineRule="auto"/>
        <w:ind w:firstLine="560" w:firstLineChars="200"/>
        <w:outlineLvl w:val="2"/>
        <w:rPr>
          <w:sz w:val="28"/>
          <w:szCs w:val="28"/>
        </w:rPr>
      </w:pPr>
      <w:bookmarkStart w:id="57" w:name="_Toc14942"/>
      <w:bookmarkStart w:id="58" w:name="_Toc29498"/>
      <w:bookmarkStart w:id="59" w:name="_Toc2640"/>
      <w:r>
        <w:rPr>
          <w:sz w:val="28"/>
          <w:szCs w:val="28"/>
        </w:rPr>
        <w:t xml:space="preserve">3.3.3  </w:t>
      </w:r>
      <w:r>
        <w:rPr>
          <w:rFonts w:hint="eastAsia"/>
          <w:sz w:val="28"/>
          <w:szCs w:val="28"/>
        </w:rPr>
        <w:t>预警级别调整</w:t>
      </w:r>
      <w:bookmarkEnd w:id="57"/>
      <w:bookmarkEnd w:id="58"/>
      <w:bookmarkEnd w:id="59"/>
    </w:p>
    <w:p>
      <w:pPr>
        <w:spacing w:line="360" w:lineRule="auto"/>
        <w:ind w:firstLine="560" w:firstLineChars="200"/>
        <w:rPr>
          <w:sz w:val="28"/>
          <w:szCs w:val="28"/>
        </w:rPr>
      </w:pPr>
      <w:r>
        <w:rPr>
          <w:rFonts w:hint="eastAsia"/>
          <w:sz w:val="28"/>
          <w:szCs w:val="28"/>
        </w:rPr>
        <w:t>根据生产安全事故的发展态势和应急处置进展情况，事故预警发布部门可视情对预警级别做出调整。</w:t>
      </w: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2" w:firstLineChars="200"/>
        <w:jc w:val="center"/>
        <w:outlineLvl w:val="0"/>
        <w:rPr>
          <w:b/>
          <w:sz w:val="28"/>
          <w:szCs w:val="28"/>
        </w:rPr>
      </w:pPr>
      <w:bookmarkStart w:id="60" w:name="_Toc31169"/>
      <w:bookmarkStart w:id="61" w:name="_Toc19208"/>
      <w:bookmarkStart w:id="62" w:name="_Toc27258"/>
      <w:r>
        <w:rPr>
          <w:b/>
          <w:sz w:val="28"/>
          <w:szCs w:val="28"/>
        </w:rPr>
        <w:t xml:space="preserve">4  </w:t>
      </w:r>
      <w:r>
        <w:rPr>
          <w:rFonts w:hint="eastAsia"/>
          <w:b/>
          <w:sz w:val="28"/>
          <w:szCs w:val="28"/>
        </w:rPr>
        <w:t>应急响应</w:t>
      </w:r>
      <w:bookmarkEnd w:id="60"/>
      <w:bookmarkEnd w:id="61"/>
      <w:bookmarkEnd w:id="62"/>
    </w:p>
    <w:p>
      <w:pPr>
        <w:spacing w:line="360" w:lineRule="auto"/>
        <w:ind w:firstLine="560" w:firstLineChars="200"/>
        <w:outlineLvl w:val="1"/>
        <w:rPr>
          <w:sz w:val="28"/>
          <w:szCs w:val="28"/>
        </w:rPr>
      </w:pPr>
      <w:bookmarkStart w:id="63" w:name="_Toc12667"/>
      <w:bookmarkStart w:id="64" w:name="_Toc6250"/>
      <w:bookmarkStart w:id="65" w:name="_Toc363"/>
      <w:r>
        <w:rPr>
          <w:sz w:val="28"/>
          <w:szCs w:val="28"/>
        </w:rPr>
        <w:t xml:space="preserve">4.1  </w:t>
      </w:r>
      <w:r>
        <w:rPr>
          <w:rFonts w:hint="eastAsia"/>
          <w:sz w:val="28"/>
          <w:szCs w:val="28"/>
        </w:rPr>
        <w:t>分级响应程序</w:t>
      </w:r>
      <w:bookmarkEnd w:id="63"/>
      <w:bookmarkEnd w:id="64"/>
      <w:bookmarkEnd w:id="65"/>
    </w:p>
    <w:p>
      <w:pPr>
        <w:spacing w:line="360" w:lineRule="auto"/>
        <w:ind w:firstLine="560" w:firstLineChars="200"/>
        <w:outlineLvl w:val="2"/>
        <w:rPr>
          <w:sz w:val="28"/>
          <w:szCs w:val="28"/>
        </w:rPr>
      </w:pPr>
      <w:bookmarkStart w:id="66" w:name="_Toc30927"/>
      <w:bookmarkStart w:id="67" w:name="_Toc6947"/>
      <w:bookmarkStart w:id="68" w:name="_Toc22439"/>
      <w:r>
        <w:rPr>
          <w:sz w:val="28"/>
          <w:szCs w:val="28"/>
        </w:rPr>
        <w:t xml:space="preserve">4.1.1  </w:t>
      </w:r>
      <w:r>
        <w:rPr>
          <w:rFonts w:hint="eastAsia"/>
          <w:sz w:val="28"/>
          <w:szCs w:val="28"/>
        </w:rPr>
        <w:t>响应分级</w:t>
      </w:r>
      <w:bookmarkEnd w:id="66"/>
      <w:bookmarkEnd w:id="67"/>
      <w:bookmarkEnd w:id="68"/>
    </w:p>
    <w:p>
      <w:pPr>
        <w:spacing w:line="360" w:lineRule="auto"/>
        <w:ind w:firstLine="560" w:firstLineChars="200"/>
        <w:rPr>
          <w:sz w:val="28"/>
          <w:szCs w:val="28"/>
        </w:rPr>
      </w:pPr>
      <w:r>
        <w:rPr>
          <w:rFonts w:hint="eastAsia"/>
          <w:sz w:val="28"/>
          <w:szCs w:val="28"/>
        </w:rPr>
        <w:t>（</w:t>
      </w:r>
      <w:r>
        <w:rPr>
          <w:sz w:val="28"/>
          <w:szCs w:val="28"/>
        </w:rPr>
        <w:t>1</w:t>
      </w:r>
      <w:r>
        <w:rPr>
          <w:rFonts w:hint="eastAsia"/>
          <w:sz w:val="28"/>
          <w:szCs w:val="28"/>
        </w:rPr>
        <w:t>）生产安全事故响应分级见下表</w:t>
      </w:r>
      <w:r>
        <w:rPr>
          <w:sz w:val="28"/>
          <w:szCs w:val="28"/>
        </w:rPr>
        <w:t>4-1</w:t>
      </w:r>
      <w:r>
        <w:rPr>
          <w:rFonts w:hint="eastAsia"/>
          <w:sz w:val="28"/>
          <w:szCs w:val="28"/>
        </w:rPr>
        <w:t>。</w:t>
      </w:r>
    </w:p>
    <w:p>
      <w:pPr>
        <w:spacing w:line="360" w:lineRule="auto"/>
        <w:jc w:val="center"/>
        <w:rPr>
          <w:b/>
          <w:bCs/>
          <w:sz w:val="24"/>
        </w:rPr>
      </w:pPr>
      <w:r>
        <w:rPr>
          <w:rFonts w:hint="eastAsia"/>
          <w:b/>
          <w:bCs/>
          <w:sz w:val="24"/>
        </w:rPr>
        <w:t>表</w:t>
      </w:r>
      <w:r>
        <w:rPr>
          <w:b/>
          <w:bCs/>
          <w:sz w:val="24"/>
        </w:rPr>
        <w:t xml:space="preserve">4-1 </w:t>
      </w:r>
      <w:r>
        <w:rPr>
          <w:rFonts w:hint="eastAsia"/>
          <w:b/>
          <w:bCs/>
          <w:sz w:val="24"/>
        </w:rPr>
        <w:t>生产安全事故响应分级</w:t>
      </w:r>
    </w:p>
    <w:tbl>
      <w:tblPr>
        <w:tblStyle w:val="12"/>
        <w:tblW w:w="906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510"/>
        <w:gridCol w:w="1742"/>
        <w:gridCol w:w="3483"/>
        <w:gridCol w:w="2534"/>
        <w:gridCol w:w="79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1" w:hRule="atLeast"/>
          <w:jc w:val="center"/>
        </w:trPr>
        <w:tc>
          <w:tcPr>
            <w:tcW w:w="510" w:type="dxa"/>
            <w:vMerge w:val="restart"/>
            <w:vAlign w:val="center"/>
          </w:tcPr>
          <w:p>
            <w:pPr>
              <w:snapToGrid w:val="0"/>
              <w:jc w:val="center"/>
              <w:rPr>
                <w:rFonts w:ascii="宋体" w:hAnsi="宋体"/>
                <w:b/>
                <w:bCs/>
                <w:color w:val="000000"/>
                <w:szCs w:val="21"/>
              </w:rPr>
            </w:pPr>
            <w:r>
              <w:rPr>
                <w:rFonts w:hint="eastAsia" w:ascii="宋体" w:hAnsi="宋体"/>
                <w:b/>
                <w:bCs/>
                <w:color w:val="000000"/>
                <w:szCs w:val="21"/>
              </w:rPr>
              <w:t>序号</w:t>
            </w:r>
          </w:p>
        </w:tc>
        <w:tc>
          <w:tcPr>
            <w:tcW w:w="7759" w:type="dxa"/>
            <w:gridSpan w:val="3"/>
            <w:vAlign w:val="center"/>
          </w:tcPr>
          <w:p>
            <w:pPr>
              <w:snapToGrid w:val="0"/>
              <w:jc w:val="center"/>
              <w:rPr>
                <w:rFonts w:ascii="宋体" w:hAnsi="宋体"/>
                <w:b/>
                <w:bCs/>
                <w:color w:val="000000"/>
                <w:szCs w:val="21"/>
              </w:rPr>
            </w:pPr>
            <w:r>
              <w:rPr>
                <w:rFonts w:hint="eastAsia" w:ascii="宋体" w:hAnsi="宋体"/>
                <w:b/>
                <w:bCs/>
                <w:color w:val="000000"/>
                <w:szCs w:val="21"/>
              </w:rPr>
              <w:t>生产安全事故可控性、严重程度和影响范围</w:t>
            </w:r>
          </w:p>
        </w:tc>
        <w:tc>
          <w:tcPr>
            <w:tcW w:w="791" w:type="dxa"/>
            <w:vMerge w:val="restart"/>
            <w:vAlign w:val="center"/>
          </w:tcPr>
          <w:p>
            <w:pPr>
              <w:snapToGrid w:val="0"/>
              <w:jc w:val="center"/>
              <w:rPr>
                <w:rFonts w:ascii="宋体" w:hAnsi="宋体"/>
                <w:b/>
                <w:bCs/>
                <w:color w:val="000000"/>
                <w:szCs w:val="21"/>
              </w:rPr>
            </w:pPr>
            <w:r>
              <w:rPr>
                <w:rFonts w:hint="eastAsia" w:ascii="宋体" w:hAnsi="宋体"/>
                <w:b/>
                <w:bCs/>
                <w:color w:val="000000"/>
                <w:szCs w:val="21"/>
              </w:rPr>
              <w:t>响应分级</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5" w:hRule="atLeast"/>
          <w:jc w:val="center"/>
        </w:trPr>
        <w:tc>
          <w:tcPr>
            <w:tcW w:w="510" w:type="dxa"/>
            <w:vMerge w:val="continue"/>
            <w:vAlign w:val="center"/>
          </w:tcPr>
          <w:p>
            <w:pPr>
              <w:widowControl/>
              <w:jc w:val="left"/>
              <w:rPr>
                <w:rFonts w:ascii="宋体" w:hAnsi="宋体"/>
                <w:b/>
                <w:bCs/>
                <w:color w:val="000000"/>
                <w:szCs w:val="21"/>
              </w:rPr>
            </w:pPr>
          </w:p>
        </w:tc>
        <w:tc>
          <w:tcPr>
            <w:tcW w:w="1742" w:type="dxa"/>
            <w:vAlign w:val="center"/>
          </w:tcPr>
          <w:p>
            <w:pPr>
              <w:snapToGrid w:val="0"/>
              <w:jc w:val="center"/>
              <w:rPr>
                <w:rFonts w:ascii="宋体" w:hAnsi="宋体"/>
                <w:b/>
                <w:bCs/>
                <w:color w:val="000000"/>
                <w:szCs w:val="21"/>
              </w:rPr>
            </w:pPr>
            <w:r>
              <w:rPr>
                <w:rFonts w:hint="eastAsia" w:ascii="宋体" w:hAnsi="宋体"/>
                <w:b/>
                <w:bCs/>
                <w:color w:val="000000"/>
                <w:szCs w:val="21"/>
              </w:rPr>
              <w:t>死亡人数</w:t>
            </w:r>
          </w:p>
        </w:tc>
        <w:tc>
          <w:tcPr>
            <w:tcW w:w="3483" w:type="dxa"/>
            <w:vAlign w:val="center"/>
          </w:tcPr>
          <w:p>
            <w:pPr>
              <w:snapToGrid w:val="0"/>
              <w:jc w:val="center"/>
              <w:rPr>
                <w:rFonts w:ascii="宋体" w:hAnsi="宋体"/>
                <w:b/>
                <w:bCs/>
                <w:color w:val="000000"/>
                <w:szCs w:val="21"/>
              </w:rPr>
            </w:pPr>
            <w:r>
              <w:rPr>
                <w:rFonts w:hint="eastAsia" w:ascii="宋体" w:hAnsi="宋体"/>
                <w:b/>
                <w:bCs/>
                <w:color w:val="000000"/>
                <w:szCs w:val="21"/>
              </w:rPr>
              <w:t>重伤人数（包括急性中毒）</w:t>
            </w:r>
          </w:p>
        </w:tc>
        <w:tc>
          <w:tcPr>
            <w:tcW w:w="2534" w:type="dxa"/>
            <w:vAlign w:val="center"/>
          </w:tcPr>
          <w:p>
            <w:pPr>
              <w:snapToGrid w:val="0"/>
              <w:jc w:val="center"/>
              <w:rPr>
                <w:rFonts w:ascii="宋体" w:hAnsi="宋体"/>
                <w:b/>
                <w:bCs/>
                <w:color w:val="000000"/>
                <w:szCs w:val="21"/>
              </w:rPr>
            </w:pPr>
            <w:r>
              <w:rPr>
                <w:rFonts w:hint="eastAsia" w:ascii="宋体" w:hAnsi="宋体"/>
                <w:b/>
                <w:bCs/>
                <w:color w:val="000000"/>
                <w:szCs w:val="21"/>
              </w:rPr>
              <w:t>直接经济损失</w:t>
            </w:r>
          </w:p>
        </w:tc>
        <w:tc>
          <w:tcPr>
            <w:tcW w:w="791" w:type="dxa"/>
            <w:vMerge w:val="continue"/>
            <w:vAlign w:val="center"/>
          </w:tcPr>
          <w:p>
            <w:pPr>
              <w:widowControl/>
              <w:jc w:val="left"/>
              <w:rPr>
                <w:rFonts w:ascii="宋体" w:hAnsi="宋体"/>
                <w:color w:val="000000"/>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510" w:type="dxa"/>
            <w:vAlign w:val="center"/>
          </w:tcPr>
          <w:p>
            <w:pPr>
              <w:snapToGrid w:val="0"/>
              <w:jc w:val="center"/>
              <w:rPr>
                <w:rFonts w:ascii="宋体" w:hAnsi="宋体"/>
                <w:color w:val="000000"/>
                <w:szCs w:val="21"/>
              </w:rPr>
            </w:pPr>
            <w:r>
              <w:rPr>
                <w:rFonts w:hint="eastAsia" w:ascii="宋体" w:hAnsi="宋体"/>
                <w:color w:val="000000"/>
                <w:szCs w:val="21"/>
              </w:rPr>
              <w:t>1</w:t>
            </w:r>
          </w:p>
        </w:tc>
        <w:tc>
          <w:tcPr>
            <w:tcW w:w="1742" w:type="dxa"/>
            <w:vAlign w:val="center"/>
          </w:tcPr>
          <w:p>
            <w:pPr>
              <w:snapToGrid w:val="0"/>
              <w:jc w:val="center"/>
              <w:rPr>
                <w:rFonts w:ascii="宋体" w:hAnsi="宋体"/>
                <w:color w:val="000000"/>
                <w:szCs w:val="21"/>
              </w:rPr>
            </w:pPr>
            <w:r>
              <w:rPr>
                <w:rFonts w:hint="eastAsia" w:ascii="宋体" w:hAnsi="宋体"/>
                <w:color w:val="000000"/>
                <w:szCs w:val="21"/>
              </w:rPr>
              <w:t>≥30</w:t>
            </w:r>
          </w:p>
        </w:tc>
        <w:tc>
          <w:tcPr>
            <w:tcW w:w="3483" w:type="dxa"/>
            <w:vAlign w:val="center"/>
          </w:tcPr>
          <w:p>
            <w:pPr>
              <w:snapToGrid w:val="0"/>
              <w:jc w:val="center"/>
              <w:rPr>
                <w:rFonts w:ascii="宋体" w:hAnsi="宋体"/>
                <w:color w:val="000000"/>
                <w:szCs w:val="21"/>
              </w:rPr>
            </w:pPr>
            <w:r>
              <w:rPr>
                <w:rFonts w:hint="eastAsia" w:ascii="宋体" w:hAnsi="宋体"/>
                <w:color w:val="000000"/>
                <w:szCs w:val="21"/>
              </w:rPr>
              <w:t>≥100</w:t>
            </w:r>
          </w:p>
        </w:tc>
        <w:tc>
          <w:tcPr>
            <w:tcW w:w="2534" w:type="dxa"/>
            <w:vAlign w:val="center"/>
          </w:tcPr>
          <w:p>
            <w:pPr>
              <w:snapToGrid w:val="0"/>
              <w:jc w:val="center"/>
              <w:rPr>
                <w:rFonts w:ascii="宋体" w:hAnsi="宋体"/>
                <w:color w:val="000000"/>
                <w:szCs w:val="21"/>
              </w:rPr>
            </w:pPr>
            <w:r>
              <w:rPr>
                <w:rFonts w:hint="eastAsia" w:ascii="宋体" w:hAnsi="宋体"/>
                <w:color w:val="000000"/>
                <w:szCs w:val="21"/>
              </w:rPr>
              <w:t>≥1亿元</w:t>
            </w:r>
          </w:p>
        </w:tc>
        <w:tc>
          <w:tcPr>
            <w:tcW w:w="791" w:type="dxa"/>
            <w:vAlign w:val="center"/>
          </w:tcPr>
          <w:p>
            <w:pPr>
              <w:snapToGrid w:val="0"/>
              <w:jc w:val="center"/>
              <w:rPr>
                <w:rFonts w:ascii="宋体" w:hAnsi="宋体"/>
                <w:color w:val="000000"/>
                <w:szCs w:val="21"/>
              </w:rPr>
            </w:pPr>
            <w:r>
              <w:rPr>
                <w:rFonts w:hint="eastAsia" w:ascii="宋体" w:hAnsi="宋体"/>
                <w:color w:val="000000"/>
                <w:szCs w:val="21"/>
              </w:rPr>
              <w:t>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510" w:type="dxa"/>
            <w:vAlign w:val="center"/>
          </w:tcPr>
          <w:p>
            <w:pPr>
              <w:snapToGrid w:val="0"/>
              <w:jc w:val="center"/>
              <w:rPr>
                <w:rFonts w:ascii="宋体" w:hAnsi="宋体"/>
                <w:color w:val="000000"/>
                <w:szCs w:val="21"/>
              </w:rPr>
            </w:pPr>
            <w:r>
              <w:rPr>
                <w:rFonts w:hint="eastAsia" w:ascii="宋体" w:hAnsi="宋体"/>
                <w:color w:val="000000"/>
                <w:szCs w:val="21"/>
              </w:rPr>
              <w:t>2</w:t>
            </w:r>
          </w:p>
        </w:tc>
        <w:tc>
          <w:tcPr>
            <w:tcW w:w="1742" w:type="dxa"/>
            <w:vAlign w:val="center"/>
          </w:tcPr>
          <w:p>
            <w:pPr>
              <w:snapToGrid w:val="0"/>
              <w:jc w:val="center"/>
              <w:rPr>
                <w:rFonts w:ascii="宋体" w:hAnsi="宋体"/>
                <w:color w:val="000000"/>
                <w:szCs w:val="21"/>
              </w:rPr>
            </w:pPr>
            <w:r>
              <w:rPr>
                <w:rFonts w:hint="eastAsia" w:ascii="宋体" w:hAnsi="宋体"/>
                <w:color w:val="000000"/>
                <w:szCs w:val="21"/>
              </w:rPr>
              <w:t>≥10、＜30</w:t>
            </w:r>
          </w:p>
        </w:tc>
        <w:tc>
          <w:tcPr>
            <w:tcW w:w="3483" w:type="dxa"/>
            <w:vAlign w:val="center"/>
          </w:tcPr>
          <w:p>
            <w:pPr>
              <w:snapToGrid w:val="0"/>
              <w:jc w:val="center"/>
              <w:rPr>
                <w:rFonts w:ascii="宋体" w:hAnsi="宋体"/>
                <w:color w:val="000000"/>
                <w:szCs w:val="21"/>
              </w:rPr>
            </w:pPr>
            <w:r>
              <w:rPr>
                <w:rFonts w:hint="eastAsia" w:ascii="宋体" w:hAnsi="宋体"/>
                <w:color w:val="000000"/>
                <w:szCs w:val="21"/>
              </w:rPr>
              <w:t>≥50、＜100</w:t>
            </w:r>
          </w:p>
        </w:tc>
        <w:tc>
          <w:tcPr>
            <w:tcW w:w="2534" w:type="dxa"/>
            <w:vAlign w:val="center"/>
          </w:tcPr>
          <w:p>
            <w:pPr>
              <w:snapToGrid w:val="0"/>
              <w:jc w:val="center"/>
              <w:rPr>
                <w:rFonts w:ascii="宋体" w:hAnsi="宋体"/>
                <w:color w:val="000000"/>
                <w:szCs w:val="21"/>
              </w:rPr>
            </w:pPr>
            <w:r>
              <w:rPr>
                <w:rFonts w:hint="eastAsia" w:ascii="宋体" w:hAnsi="宋体"/>
                <w:color w:val="000000"/>
                <w:szCs w:val="21"/>
              </w:rPr>
              <w:t>≥5千万、＜1亿元</w:t>
            </w:r>
          </w:p>
        </w:tc>
        <w:tc>
          <w:tcPr>
            <w:tcW w:w="791" w:type="dxa"/>
            <w:vAlign w:val="center"/>
          </w:tcPr>
          <w:p>
            <w:pPr>
              <w:snapToGrid w:val="0"/>
              <w:jc w:val="center"/>
              <w:rPr>
                <w:rFonts w:ascii="宋体" w:hAnsi="宋体"/>
                <w:color w:val="000000"/>
                <w:szCs w:val="21"/>
              </w:rPr>
            </w:pPr>
            <w:r>
              <w:rPr>
                <w:rFonts w:hint="eastAsia" w:ascii="宋体" w:hAnsi="宋体"/>
                <w:color w:val="000000"/>
                <w:szCs w:val="21"/>
              </w:rPr>
              <w:t>Ⅱ</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2" w:hRule="atLeast"/>
          <w:jc w:val="center"/>
        </w:trPr>
        <w:tc>
          <w:tcPr>
            <w:tcW w:w="510" w:type="dxa"/>
            <w:vAlign w:val="center"/>
          </w:tcPr>
          <w:p>
            <w:pPr>
              <w:snapToGrid w:val="0"/>
              <w:jc w:val="center"/>
              <w:rPr>
                <w:rFonts w:ascii="宋体" w:hAnsi="宋体"/>
                <w:color w:val="000000"/>
                <w:szCs w:val="21"/>
              </w:rPr>
            </w:pPr>
            <w:r>
              <w:rPr>
                <w:rFonts w:hint="eastAsia" w:ascii="宋体" w:hAnsi="宋体"/>
                <w:color w:val="000000"/>
                <w:szCs w:val="21"/>
              </w:rPr>
              <w:t>3</w:t>
            </w:r>
          </w:p>
        </w:tc>
        <w:tc>
          <w:tcPr>
            <w:tcW w:w="1742" w:type="dxa"/>
            <w:vAlign w:val="center"/>
          </w:tcPr>
          <w:p>
            <w:pPr>
              <w:snapToGrid w:val="0"/>
              <w:jc w:val="center"/>
              <w:rPr>
                <w:rFonts w:ascii="宋体" w:hAnsi="宋体"/>
                <w:color w:val="000000"/>
                <w:szCs w:val="21"/>
              </w:rPr>
            </w:pPr>
            <w:r>
              <w:rPr>
                <w:rFonts w:hint="eastAsia" w:ascii="宋体" w:hAnsi="宋体"/>
                <w:color w:val="000000"/>
                <w:szCs w:val="21"/>
              </w:rPr>
              <w:t>≥3、＜10</w:t>
            </w:r>
          </w:p>
        </w:tc>
        <w:tc>
          <w:tcPr>
            <w:tcW w:w="3483" w:type="dxa"/>
            <w:vAlign w:val="center"/>
          </w:tcPr>
          <w:p>
            <w:pPr>
              <w:snapToGrid w:val="0"/>
              <w:jc w:val="center"/>
              <w:rPr>
                <w:rFonts w:ascii="宋体" w:hAnsi="宋体"/>
                <w:color w:val="000000"/>
                <w:szCs w:val="21"/>
              </w:rPr>
            </w:pPr>
            <w:r>
              <w:rPr>
                <w:rFonts w:hint="eastAsia" w:ascii="宋体" w:hAnsi="宋体"/>
                <w:color w:val="000000"/>
                <w:szCs w:val="21"/>
              </w:rPr>
              <w:t>≥10、＜50</w:t>
            </w:r>
          </w:p>
        </w:tc>
        <w:tc>
          <w:tcPr>
            <w:tcW w:w="2534" w:type="dxa"/>
            <w:vAlign w:val="center"/>
          </w:tcPr>
          <w:p>
            <w:pPr>
              <w:snapToGrid w:val="0"/>
              <w:jc w:val="center"/>
              <w:rPr>
                <w:rFonts w:ascii="宋体" w:hAnsi="宋体"/>
                <w:color w:val="000000"/>
                <w:szCs w:val="21"/>
              </w:rPr>
            </w:pPr>
            <w:r>
              <w:rPr>
                <w:rFonts w:hint="eastAsia" w:ascii="宋体" w:hAnsi="宋体"/>
                <w:color w:val="000000"/>
                <w:szCs w:val="21"/>
              </w:rPr>
              <w:t>≥1千万、＜5千万</w:t>
            </w:r>
          </w:p>
        </w:tc>
        <w:tc>
          <w:tcPr>
            <w:tcW w:w="791" w:type="dxa"/>
            <w:vAlign w:val="center"/>
          </w:tcPr>
          <w:p>
            <w:pPr>
              <w:snapToGrid w:val="0"/>
              <w:jc w:val="center"/>
              <w:rPr>
                <w:rFonts w:ascii="宋体" w:hAnsi="宋体"/>
                <w:color w:val="000000"/>
                <w:szCs w:val="21"/>
              </w:rPr>
            </w:pPr>
            <w:r>
              <w:rPr>
                <w:rFonts w:hint="eastAsia" w:ascii="宋体" w:hAnsi="宋体"/>
                <w:color w:val="000000"/>
                <w:szCs w:val="21"/>
              </w:rPr>
              <w:t>Ⅲ</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510" w:type="dxa"/>
            <w:vAlign w:val="center"/>
          </w:tcPr>
          <w:p>
            <w:pPr>
              <w:snapToGrid w:val="0"/>
              <w:jc w:val="center"/>
              <w:rPr>
                <w:rFonts w:ascii="宋体" w:hAnsi="宋体"/>
                <w:color w:val="000000"/>
                <w:szCs w:val="21"/>
              </w:rPr>
            </w:pPr>
            <w:r>
              <w:rPr>
                <w:rFonts w:hint="eastAsia" w:ascii="宋体" w:hAnsi="宋体"/>
                <w:color w:val="000000"/>
                <w:szCs w:val="21"/>
              </w:rPr>
              <w:t>4</w:t>
            </w:r>
          </w:p>
        </w:tc>
        <w:tc>
          <w:tcPr>
            <w:tcW w:w="1742" w:type="dxa"/>
            <w:vAlign w:val="center"/>
          </w:tcPr>
          <w:p>
            <w:pPr>
              <w:snapToGrid w:val="0"/>
              <w:jc w:val="center"/>
              <w:rPr>
                <w:rFonts w:ascii="宋体" w:hAnsi="宋体"/>
                <w:color w:val="000000"/>
                <w:szCs w:val="21"/>
              </w:rPr>
            </w:pPr>
            <w:r>
              <w:rPr>
                <w:rFonts w:hint="eastAsia" w:ascii="宋体" w:hAnsi="宋体"/>
                <w:color w:val="000000"/>
                <w:szCs w:val="21"/>
              </w:rPr>
              <w:t>≥1、＜3</w:t>
            </w:r>
          </w:p>
        </w:tc>
        <w:tc>
          <w:tcPr>
            <w:tcW w:w="3483" w:type="dxa"/>
            <w:vAlign w:val="center"/>
          </w:tcPr>
          <w:p>
            <w:pPr>
              <w:snapToGrid w:val="0"/>
              <w:jc w:val="center"/>
              <w:rPr>
                <w:rFonts w:ascii="宋体" w:hAnsi="宋体"/>
                <w:color w:val="000000"/>
                <w:szCs w:val="21"/>
              </w:rPr>
            </w:pPr>
            <w:r>
              <w:rPr>
                <w:rFonts w:hint="eastAsia" w:ascii="宋体" w:hAnsi="宋体"/>
                <w:color w:val="000000"/>
                <w:szCs w:val="21"/>
              </w:rPr>
              <w:t>＜10</w:t>
            </w:r>
          </w:p>
        </w:tc>
        <w:tc>
          <w:tcPr>
            <w:tcW w:w="2534" w:type="dxa"/>
            <w:vAlign w:val="center"/>
          </w:tcPr>
          <w:p>
            <w:pPr>
              <w:snapToGrid w:val="0"/>
              <w:jc w:val="center"/>
              <w:rPr>
                <w:rFonts w:ascii="宋体" w:hAnsi="宋体"/>
                <w:color w:val="000000"/>
                <w:szCs w:val="21"/>
              </w:rPr>
            </w:pPr>
            <w:r>
              <w:rPr>
                <w:rFonts w:hint="eastAsia" w:ascii="宋体" w:hAnsi="宋体"/>
                <w:color w:val="000000"/>
                <w:szCs w:val="21"/>
              </w:rPr>
              <w:t>＜1千万</w:t>
            </w:r>
          </w:p>
        </w:tc>
        <w:tc>
          <w:tcPr>
            <w:tcW w:w="791" w:type="dxa"/>
            <w:vAlign w:val="center"/>
          </w:tcPr>
          <w:p>
            <w:pPr>
              <w:snapToGrid w:val="0"/>
              <w:jc w:val="center"/>
              <w:rPr>
                <w:rFonts w:ascii="宋体" w:hAnsi="宋体"/>
                <w:color w:val="000000"/>
                <w:szCs w:val="21"/>
              </w:rPr>
            </w:pPr>
            <w:r>
              <w:rPr>
                <w:rFonts w:hint="eastAsia" w:ascii="宋体" w:hAnsi="宋体"/>
                <w:color w:val="000000"/>
                <w:szCs w:val="21"/>
              </w:rPr>
              <w:t>Ⅳ</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510" w:type="dxa"/>
            <w:vAlign w:val="center"/>
          </w:tcPr>
          <w:p>
            <w:pPr>
              <w:snapToGrid w:val="0"/>
              <w:jc w:val="center"/>
              <w:rPr>
                <w:rFonts w:ascii="宋体" w:hAnsi="宋体"/>
                <w:color w:val="000000"/>
                <w:szCs w:val="21"/>
              </w:rPr>
            </w:pPr>
            <w:r>
              <w:rPr>
                <w:rFonts w:hint="eastAsia" w:ascii="宋体" w:hAnsi="宋体"/>
                <w:color w:val="000000"/>
                <w:szCs w:val="21"/>
              </w:rPr>
              <w:t>5</w:t>
            </w:r>
          </w:p>
        </w:tc>
        <w:tc>
          <w:tcPr>
            <w:tcW w:w="1742" w:type="dxa"/>
            <w:vAlign w:val="center"/>
          </w:tcPr>
          <w:p>
            <w:pPr>
              <w:snapToGrid w:val="0"/>
              <w:jc w:val="center"/>
              <w:rPr>
                <w:rFonts w:ascii="宋体" w:hAnsi="宋体"/>
                <w:color w:val="000000"/>
                <w:szCs w:val="21"/>
              </w:rPr>
            </w:pPr>
            <w:r>
              <w:rPr>
                <w:rFonts w:hint="eastAsia" w:ascii="宋体" w:hAnsi="宋体"/>
                <w:color w:val="000000"/>
                <w:szCs w:val="21"/>
              </w:rPr>
              <w:t>＜1</w:t>
            </w:r>
          </w:p>
        </w:tc>
        <w:tc>
          <w:tcPr>
            <w:tcW w:w="3483" w:type="dxa"/>
            <w:vAlign w:val="center"/>
          </w:tcPr>
          <w:p>
            <w:pPr>
              <w:snapToGrid w:val="0"/>
              <w:jc w:val="center"/>
              <w:rPr>
                <w:rFonts w:ascii="宋体" w:hAnsi="宋体"/>
                <w:color w:val="000000"/>
                <w:szCs w:val="21"/>
              </w:rPr>
            </w:pPr>
            <w:r>
              <w:rPr>
                <w:rFonts w:hint="eastAsia" w:ascii="宋体" w:hAnsi="宋体"/>
                <w:color w:val="000000"/>
                <w:szCs w:val="21"/>
              </w:rPr>
              <w:t>＜3</w:t>
            </w:r>
          </w:p>
        </w:tc>
        <w:tc>
          <w:tcPr>
            <w:tcW w:w="2534" w:type="dxa"/>
            <w:vAlign w:val="center"/>
          </w:tcPr>
          <w:p>
            <w:pPr>
              <w:snapToGrid w:val="0"/>
              <w:jc w:val="center"/>
              <w:rPr>
                <w:rFonts w:ascii="宋体" w:hAnsi="宋体"/>
                <w:color w:val="000000"/>
                <w:szCs w:val="21"/>
              </w:rPr>
            </w:pPr>
            <w:r>
              <w:rPr>
                <w:rFonts w:hint="eastAsia" w:ascii="宋体" w:hAnsi="宋体"/>
                <w:color w:val="000000"/>
                <w:szCs w:val="21"/>
              </w:rPr>
              <w:t>＜2百万</w:t>
            </w:r>
          </w:p>
        </w:tc>
        <w:tc>
          <w:tcPr>
            <w:tcW w:w="791" w:type="dxa"/>
            <w:vAlign w:val="center"/>
          </w:tcPr>
          <w:p>
            <w:pPr>
              <w:snapToGrid w:val="0"/>
              <w:jc w:val="center"/>
              <w:rPr>
                <w:rFonts w:ascii="宋体" w:hAnsi="宋体"/>
                <w:color w:val="000000"/>
                <w:szCs w:val="21"/>
              </w:rPr>
            </w:pPr>
            <w:r>
              <w:rPr>
                <w:rFonts w:hint="eastAsia" w:ascii="宋体" w:hAnsi="宋体"/>
                <w:color w:val="000000"/>
                <w:szCs w:val="21"/>
              </w:rPr>
              <w:t>Ⅴ</w:t>
            </w:r>
          </w:p>
        </w:tc>
      </w:tr>
    </w:tbl>
    <w:p>
      <w:pPr>
        <w:ind w:firstLine="200" w:firstLineChars="200"/>
        <w:rPr>
          <w:sz w:val="10"/>
          <w:szCs w:val="10"/>
        </w:rPr>
      </w:pPr>
    </w:p>
    <w:p>
      <w:pPr>
        <w:spacing w:line="360" w:lineRule="auto"/>
        <w:ind w:firstLine="560" w:firstLineChars="200"/>
        <w:rPr>
          <w:sz w:val="28"/>
          <w:szCs w:val="28"/>
        </w:rPr>
      </w:pPr>
      <w:r>
        <w:rPr>
          <w:rFonts w:hint="eastAsia"/>
          <w:sz w:val="28"/>
          <w:szCs w:val="28"/>
        </w:rPr>
        <w:t>（</w:t>
      </w:r>
      <w:r>
        <w:rPr>
          <w:sz w:val="28"/>
          <w:szCs w:val="28"/>
        </w:rPr>
        <w:t>2</w:t>
      </w:r>
      <w:r>
        <w:rPr>
          <w:rFonts w:hint="eastAsia"/>
          <w:sz w:val="28"/>
          <w:szCs w:val="28"/>
        </w:rPr>
        <w:t>）分级响应</w:t>
      </w:r>
    </w:p>
    <w:p>
      <w:pPr>
        <w:spacing w:line="360" w:lineRule="auto"/>
        <w:ind w:firstLine="560" w:firstLineChars="200"/>
        <w:rPr>
          <w:sz w:val="28"/>
          <w:szCs w:val="28"/>
        </w:rPr>
      </w:pPr>
      <w:r>
        <w:rPr>
          <w:rFonts w:hint="eastAsia"/>
          <w:sz w:val="28"/>
          <w:szCs w:val="28"/>
        </w:rPr>
        <w:t>分级响应见下表</w:t>
      </w:r>
      <w:r>
        <w:rPr>
          <w:sz w:val="28"/>
          <w:szCs w:val="28"/>
        </w:rPr>
        <w:t>4-2</w:t>
      </w:r>
      <w:r>
        <w:rPr>
          <w:rFonts w:hint="eastAsia"/>
          <w:sz w:val="28"/>
          <w:szCs w:val="28"/>
        </w:rPr>
        <w:t>。</w:t>
      </w:r>
    </w:p>
    <w:p>
      <w:pPr>
        <w:spacing w:line="360" w:lineRule="auto"/>
        <w:jc w:val="center"/>
        <w:rPr>
          <w:b/>
          <w:bCs/>
          <w:sz w:val="24"/>
        </w:rPr>
      </w:pPr>
      <w:r>
        <w:rPr>
          <w:rFonts w:hint="eastAsia"/>
          <w:b/>
          <w:bCs/>
          <w:sz w:val="24"/>
        </w:rPr>
        <w:t>表</w:t>
      </w:r>
      <w:r>
        <w:rPr>
          <w:b/>
          <w:bCs/>
          <w:sz w:val="24"/>
        </w:rPr>
        <w:t xml:space="preserve">4-2  </w:t>
      </w:r>
      <w:r>
        <w:rPr>
          <w:rFonts w:hint="eastAsia"/>
          <w:b/>
          <w:bCs/>
          <w:sz w:val="24"/>
        </w:rPr>
        <w:t>分级响应</w:t>
      </w:r>
    </w:p>
    <w:tbl>
      <w:tblPr>
        <w:tblStyle w:val="12"/>
        <w:tblW w:w="906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119"/>
        <w:gridCol w:w="794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35" w:hRule="atLeast"/>
          <w:jc w:val="center"/>
        </w:trPr>
        <w:tc>
          <w:tcPr>
            <w:tcW w:w="1119" w:type="dxa"/>
            <w:vAlign w:val="center"/>
          </w:tcPr>
          <w:p>
            <w:pPr>
              <w:snapToGrid w:val="0"/>
              <w:spacing w:line="360" w:lineRule="auto"/>
              <w:jc w:val="center"/>
              <w:rPr>
                <w:rFonts w:ascii="宋体" w:hAnsi="宋体"/>
                <w:b/>
                <w:bCs/>
                <w:color w:val="000000"/>
                <w:szCs w:val="21"/>
              </w:rPr>
            </w:pPr>
            <w:r>
              <w:rPr>
                <w:rFonts w:hint="eastAsia" w:ascii="宋体" w:hAnsi="宋体"/>
                <w:b/>
                <w:bCs/>
                <w:color w:val="000000"/>
                <w:szCs w:val="21"/>
              </w:rPr>
              <w:t>响应分级</w:t>
            </w:r>
          </w:p>
        </w:tc>
        <w:tc>
          <w:tcPr>
            <w:tcW w:w="7941" w:type="dxa"/>
            <w:vAlign w:val="center"/>
          </w:tcPr>
          <w:p>
            <w:pPr>
              <w:snapToGrid w:val="0"/>
              <w:spacing w:line="360" w:lineRule="auto"/>
              <w:jc w:val="center"/>
              <w:rPr>
                <w:rFonts w:ascii="宋体" w:hAnsi="宋体"/>
                <w:b/>
                <w:bCs/>
                <w:color w:val="000000"/>
                <w:szCs w:val="21"/>
              </w:rPr>
            </w:pPr>
            <w:r>
              <w:rPr>
                <w:rFonts w:hint="eastAsia" w:ascii="宋体" w:hAnsi="宋体"/>
                <w:b/>
                <w:bCs/>
                <w:color w:val="000000"/>
                <w:szCs w:val="21"/>
              </w:rPr>
              <w:t>响应</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669" w:hRule="atLeast"/>
          <w:jc w:val="center"/>
        </w:trPr>
        <w:tc>
          <w:tcPr>
            <w:tcW w:w="1119" w:type="dxa"/>
            <w:vAlign w:val="center"/>
          </w:tcPr>
          <w:p>
            <w:pPr>
              <w:snapToGrid w:val="0"/>
              <w:spacing w:line="360" w:lineRule="auto"/>
              <w:jc w:val="center"/>
              <w:rPr>
                <w:rFonts w:ascii="宋体" w:hAnsi="宋体"/>
                <w:color w:val="000000"/>
                <w:szCs w:val="21"/>
              </w:rPr>
            </w:pPr>
            <w:r>
              <w:rPr>
                <w:rFonts w:hint="eastAsia" w:ascii="宋体" w:hAnsi="宋体"/>
                <w:color w:val="000000"/>
                <w:szCs w:val="21"/>
              </w:rPr>
              <w:t>Ⅰ</w:t>
            </w:r>
          </w:p>
        </w:tc>
        <w:tc>
          <w:tcPr>
            <w:tcW w:w="7941" w:type="dxa"/>
            <w:vAlign w:val="center"/>
          </w:tcPr>
          <w:p>
            <w:pPr>
              <w:pStyle w:val="18"/>
              <w:tabs>
                <w:tab w:val="left" w:pos="3780"/>
                <w:tab w:val="right" w:pos="8306"/>
              </w:tabs>
              <w:spacing w:line="360" w:lineRule="auto"/>
              <w:rPr>
                <w:rFonts w:ascii="宋体" w:hAnsi="宋体" w:cs="宋体"/>
                <w:color w:val="000000"/>
                <w:sz w:val="21"/>
                <w:szCs w:val="21"/>
              </w:rPr>
            </w:pPr>
            <w:r>
              <w:rPr>
                <w:rFonts w:hint="eastAsia" w:ascii="宋体" w:hAnsi="宋体" w:cs="宋体"/>
                <w:color w:val="000000"/>
                <w:sz w:val="21"/>
                <w:szCs w:val="21"/>
              </w:rPr>
              <w:t>①应急响应行动由国家安全生产监督管理总局组织实施；</w:t>
            </w:r>
          </w:p>
          <w:p>
            <w:pPr>
              <w:pStyle w:val="18"/>
              <w:tabs>
                <w:tab w:val="left" w:pos="3780"/>
                <w:tab w:val="right" w:pos="8306"/>
              </w:tabs>
              <w:spacing w:line="360" w:lineRule="auto"/>
              <w:rPr>
                <w:rFonts w:ascii="宋体" w:hAnsi="宋体" w:cs="宋体"/>
                <w:color w:val="000000"/>
                <w:sz w:val="21"/>
                <w:szCs w:val="21"/>
              </w:rPr>
            </w:pPr>
            <w:r>
              <w:rPr>
                <w:rFonts w:hint="eastAsia" w:ascii="宋体" w:hAnsi="宋体" w:cs="宋体"/>
                <w:color w:val="000000"/>
                <w:sz w:val="21"/>
                <w:szCs w:val="21"/>
              </w:rPr>
              <w:t>②江苏省、苏州市、太仓市安全生产监督管理局按相应应急预案全力组织救援。</w:t>
            </w:r>
          </w:p>
          <w:p>
            <w:pPr>
              <w:pStyle w:val="18"/>
              <w:tabs>
                <w:tab w:val="left" w:pos="3780"/>
                <w:tab w:val="right" w:pos="8306"/>
              </w:tabs>
              <w:spacing w:line="360" w:lineRule="auto"/>
              <w:rPr>
                <w:rFonts w:ascii="宋体" w:hAnsi="宋体" w:cs="宋体"/>
                <w:color w:val="000000"/>
                <w:sz w:val="21"/>
                <w:szCs w:val="21"/>
              </w:rPr>
            </w:pPr>
            <w:r>
              <w:rPr>
                <w:rFonts w:hint="eastAsia" w:ascii="宋体" w:hAnsi="宋体" w:cs="宋体"/>
                <w:color w:val="000000"/>
                <w:sz w:val="21"/>
                <w:szCs w:val="21"/>
              </w:rPr>
              <w:t>③事故发生后，城厢镇安委会立即启动预案开展前期救援，其他高级别应急救援预案启动后，立即向其移交指挥权，并听从统一指挥，协助做好应急工作。</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3" w:hRule="atLeast"/>
          <w:jc w:val="center"/>
        </w:trPr>
        <w:tc>
          <w:tcPr>
            <w:tcW w:w="1119" w:type="dxa"/>
            <w:vAlign w:val="center"/>
          </w:tcPr>
          <w:p>
            <w:pPr>
              <w:snapToGrid w:val="0"/>
              <w:spacing w:line="360" w:lineRule="auto"/>
              <w:jc w:val="center"/>
              <w:rPr>
                <w:rFonts w:ascii="宋体" w:hAnsi="宋体"/>
                <w:color w:val="000000"/>
                <w:szCs w:val="21"/>
              </w:rPr>
            </w:pPr>
            <w:r>
              <w:rPr>
                <w:rFonts w:hint="eastAsia" w:ascii="宋体" w:hAnsi="宋体"/>
                <w:color w:val="000000"/>
                <w:szCs w:val="21"/>
              </w:rPr>
              <w:t>Ⅱ</w:t>
            </w:r>
          </w:p>
        </w:tc>
        <w:tc>
          <w:tcPr>
            <w:tcW w:w="7941" w:type="dxa"/>
            <w:vAlign w:val="center"/>
          </w:tcPr>
          <w:p>
            <w:pPr>
              <w:pStyle w:val="18"/>
              <w:tabs>
                <w:tab w:val="left" w:pos="3780"/>
                <w:tab w:val="right" w:pos="8306"/>
              </w:tabs>
              <w:spacing w:line="360" w:lineRule="auto"/>
              <w:rPr>
                <w:rFonts w:ascii="宋体" w:hAnsi="宋体" w:cs="宋体"/>
                <w:color w:val="000000"/>
                <w:sz w:val="21"/>
                <w:szCs w:val="21"/>
              </w:rPr>
            </w:pPr>
            <w:r>
              <w:rPr>
                <w:rFonts w:hint="eastAsia" w:ascii="宋体" w:hAnsi="宋体" w:cs="宋体"/>
                <w:color w:val="000000"/>
                <w:sz w:val="21"/>
                <w:szCs w:val="21"/>
              </w:rPr>
              <w:t>①应急响应行动由江苏省安全生产监督管理局组织实施；</w:t>
            </w:r>
          </w:p>
          <w:p>
            <w:pPr>
              <w:pStyle w:val="18"/>
              <w:tabs>
                <w:tab w:val="left" w:pos="3780"/>
                <w:tab w:val="right" w:pos="8306"/>
              </w:tabs>
              <w:spacing w:line="360" w:lineRule="auto"/>
              <w:rPr>
                <w:rFonts w:ascii="宋体" w:hAnsi="宋体" w:cs="宋体"/>
                <w:color w:val="000000"/>
                <w:sz w:val="21"/>
                <w:szCs w:val="21"/>
              </w:rPr>
            </w:pPr>
            <w:r>
              <w:rPr>
                <w:rFonts w:hint="eastAsia" w:ascii="宋体" w:hAnsi="宋体" w:cs="宋体"/>
                <w:color w:val="000000"/>
                <w:sz w:val="21"/>
                <w:szCs w:val="21"/>
              </w:rPr>
              <w:t>②苏州市、太仓市安全生产监督管理局按相应应急预案全力组织救援。</w:t>
            </w:r>
          </w:p>
          <w:p>
            <w:pPr>
              <w:pStyle w:val="18"/>
              <w:tabs>
                <w:tab w:val="left" w:pos="3780"/>
                <w:tab w:val="right" w:pos="8306"/>
              </w:tabs>
              <w:spacing w:line="360" w:lineRule="auto"/>
              <w:rPr>
                <w:rFonts w:ascii="宋体" w:hAnsi="宋体" w:cs="宋体"/>
                <w:color w:val="000000"/>
                <w:sz w:val="21"/>
                <w:szCs w:val="21"/>
              </w:rPr>
            </w:pPr>
            <w:r>
              <w:rPr>
                <w:rFonts w:hint="eastAsia" w:ascii="宋体" w:hAnsi="宋体" w:cs="宋体"/>
                <w:color w:val="000000"/>
                <w:sz w:val="21"/>
                <w:szCs w:val="21"/>
              </w:rPr>
              <w:t>③事故发生后，城厢镇安委会立即启动预案开展前期救援，其他高级别应急救援预案启动后，立即向其移交指挥权，并听从统一指挥，协助做好应急工作。</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69" w:hRule="atLeast"/>
          <w:jc w:val="center"/>
        </w:trPr>
        <w:tc>
          <w:tcPr>
            <w:tcW w:w="1119" w:type="dxa"/>
            <w:vAlign w:val="center"/>
          </w:tcPr>
          <w:p>
            <w:pPr>
              <w:snapToGrid w:val="0"/>
              <w:spacing w:line="360" w:lineRule="auto"/>
              <w:jc w:val="center"/>
              <w:rPr>
                <w:rFonts w:ascii="宋体" w:hAnsi="宋体"/>
                <w:color w:val="000000"/>
                <w:szCs w:val="21"/>
              </w:rPr>
            </w:pPr>
            <w:r>
              <w:rPr>
                <w:rFonts w:hint="eastAsia" w:ascii="宋体" w:hAnsi="宋体"/>
                <w:color w:val="000000"/>
                <w:szCs w:val="21"/>
              </w:rPr>
              <w:t>Ⅲ</w:t>
            </w:r>
          </w:p>
        </w:tc>
        <w:tc>
          <w:tcPr>
            <w:tcW w:w="7941" w:type="dxa"/>
            <w:vAlign w:val="center"/>
          </w:tcPr>
          <w:p>
            <w:pPr>
              <w:pStyle w:val="18"/>
              <w:tabs>
                <w:tab w:val="left" w:pos="3780"/>
                <w:tab w:val="right" w:pos="8306"/>
              </w:tabs>
              <w:spacing w:line="360" w:lineRule="auto"/>
              <w:rPr>
                <w:rFonts w:ascii="宋体" w:hAnsi="宋体" w:cs="宋体"/>
                <w:color w:val="000000"/>
                <w:sz w:val="21"/>
                <w:szCs w:val="21"/>
              </w:rPr>
            </w:pPr>
            <w:r>
              <w:rPr>
                <w:rFonts w:hint="eastAsia" w:ascii="宋体" w:hAnsi="宋体" w:cs="宋体"/>
                <w:color w:val="000000"/>
                <w:sz w:val="21"/>
                <w:szCs w:val="21"/>
              </w:rPr>
              <w:t>①应急响应行动由苏州市安全生产监督管理局组织实施；</w:t>
            </w:r>
          </w:p>
          <w:p>
            <w:pPr>
              <w:pStyle w:val="18"/>
              <w:tabs>
                <w:tab w:val="left" w:pos="3780"/>
                <w:tab w:val="right" w:pos="8306"/>
              </w:tabs>
              <w:spacing w:line="360" w:lineRule="auto"/>
              <w:rPr>
                <w:rFonts w:ascii="宋体" w:hAnsi="宋体" w:cs="宋体"/>
                <w:color w:val="000000"/>
                <w:sz w:val="21"/>
                <w:szCs w:val="21"/>
              </w:rPr>
            </w:pPr>
            <w:r>
              <w:rPr>
                <w:rFonts w:hint="eastAsia" w:ascii="宋体" w:hAnsi="宋体" w:cs="宋体"/>
                <w:color w:val="000000"/>
                <w:sz w:val="21"/>
                <w:szCs w:val="21"/>
              </w:rPr>
              <w:t>②太仓市安全生产监督管理局按相应应急预案全力组织救援。</w:t>
            </w:r>
          </w:p>
          <w:p>
            <w:pPr>
              <w:pStyle w:val="18"/>
              <w:tabs>
                <w:tab w:val="left" w:pos="3780"/>
                <w:tab w:val="right" w:pos="8306"/>
              </w:tabs>
              <w:spacing w:line="360" w:lineRule="auto"/>
              <w:rPr>
                <w:rFonts w:ascii="宋体" w:hAnsi="宋体" w:cs="宋体"/>
                <w:color w:val="000000"/>
                <w:sz w:val="21"/>
                <w:szCs w:val="21"/>
              </w:rPr>
            </w:pPr>
            <w:r>
              <w:rPr>
                <w:rFonts w:hint="eastAsia" w:ascii="宋体" w:hAnsi="宋体" w:cs="宋体"/>
                <w:color w:val="000000"/>
                <w:sz w:val="21"/>
                <w:szCs w:val="21"/>
              </w:rPr>
              <w:t>③事故发生后，城厢镇安委会立即启动预案开展前期救援，其他高级别应急救援预案启动后，立即向其移交指挥权，并听从统一指挥，协助做好应急工作。</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3" w:hRule="atLeast"/>
          <w:jc w:val="center"/>
        </w:trPr>
        <w:tc>
          <w:tcPr>
            <w:tcW w:w="1119" w:type="dxa"/>
            <w:vAlign w:val="center"/>
          </w:tcPr>
          <w:p>
            <w:pPr>
              <w:snapToGrid w:val="0"/>
              <w:spacing w:line="360" w:lineRule="auto"/>
              <w:jc w:val="center"/>
              <w:rPr>
                <w:rFonts w:ascii="宋体" w:hAnsi="宋体"/>
                <w:color w:val="000000"/>
                <w:szCs w:val="21"/>
              </w:rPr>
            </w:pPr>
            <w:r>
              <w:rPr>
                <w:rFonts w:hint="eastAsia" w:ascii="宋体" w:hAnsi="宋体"/>
                <w:color w:val="000000"/>
                <w:szCs w:val="21"/>
              </w:rPr>
              <w:t>Ⅳ</w:t>
            </w:r>
          </w:p>
        </w:tc>
        <w:tc>
          <w:tcPr>
            <w:tcW w:w="7941" w:type="dxa"/>
            <w:vAlign w:val="center"/>
          </w:tcPr>
          <w:p>
            <w:pPr>
              <w:pStyle w:val="18"/>
              <w:tabs>
                <w:tab w:val="left" w:pos="3780"/>
                <w:tab w:val="right" w:pos="8306"/>
              </w:tabs>
              <w:spacing w:line="360" w:lineRule="auto"/>
              <w:rPr>
                <w:rFonts w:ascii="宋体" w:hAnsi="宋体" w:cs="宋体"/>
                <w:color w:val="000000"/>
                <w:sz w:val="21"/>
                <w:szCs w:val="21"/>
              </w:rPr>
            </w:pPr>
            <w:r>
              <w:rPr>
                <w:rFonts w:hint="eastAsia" w:ascii="宋体" w:hAnsi="宋体" w:cs="宋体"/>
                <w:color w:val="000000"/>
                <w:sz w:val="21"/>
                <w:szCs w:val="21"/>
              </w:rPr>
              <w:t>①应急响应行动由太仓市安全生产监督管理局组织实施；</w:t>
            </w:r>
          </w:p>
          <w:p>
            <w:pPr>
              <w:pStyle w:val="18"/>
              <w:tabs>
                <w:tab w:val="left" w:pos="3780"/>
                <w:tab w:val="right" w:pos="8306"/>
              </w:tabs>
              <w:spacing w:line="360" w:lineRule="auto"/>
              <w:rPr>
                <w:rFonts w:ascii="宋体" w:hAnsi="宋体" w:cs="宋体"/>
                <w:color w:val="000000"/>
                <w:sz w:val="21"/>
                <w:szCs w:val="21"/>
              </w:rPr>
            </w:pPr>
            <w:r>
              <w:rPr>
                <w:rFonts w:hint="eastAsia" w:ascii="宋体" w:hAnsi="宋体" w:cs="宋体"/>
                <w:color w:val="000000"/>
                <w:sz w:val="21"/>
                <w:szCs w:val="21"/>
              </w:rPr>
              <w:t>②事故发生后，城厢镇安委会立即启动预案开展前期救援，太仓市应急救援预案启动后，立即向其移交指挥权，并听从统一指挥，协助做好应急工作。</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8" w:hRule="atLeast"/>
          <w:jc w:val="center"/>
        </w:trPr>
        <w:tc>
          <w:tcPr>
            <w:tcW w:w="1119" w:type="dxa"/>
            <w:vAlign w:val="center"/>
          </w:tcPr>
          <w:p>
            <w:pPr>
              <w:snapToGrid w:val="0"/>
              <w:spacing w:line="360" w:lineRule="auto"/>
              <w:jc w:val="center"/>
              <w:rPr>
                <w:rFonts w:ascii="宋体" w:hAnsi="宋体"/>
                <w:color w:val="000000"/>
                <w:szCs w:val="21"/>
              </w:rPr>
            </w:pPr>
            <w:r>
              <w:rPr>
                <w:rFonts w:hint="eastAsia" w:ascii="宋体" w:hAnsi="宋体"/>
                <w:color w:val="000000"/>
                <w:szCs w:val="21"/>
              </w:rPr>
              <w:t>Ⅴ</w:t>
            </w:r>
          </w:p>
        </w:tc>
        <w:tc>
          <w:tcPr>
            <w:tcW w:w="7941" w:type="dxa"/>
            <w:vAlign w:val="center"/>
          </w:tcPr>
          <w:p>
            <w:pPr>
              <w:pStyle w:val="18"/>
              <w:tabs>
                <w:tab w:val="left" w:pos="3780"/>
                <w:tab w:val="right" w:pos="8306"/>
              </w:tabs>
              <w:spacing w:line="360" w:lineRule="auto"/>
              <w:rPr>
                <w:rFonts w:ascii="宋体" w:hAnsi="宋体" w:cs="宋体"/>
                <w:color w:val="000000"/>
                <w:sz w:val="21"/>
                <w:szCs w:val="21"/>
              </w:rPr>
            </w:pPr>
            <w:r>
              <w:rPr>
                <w:rFonts w:hint="eastAsia" w:ascii="宋体" w:hAnsi="宋体" w:cs="宋体"/>
                <w:color w:val="000000"/>
                <w:sz w:val="21"/>
                <w:szCs w:val="21"/>
              </w:rPr>
              <w:t>①应急响应行动由城厢镇安委会组织实施；</w:t>
            </w:r>
          </w:p>
          <w:p>
            <w:pPr>
              <w:pStyle w:val="18"/>
              <w:tabs>
                <w:tab w:val="left" w:pos="3780"/>
                <w:tab w:val="right" w:pos="8306"/>
              </w:tabs>
              <w:spacing w:line="360" w:lineRule="auto"/>
              <w:rPr>
                <w:rFonts w:ascii="宋体" w:hAnsi="宋体" w:cs="宋体"/>
                <w:color w:val="000000"/>
                <w:sz w:val="21"/>
                <w:szCs w:val="21"/>
              </w:rPr>
            </w:pPr>
            <w:r>
              <w:rPr>
                <w:rFonts w:hint="eastAsia" w:ascii="宋体" w:hAnsi="宋体" w:cs="宋体"/>
                <w:color w:val="000000"/>
                <w:sz w:val="21"/>
                <w:szCs w:val="21"/>
              </w:rPr>
              <w:t>②事发企业按相应应急预案全力组织救援。</w:t>
            </w:r>
          </w:p>
        </w:tc>
      </w:tr>
    </w:tbl>
    <w:p>
      <w:pPr>
        <w:spacing w:line="360" w:lineRule="auto"/>
        <w:jc w:val="center"/>
        <w:rPr>
          <w:b/>
          <w:bCs/>
          <w:sz w:val="24"/>
        </w:rPr>
      </w:pPr>
    </w:p>
    <w:p>
      <w:pPr>
        <w:spacing w:line="360" w:lineRule="auto"/>
        <w:ind w:firstLine="560" w:firstLineChars="200"/>
        <w:outlineLvl w:val="2"/>
        <w:rPr>
          <w:sz w:val="28"/>
          <w:szCs w:val="28"/>
        </w:rPr>
      </w:pPr>
      <w:bookmarkStart w:id="69" w:name="_Toc27122"/>
      <w:bookmarkStart w:id="70" w:name="_Toc7817"/>
      <w:bookmarkStart w:id="71" w:name="_Toc29831"/>
      <w:r>
        <w:rPr>
          <w:sz w:val="28"/>
          <w:szCs w:val="28"/>
        </w:rPr>
        <w:t>4.1</w:t>
      </w:r>
      <w:r>
        <w:rPr>
          <w:rFonts w:hint="eastAsia"/>
          <w:sz w:val="28"/>
          <w:szCs w:val="28"/>
        </w:rPr>
        <w:t>.2</w:t>
      </w:r>
      <w:r>
        <w:rPr>
          <w:sz w:val="28"/>
          <w:szCs w:val="28"/>
        </w:rPr>
        <w:t xml:space="preserve">  </w:t>
      </w:r>
      <w:r>
        <w:rPr>
          <w:rFonts w:hint="eastAsia"/>
          <w:sz w:val="28"/>
          <w:szCs w:val="28"/>
        </w:rPr>
        <w:t>响应程序</w:t>
      </w:r>
      <w:bookmarkEnd w:id="69"/>
      <w:bookmarkEnd w:id="70"/>
      <w:bookmarkEnd w:id="71"/>
    </w:p>
    <w:p>
      <w:pPr>
        <w:spacing w:line="360" w:lineRule="auto"/>
        <w:ind w:firstLine="560" w:firstLineChars="200"/>
        <w:rPr>
          <w:sz w:val="28"/>
          <w:szCs w:val="28"/>
        </w:rPr>
      </w:pPr>
      <w:r>
        <w:rPr>
          <w:rFonts w:hint="eastAsia"/>
          <w:sz w:val="28"/>
          <w:szCs w:val="28"/>
        </w:rPr>
        <w:t>（</w:t>
      </w:r>
      <w:r>
        <w:rPr>
          <w:sz w:val="28"/>
          <w:szCs w:val="28"/>
        </w:rPr>
        <w:t>1</w:t>
      </w:r>
      <w:r>
        <w:rPr>
          <w:rFonts w:hint="eastAsia"/>
          <w:sz w:val="28"/>
          <w:szCs w:val="28"/>
        </w:rPr>
        <w:t>）发生生产安全事故单位主要负责人按照本单位制定的应急救援预案，首先迅速开展应急救援，并按事故类别和等级向本公司或城厢镇安委会报告；</w:t>
      </w:r>
    </w:p>
    <w:p>
      <w:pPr>
        <w:spacing w:line="360" w:lineRule="auto"/>
        <w:ind w:firstLine="560" w:firstLineChars="200"/>
        <w:rPr>
          <w:sz w:val="28"/>
          <w:szCs w:val="28"/>
        </w:rPr>
      </w:pPr>
      <w:r>
        <w:rPr>
          <w:rFonts w:hint="eastAsia"/>
          <w:sz w:val="28"/>
          <w:szCs w:val="28"/>
        </w:rPr>
        <w:t>（</w:t>
      </w:r>
      <w:r>
        <w:rPr>
          <w:sz w:val="28"/>
          <w:szCs w:val="28"/>
        </w:rPr>
        <w:t>2</w:t>
      </w:r>
      <w:r>
        <w:rPr>
          <w:rFonts w:hint="eastAsia"/>
          <w:sz w:val="28"/>
          <w:szCs w:val="28"/>
        </w:rPr>
        <w:t>）安委会接警后，立即进行警情判断、分析应急响应级别，同时报告应急救援总指挥。</w:t>
      </w:r>
    </w:p>
    <w:p>
      <w:pPr>
        <w:spacing w:line="360" w:lineRule="auto"/>
        <w:ind w:firstLine="560" w:firstLineChars="200"/>
        <w:rPr>
          <w:sz w:val="28"/>
          <w:szCs w:val="28"/>
        </w:rPr>
      </w:pPr>
      <w:r>
        <w:rPr>
          <w:rFonts w:hint="eastAsia"/>
          <w:sz w:val="28"/>
          <w:szCs w:val="28"/>
        </w:rPr>
        <w:t>（3）应急救援总指挥根据事故类型及响应级别，决定启动本预案，同时向上级应急救援组织发出预警通知。现场应急救援指挥部及时掌握应急救援动态，根据情况及时调整部署，有效指挥救援工作。</w:t>
      </w:r>
    </w:p>
    <w:p>
      <w:pPr>
        <w:spacing w:line="360" w:lineRule="auto"/>
        <w:ind w:firstLine="560" w:firstLineChars="200"/>
        <w:rPr>
          <w:sz w:val="28"/>
          <w:szCs w:val="28"/>
        </w:rPr>
      </w:pPr>
      <w:r>
        <w:rPr>
          <w:rFonts w:hint="eastAsia"/>
          <w:sz w:val="28"/>
          <w:szCs w:val="28"/>
        </w:rPr>
        <w:t>（4）本应急救援预案启动后，各应急救援小组立即奔赴事故现场，实施救援。贸易、物流企业的事故发生后，科技局主要负责人应立即赶赴现场；工业企业事故发生后，经发局主要负责人应立即赶赴现场；建设项目事故发生后，规划与环境保护局主要负责人应立即赶赴现场。</w:t>
      </w:r>
    </w:p>
    <w:p>
      <w:pPr>
        <w:spacing w:line="360" w:lineRule="auto"/>
        <w:ind w:firstLine="560" w:firstLineChars="200"/>
        <w:rPr>
          <w:sz w:val="28"/>
          <w:szCs w:val="28"/>
        </w:rPr>
      </w:pPr>
      <w:r>
        <w:rPr>
          <w:rFonts w:hint="eastAsia"/>
          <w:sz w:val="28"/>
          <w:szCs w:val="28"/>
        </w:rPr>
        <w:t>（5）赶赴事故现场后，各应急救援小组组根据生产安全事故应急救援预案，在救援指挥部领导下迅速开展救援工作；</w:t>
      </w:r>
    </w:p>
    <w:p>
      <w:pPr>
        <w:spacing w:line="360" w:lineRule="auto"/>
        <w:ind w:firstLine="560" w:firstLineChars="200"/>
        <w:rPr>
          <w:sz w:val="28"/>
          <w:szCs w:val="28"/>
        </w:rPr>
      </w:pPr>
      <w:r>
        <w:rPr>
          <w:rFonts w:hint="eastAsia"/>
          <w:sz w:val="28"/>
          <w:szCs w:val="28"/>
        </w:rPr>
        <w:t>（6）应急救援专家组了解事故单位基本信息及事故发生概况，提出提供事故应急救援方案及应急救援注意事项。</w:t>
      </w:r>
    </w:p>
    <w:p>
      <w:pPr>
        <w:spacing w:line="360" w:lineRule="auto"/>
        <w:ind w:firstLine="560" w:firstLineChars="200"/>
        <w:rPr>
          <w:sz w:val="28"/>
          <w:szCs w:val="28"/>
        </w:rPr>
      </w:pPr>
      <w:r>
        <w:rPr>
          <w:rFonts w:hint="eastAsia"/>
          <w:sz w:val="28"/>
          <w:szCs w:val="28"/>
        </w:rPr>
        <w:t>（7）后勤保障组通知应急物资保管部门，调度车辆运输应急救援器材、物资；对所缺的应急救援器材、物资，与周边单位联系协调供给。</w:t>
      </w:r>
    </w:p>
    <w:p>
      <w:pPr>
        <w:spacing w:line="360" w:lineRule="auto"/>
        <w:ind w:firstLine="560" w:firstLineChars="200"/>
        <w:rPr>
          <w:sz w:val="28"/>
          <w:szCs w:val="28"/>
        </w:rPr>
      </w:pPr>
      <w:r>
        <w:rPr>
          <w:rFonts w:hint="eastAsia"/>
          <w:sz w:val="28"/>
          <w:szCs w:val="28"/>
        </w:rPr>
        <w:t>（8）警戒保卫组勘查事故现场环境，确定安全警戒区、疏散现场人员至集合点、管制外围交通、疏导救援车辆。</w:t>
      </w:r>
    </w:p>
    <w:p>
      <w:pPr>
        <w:spacing w:line="360" w:lineRule="auto"/>
        <w:ind w:firstLine="560" w:firstLineChars="200"/>
        <w:rPr>
          <w:sz w:val="28"/>
          <w:szCs w:val="28"/>
        </w:rPr>
      </w:pPr>
      <w:r>
        <w:rPr>
          <w:rFonts w:hint="eastAsia"/>
          <w:sz w:val="28"/>
          <w:szCs w:val="28"/>
        </w:rPr>
        <w:t>（9）抢险救援组在保证安全的条件下，抢救现场受围、受伤人员；实施堵漏、用沙土覆盖、收容、转移危险泄漏物；对事故现场泄漏物进行消洗处置；对可能造成更大事故已损坏的设备、设施，在采取安全措施前提下进行抢修。</w:t>
      </w:r>
    </w:p>
    <w:p>
      <w:pPr>
        <w:spacing w:line="360" w:lineRule="auto"/>
        <w:ind w:firstLine="560" w:firstLineChars="200"/>
        <w:rPr>
          <w:sz w:val="28"/>
          <w:szCs w:val="28"/>
        </w:rPr>
      </w:pPr>
      <w:r>
        <w:rPr>
          <w:rFonts w:hint="eastAsia"/>
          <w:sz w:val="28"/>
          <w:szCs w:val="28"/>
        </w:rPr>
        <w:t>（10）联系通讯组及时收集事故信息、咨询意见，并向相关方准确、迅速的传递；与现场各组保持联络并向指挥部及时报告，传达指令。</w:t>
      </w:r>
    </w:p>
    <w:p>
      <w:pPr>
        <w:spacing w:line="360" w:lineRule="auto"/>
        <w:ind w:firstLine="560" w:firstLineChars="200"/>
        <w:rPr>
          <w:rFonts w:ascii="宋体" w:hAnsi="宋体"/>
          <w:sz w:val="28"/>
          <w:szCs w:val="28"/>
        </w:rPr>
      </w:pPr>
      <w:r>
        <w:rPr>
          <w:rFonts w:hint="eastAsia"/>
          <w:sz w:val="28"/>
          <w:szCs w:val="28"/>
        </w:rPr>
        <w:t>（11）应急救援工作结束后，</w:t>
      </w:r>
      <w:r>
        <w:rPr>
          <w:rFonts w:hint="eastAsia" w:ascii="宋体" w:hAnsi="宋体"/>
          <w:sz w:val="28"/>
          <w:szCs w:val="28"/>
        </w:rPr>
        <w:t>事故调查组了解企业基本情况及事故发生始末；组织各方面技术力量进行事故原因调查；科学、客观、准确的描述事故发生原因，形成事故调查报告。</w:t>
      </w:r>
    </w:p>
    <w:p>
      <w:pPr>
        <w:spacing w:line="360" w:lineRule="auto"/>
        <w:ind w:firstLine="560" w:firstLineChars="200"/>
        <w:outlineLvl w:val="1"/>
        <w:rPr>
          <w:sz w:val="28"/>
          <w:szCs w:val="28"/>
        </w:rPr>
      </w:pPr>
      <w:bookmarkStart w:id="72" w:name="_Toc23494"/>
      <w:bookmarkStart w:id="73" w:name="_Toc2726"/>
      <w:bookmarkStart w:id="74" w:name="_Toc23778"/>
      <w:r>
        <w:rPr>
          <w:sz w:val="28"/>
          <w:szCs w:val="28"/>
        </w:rPr>
        <w:t xml:space="preserve">4.2  </w:t>
      </w:r>
      <w:r>
        <w:rPr>
          <w:rFonts w:hint="eastAsia"/>
          <w:sz w:val="28"/>
          <w:szCs w:val="28"/>
        </w:rPr>
        <w:t>指挥与协调</w:t>
      </w:r>
      <w:bookmarkEnd w:id="72"/>
      <w:bookmarkEnd w:id="73"/>
      <w:bookmarkEnd w:id="74"/>
    </w:p>
    <w:p>
      <w:pPr>
        <w:spacing w:line="360" w:lineRule="auto"/>
        <w:ind w:firstLine="560" w:firstLineChars="200"/>
        <w:rPr>
          <w:sz w:val="28"/>
          <w:szCs w:val="28"/>
        </w:rPr>
      </w:pPr>
      <w:r>
        <w:rPr>
          <w:rFonts w:hint="eastAsia"/>
          <w:sz w:val="28"/>
          <w:szCs w:val="28"/>
        </w:rPr>
        <w:t>进入应急响应后，城厢镇安委会根据事故情况组织开展应急救援协调工作：</w:t>
      </w:r>
    </w:p>
    <w:p>
      <w:pPr>
        <w:spacing w:line="360" w:lineRule="auto"/>
        <w:ind w:firstLine="560" w:firstLineChars="200"/>
        <w:rPr>
          <w:sz w:val="28"/>
          <w:szCs w:val="28"/>
        </w:rPr>
      </w:pPr>
      <w:r>
        <w:rPr>
          <w:rFonts w:hint="eastAsia"/>
          <w:sz w:val="28"/>
          <w:szCs w:val="28"/>
        </w:rPr>
        <w:t>（1）召集应急救援小组成员到位，组织实施应急救援。责成各有关部门和单位的领导及工作人员按照职责分工，立即开展应急处置、应急保障工作，保证组织到位、应急救援队伍到位、应急保障物资到位。</w:t>
      </w:r>
    </w:p>
    <w:p>
      <w:pPr>
        <w:spacing w:line="360" w:lineRule="auto"/>
        <w:ind w:firstLine="560" w:firstLineChars="200"/>
        <w:rPr>
          <w:sz w:val="28"/>
          <w:szCs w:val="28"/>
        </w:rPr>
      </w:pPr>
      <w:r>
        <w:rPr>
          <w:rFonts w:hint="eastAsia"/>
          <w:sz w:val="28"/>
          <w:szCs w:val="28"/>
        </w:rPr>
        <w:t>（2）向社会公众发出危险或避险警告。</w:t>
      </w:r>
    </w:p>
    <w:p>
      <w:pPr>
        <w:spacing w:line="360" w:lineRule="auto"/>
        <w:ind w:firstLine="560" w:firstLineChars="200"/>
        <w:rPr>
          <w:sz w:val="28"/>
          <w:szCs w:val="28"/>
        </w:rPr>
      </w:pPr>
      <w:r>
        <w:rPr>
          <w:rFonts w:hint="eastAsia"/>
          <w:sz w:val="28"/>
          <w:szCs w:val="28"/>
        </w:rPr>
        <w:t>（3）对现场应急处置工作中的重大事项做出决策。</w:t>
      </w:r>
    </w:p>
    <w:p>
      <w:pPr>
        <w:spacing w:line="360" w:lineRule="auto"/>
        <w:ind w:firstLine="560" w:firstLineChars="200"/>
        <w:rPr>
          <w:sz w:val="28"/>
          <w:szCs w:val="28"/>
        </w:rPr>
      </w:pPr>
      <w:r>
        <w:rPr>
          <w:rFonts w:hint="eastAsia"/>
          <w:sz w:val="28"/>
          <w:szCs w:val="28"/>
        </w:rPr>
        <w:t>（4）组织营救和救治受到伤害的人员，疏散、撤离、安置受到威胁的人员。</w:t>
      </w:r>
    </w:p>
    <w:p>
      <w:pPr>
        <w:spacing w:line="360" w:lineRule="auto"/>
        <w:ind w:firstLine="560" w:firstLineChars="200"/>
        <w:rPr>
          <w:sz w:val="28"/>
          <w:szCs w:val="28"/>
        </w:rPr>
      </w:pPr>
      <w:r>
        <w:rPr>
          <w:rFonts w:hint="eastAsia"/>
          <w:sz w:val="28"/>
          <w:szCs w:val="28"/>
        </w:rPr>
        <w:t>（5）迅速消除生产安全事故的危害和危险源，划定危害区域，维持社会治安。</w:t>
      </w:r>
    </w:p>
    <w:p>
      <w:pPr>
        <w:spacing w:line="360" w:lineRule="auto"/>
        <w:ind w:firstLine="560" w:firstLineChars="200"/>
        <w:rPr>
          <w:sz w:val="28"/>
          <w:szCs w:val="28"/>
        </w:rPr>
      </w:pPr>
      <w:r>
        <w:rPr>
          <w:rFonts w:hint="eastAsia"/>
          <w:sz w:val="28"/>
          <w:szCs w:val="28"/>
        </w:rPr>
        <w:t>（6）抢修被损坏的公共交通、通讯、供水、供电、供气、供油等基础设施，保障事发地群众的基本生活。</w:t>
      </w:r>
    </w:p>
    <w:p>
      <w:pPr>
        <w:spacing w:line="360" w:lineRule="auto"/>
        <w:ind w:firstLine="560" w:firstLineChars="200"/>
        <w:rPr>
          <w:sz w:val="28"/>
          <w:szCs w:val="28"/>
        </w:rPr>
      </w:pPr>
      <w:r>
        <w:rPr>
          <w:rFonts w:hint="eastAsia"/>
          <w:sz w:val="28"/>
          <w:szCs w:val="28"/>
        </w:rPr>
        <w:t>（7）组织协凋有关方面做好现场应急处置的保障和支援工作。</w:t>
      </w:r>
    </w:p>
    <w:p>
      <w:pPr>
        <w:spacing w:line="360" w:lineRule="auto"/>
        <w:ind w:firstLine="560" w:firstLineChars="200"/>
        <w:rPr>
          <w:sz w:val="28"/>
          <w:szCs w:val="28"/>
        </w:rPr>
      </w:pPr>
      <w:r>
        <w:rPr>
          <w:rFonts w:hint="eastAsia"/>
          <w:sz w:val="28"/>
          <w:szCs w:val="28"/>
        </w:rPr>
        <w:t>（8）组织有关部门采取相应措施防止生产安全事故出现扩大和次生、衍生、耦合事件。</w:t>
      </w:r>
    </w:p>
    <w:p>
      <w:pPr>
        <w:spacing w:line="360" w:lineRule="auto"/>
        <w:ind w:firstLine="560" w:firstLineChars="200"/>
        <w:rPr>
          <w:sz w:val="28"/>
          <w:szCs w:val="28"/>
        </w:rPr>
      </w:pPr>
      <w:r>
        <w:rPr>
          <w:rFonts w:hint="eastAsia"/>
          <w:sz w:val="28"/>
          <w:szCs w:val="28"/>
        </w:rPr>
        <w:t>（9）及时向事故应急总指挥报告应急救援处置，事态评估情况和工作建议。</w:t>
      </w:r>
    </w:p>
    <w:p>
      <w:pPr>
        <w:spacing w:line="360" w:lineRule="auto"/>
        <w:ind w:firstLine="560" w:firstLineChars="200"/>
        <w:rPr>
          <w:sz w:val="28"/>
          <w:szCs w:val="28"/>
        </w:rPr>
      </w:pPr>
      <w:r>
        <w:rPr>
          <w:rFonts w:hint="eastAsia"/>
          <w:sz w:val="28"/>
          <w:szCs w:val="28"/>
        </w:rPr>
        <w:t>（10）如事故后果扩大，超出本预案响应能力，协调内部有关应急力量，配合上级应急指挥机构的指挥。</w:t>
      </w:r>
    </w:p>
    <w:p>
      <w:pPr>
        <w:spacing w:line="360" w:lineRule="auto"/>
        <w:ind w:firstLine="560" w:firstLineChars="200"/>
        <w:outlineLvl w:val="1"/>
        <w:rPr>
          <w:sz w:val="28"/>
          <w:szCs w:val="28"/>
        </w:rPr>
      </w:pPr>
      <w:bookmarkStart w:id="75" w:name="_Toc24475"/>
      <w:bookmarkStart w:id="76" w:name="_Toc27469"/>
      <w:bookmarkStart w:id="77" w:name="_Toc516"/>
      <w:r>
        <w:rPr>
          <w:sz w:val="28"/>
          <w:szCs w:val="28"/>
        </w:rPr>
        <w:t xml:space="preserve">4.3  </w:t>
      </w:r>
      <w:r>
        <w:rPr>
          <w:rFonts w:hint="eastAsia"/>
          <w:sz w:val="28"/>
          <w:szCs w:val="28"/>
        </w:rPr>
        <w:t>各类生产安全事故的应急处置</w:t>
      </w:r>
      <w:bookmarkEnd w:id="75"/>
      <w:bookmarkEnd w:id="76"/>
      <w:bookmarkEnd w:id="77"/>
    </w:p>
    <w:p>
      <w:pPr>
        <w:spacing w:line="360" w:lineRule="auto"/>
        <w:ind w:firstLine="560" w:firstLineChars="200"/>
        <w:outlineLvl w:val="2"/>
        <w:rPr>
          <w:sz w:val="28"/>
          <w:szCs w:val="28"/>
        </w:rPr>
      </w:pPr>
      <w:bookmarkStart w:id="78" w:name="_Toc21780"/>
      <w:bookmarkStart w:id="79" w:name="_Toc24627"/>
      <w:bookmarkStart w:id="80" w:name="_Toc7257"/>
      <w:bookmarkStart w:id="81" w:name="_Toc31175"/>
      <w:r>
        <w:rPr>
          <w:rFonts w:hint="eastAsia"/>
          <w:sz w:val="28"/>
          <w:szCs w:val="28"/>
        </w:rPr>
        <w:t>4.3.1  事故类型</w:t>
      </w:r>
      <w:bookmarkEnd w:id="78"/>
      <w:bookmarkEnd w:id="79"/>
      <w:bookmarkEnd w:id="80"/>
      <w:bookmarkEnd w:id="81"/>
    </w:p>
    <w:p>
      <w:pPr>
        <w:spacing w:line="360" w:lineRule="auto"/>
        <w:ind w:firstLine="560" w:firstLineChars="200"/>
        <w:rPr>
          <w:sz w:val="28"/>
          <w:szCs w:val="28"/>
        </w:rPr>
      </w:pPr>
      <w:r>
        <w:rPr>
          <w:rFonts w:hint="eastAsia"/>
          <w:sz w:val="28"/>
          <w:szCs w:val="28"/>
        </w:rPr>
        <w:t>本区域范围内可能发生的生产安全事故有：</w:t>
      </w:r>
    </w:p>
    <w:p>
      <w:pPr>
        <w:spacing w:line="360" w:lineRule="auto"/>
        <w:ind w:firstLine="560" w:firstLineChars="200"/>
        <w:rPr>
          <w:sz w:val="28"/>
          <w:szCs w:val="28"/>
        </w:rPr>
      </w:pPr>
      <w:r>
        <w:rPr>
          <w:rFonts w:hint="eastAsia"/>
          <w:sz w:val="28"/>
          <w:szCs w:val="28"/>
        </w:rPr>
        <w:t>（1）化学品泄漏事故。</w:t>
      </w:r>
    </w:p>
    <w:p>
      <w:pPr>
        <w:spacing w:line="360" w:lineRule="auto"/>
        <w:ind w:firstLine="560" w:firstLineChars="200"/>
        <w:rPr>
          <w:sz w:val="28"/>
          <w:szCs w:val="28"/>
        </w:rPr>
      </w:pPr>
      <w:r>
        <w:rPr>
          <w:rFonts w:hint="eastAsia"/>
          <w:sz w:val="28"/>
          <w:szCs w:val="28"/>
        </w:rPr>
        <w:t>（2）火灾事故。</w:t>
      </w:r>
    </w:p>
    <w:p>
      <w:pPr>
        <w:spacing w:line="360" w:lineRule="auto"/>
        <w:ind w:firstLine="560" w:firstLineChars="200"/>
        <w:rPr>
          <w:sz w:val="28"/>
          <w:szCs w:val="28"/>
        </w:rPr>
      </w:pPr>
      <w:r>
        <w:rPr>
          <w:rFonts w:hint="eastAsia"/>
          <w:sz w:val="28"/>
          <w:szCs w:val="28"/>
        </w:rPr>
        <w:t>（3）爆炸事故。</w:t>
      </w:r>
    </w:p>
    <w:p>
      <w:pPr>
        <w:spacing w:line="360" w:lineRule="auto"/>
        <w:ind w:firstLine="560" w:firstLineChars="200"/>
        <w:rPr>
          <w:sz w:val="28"/>
          <w:szCs w:val="28"/>
        </w:rPr>
      </w:pPr>
      <w:r>
        <w:rPr>
          <w:rFonts w:hint="eastAsia"/>
          <w:sz w:val="28"/>
          <w:szCs w:val="28"/>
        </w:rPr>
        <w:t>（4）中毒事故。</w:t>
      </w:r>
    </w:p>
    <w:p>
      <w:pPr>
        <w:spacing w:line="360" w:lineRule="auto"/>
        <w:ind w:firstLine="560" w:firstLineChars="200"/>
        <w:rPr>
          <w:sz w:val="28"/>
          <w:szCs w:val="28"/>
        </w:rPr>
      </w:pPr>
      <w:r>
        <w:rPr>
          <w:rFonts w:hint="eastAsia"/>
          <w:sz w:val="28"/>
          <w:szCs w:val="28"/>
        </w:rPr>
        <w:t>（5）机械伤害事故。</w:t>
      </w:r>
    </w:p>
    <w:p>
      <w:pPr>
        <w:spacing w:line="360" w:lineRule="auto"/>
        <w:ind w:firstLine="560" w:firstLineChars="200"/>
        <w:rPr>
          <w:sz w:val="28"/>
          <w:szCs w:val="28"/>
        </w:rPr>
      </w:pPr>
      <w:r>
        <w:rPr>
          <w:rFonts w:hint="eastAsia"/>
          <w:sz w:val="28"/>
          <w:szCs w:val="28"/>
        </w:rPr>
        <w:t>（6）物体打击事故</w:t>
      </w:r>
    </w:p>
    <w:p>
      <w:pPr>
        <w:spacing w:line="360" w:lineRule="auto"/>
        <w:ind w:firstLine="560" w:firstLineChars="200"/>
        <w:rPr>
          <w:sz w:val="28"/>
          <w:szCs w:val="28"/>
        </w:rPr>
      </w:pPr>
      <w:r>
        <w:rPr>
          <w:rFonts w:hint="eastAsia"/>
          <w:sz w:val="28"/>
          <w:szCs w:val="28"/>
        </w:rPr>
        <w:t>（7）起重伤害。</w:t>
      </w:r>
    </w:p>
    <w:p>
      <w:pPr>
        <w:spacing w:line="360" w:lineRule="auto"/>
        <w:ind w:firstLine="560" w:firstLineChars="200"/>
        <w:rPr>
          <w:sz w:val="28"/>
          <w:szCs w:val="28"/>
        </w:rPr>
      </w:pPr>
      <w:r>
        <w:rPr>
          <w:rFonts w:hint="eastAsia"/>
          <w:sz w:val="28"/>
          <w:szCs w:val="28"/>
        </w:rPr>
        <w:t>（8）触电。</w:t>
      </w:r>
    </w:p>
    <w:p>
      <w:pPr>
        <w:spacing w:line="360" w:lineRule="auto"/>
        <w:ind w:firstLine="560" w:firstLineChars="200"/>
        <w:rPr>
          <w:sz w:val="28"/>
          <w:szCs w:val="28"/>
        </w:rPr>
      </w:pPr>
      <w:r>
        <w:rPr>
          <w:rFonts w:hint="eastAsia"/>
          <w:sz w:val="28"/>
          <w:szCs w:val="28"/>
        </w:rPr>
        <w:t>（9）高处坠落。</w:t>
      </w:r>
    </w:p>
    <w:p>
      <w:pPr>
        <w:spacing w:line="360" w:lineRule="auto"/>
        <w:ind w:firstLine="560" w:firstLineChars="200"/>
        <w:rPr>
          <w:sz w:val="28"/>
          <w:szCs w:val="28"/>
        </w:rPr>
      </w:pPr>
      <w:r>
        <w:rPr>
          <w:rFonts w:hint="eastAsia"/>
          <w:sz w:val="28"/>
          <w:szCs w:val="28"/>
        </w:rPr>
        <w:t>（10）坍塌。</w:t>
      </w:r>
    </w:p>
    <w:p>
      <w:pPr>
        <w:spacing w:line="360" w:lineRule="auto"/>
        <w:ind w:firstLine="560" w:firstLineChars="200"/>
        <w:rPr>
          <w:sz w:val="28"/>
          <w:szCs w:val="28"/>
        </w:rPr>
      </w:pPr>
      <w:r>
        <w:rPr>
          <w:rFonts w:hint="eastAsia"/>
          <w:sz w:val="28"/>
          <w:szCs w:val="28"/>
        </w:rPr>
        <w:t>（11）电梯事故。</w:t>
      </w:r>
    </w:p>
    <w:p>
      <w:pPr>
        <w:spacing w:line="360" w:lineRule="auto"/>
        <w:ind w:firstLine="560" w:firstLineChars="200"/>
        <w:outlineLvl w:val="2"/>
        <w:rPr>
          <w:sz w:val="28"/>
          <w:szCs w:val="28"/>
        </w:rPr>
      </w:pPr>
      <w:bookmarkStart w:id="82" w:name="_Toc2622"/>
      <w:bookmarkStart w:id="83" w:name="_Toc31224"/>
      <w:bookmarkStart w:id="84" w:name="_Toc31681"/>
      <w:bookmarkStart w:id="85" w:name="_Toc20402"/>
      <w:r>
        <w:rPr>
          <w:rFonts w:hint="eastAsia"/>
          <w:sz w:val="28"/>
          <w:szCs w:val="28"/>
        </w:rPr>
        <w:t>4.3.2  危险化学品事故处置要点</w:t>
      </w:r>
      <w:bookmarkEnd w:id="82"/>
      <w:bookmarkEnd w:id="83"/>
      <w:bookmarkEnd w:id="84"/>
      <w:bookmarkEnd w:id="85"/>
    </w:p>
    <w:p>
      <w:pPr>
        <w:pStyle w:val="2"/>
        <w:spacing w:line="360" w:lineRule="auto"/>
        <w:rPr>
          <w:rFonts w:ascii="宋体" w:hAnsi="宋体" w:eastAsia="宋体"/>
          <w:b w:val="0"/>
          <w:bCs w:val="0"/>
        </w:rPr>
      </w:pPr>
      <w:bookmarkStart w:id="86" w:name="_Toc7760"/>
      <w:r>
        <w:rPr>
          <w:rFonts w:hint="eastAsia" w:ascii="宋体" w:hAnsi="宋体" w:eastAsia="宋体"/>
          <w:b w:val="0"/>
          <w:bCs w:val="0"/>
        </w:rPr>
        <w:t>4.3.2.1化学品泄漏（中毒）事故处置要点</w:t>
      </w:r>
      <w:bookmarkEnd w:id="86"/>
    </w:p>
    <w:p>
      <w:pPr>
        <w:spacing w:line="360" w:lineRule="auto"/>
        <w:ind w:firstLine="560" w:firstLineChars="200"/>
        <w:rPr>
          <w:sz w:val="28"/>
          <w:szCs w:val="28"/>
        </w:rPr>
      </w:pPr>
      <w:r>
        <w:rPr>
          <w:rFonts w:hint="eastAsia"/>
          <w:sz w:val="28"/>
          <w:szCs w:val="28"/>
        </w:rPr>
        <w:t xml:space="preserve">（1）确定泄漏事故发生位置。 </w:t>
      </w:r>
    </w:p>
    <w:p>
      <w:pPr>
        <w:spacing w:line="360" w:lineRule="auto"/>
        <w:ind w:firstLine="560" w:firstLineChars="200"/>
        <w:rPr>
          <w:sz w:val="28"/>
          <w:szCs w:val="28"/>
        </w:rPr>
      </w:pPr>
      <w:r>
        <w:rPr>
          <w:rFonts w:hint="eastAsia"/>
          <w:sz w:val="28"/>
          <w:szCs w:val="28"/>
        </w:rPr>
        <w:t>（2）隔离事故现场，建立警戒区。</w:t>
      </w:r>
    </w:p>
    <w:p>
      <w:pPr>
        <w:spacing w:line="360" w:lineRule="auto"/>
        <w:ind w:firstLine="560" w:firstLineChars="200"/>
        <w:rPr>
          <w:sz w:val="28"/>
          <w:szCs w:val="28"/>
        </w:rPr>
      </w:pPr>
      <w:r>
        <w:rPr>
          <w:rFonts w:hint="eastAsia"/>
          <w:sz w:val="28"/>
          <w:szCs w:val="28"/>
        </w:rPr>
        <w:t>（3）确定泄漏的危险化学品种类及毒理性。</w:t>
      </w:r>
    </w:p>
    <w:p>
      <w:pPr>
        <w:spacing w:line="360" w:lineRule="auto"/>
        <w:ind w:firstLine="560" w:firstLineChars="200"/>
        <w:rPr>
          <w:sz w:val="28"/>
          <w:szCs w:val="28"/>
        </w:rPr>
      </w:pPr>
      <w:r>
        <w:rPr>
          <w:rFonts w:hint="eastAsia"/>
          <w:sz w:val="28"/>
          <w:szCs w:val="28"/>
        </w:rPr>
        <w:t>（4）根据泄漏物性质及泄漏情况判定是否需要进行周边区域的人员疏散以及疏散范围。</w:t>
      </w:r>
    </w:p>
    <w:p>
      <w:pPr>
        <w:spacing w:line="360" w:lineRule="auto"/>
        <w:ind w:firstLine="560" w:firstLineChars="200"/>
        <w:rPr>
          <w:sz w:val="28"/>
          <w:szCs w:val="28"/>
        </w:rPr>
      </w:pPr>
      <w:r>
        <w:rPr>
          <w:rFonts w:hint="eastAsia"/>
          <w:sz w:val="28"/>
          <w:szCs w:val="28"/>
        </w:rPr>
        <w:t>（5）泄漏源控制。针对不同事故，开展现场控制工作。应急人员应根据事故特点和事故引发物质的不同，采取不同的防护措施，如喷雾稀释、引流燃烧、堵漏等。</w:t>
      </w:r>
    </w:p>
    <w:p>
      <w:pPr>
        <w:spacing w:line="360" w:lineRule="auto"/>
        <w:ind w:firstLine="560" w:firstLineChars="200"/>
        <w:rPr>
          <w:sz w:val="28"/>
          <w:szCs w:val="28"/>
        </w:rPr>
      </w:pPr>
      <w:r>
        <w:rPr>
          <w:rFonts w:hint="eastAsia"/>
          <w:sz w:val="28"/>
          <w:szCs w:val="28"/>
        </w:rPr>
        <w:t>（6）泄漏物处理。</w:t>
      </w:r>
    </w:p>
    <w:p>
      <w:pPr>
        <w:spacing w:line="360" w:lineRule="auto"/>
        <w:ind w:firstLine="560" w:firstLineChars="200"/>
        <w:rPr>
          <w:sz w:val="28"/>
          <w:szCs w:val="28"/>
        </w:rPr>
      </w:pPr>
      <w:r>
        <w:rPr>
          <w:rFonts w:hint="eastAsia"/>
          <w:sz w:val="28"/>
          <w:szCs w:val="28"/>
        </w:rPr>
        <w:t>泄漏事故处置措施详见F2.1。</w:t>
      </w:r>
    </w:p>
    <w:p>
      <w:pPr>
        <w:pStyle w:val="2"/>
        <w:spacing w:line="360" w:lineRule="auto"/>
        <w:rPr>
          <w:rFonts w:ascii="宋体" w:hAnsi="宋体" w:eastAsia="宋体"/>
          <w:b w:val="0"/>
          <w:bCs w:val="0"/>
        </w:rPr>
      </w:pPr>
      <w:bookmarkStart w:id="87" w:name="_Toc376529163"/>
      <w:bookmarkStart w:id="88" w:name="_Toc368126274"/>
      <w:bookmarkStart w:id="89" w:name="_Toc18521"/>
      <w:r>
        <w:rPr>
          <w:rFonts w:hint="eastAsia" w:ascii="宋体" w:hAnsi="宋体" w:eastAsia="宋体"/>
          <w:b w:val="0"/>
          <w:bCs w:val="0"/>
        </w:rPr>
        <w:t>4.3.2.2火灾事故处置要点</w:t>
      </w:r>
      <w:bookmarkEnd w:id="87"/>
      <w:bookmarkEnd w:id="88"/>
      <w:bookmarkEnd w:id="89"/>
      <w:r>
        <w:rPr>
          <w:rFonts w:hint="eastAsia" w:ascii="宋体" w:hAnsi="宋体" w:eastAsia="宋体"/>
          <w:b w:val="0"/>
          <w:bCs w:val="0"/>
        </w:rPr>
        <w:t xml:space="preserve"> </w:t>
      </w:r>
    </w:p>
    <w:p>
      <w:pPr>
        <w:spacing w:line="360" w:lineRule="auto"/>
        <w:ind w:firstLine="560" w:firstLineChars="200"/>
        <w:rPr>
          <w:sz w:val="28"/>
          <w:szCs w:val="28"/>
        </w:rPr>
      </w:pPr>
      <w:r>
        <w:rPr>
          <w:rFonts w:hint="eastAsia"/>
          <w:sz w:val="28"/>
          <w:szCs w:val="28"/>
        </w:rPr>
        <w:t>（1）确定火灾发生位置。</w:t>
      </w:r>
    </w:p>
    <w:p>
      <w:pPr>
        <w:spacing w:line="360" w:lineRule="auto"/>
        <w:ind w:firstLine="560" w:firstLineChars="200"/>
        <w:rPr>
          <w:sz w:val="28"/>
          <w:szCs w:val="28"/>
        </w:rPr>
      </w:pPr>
      <w:r>
        <w:rPr>
          <w:rFonts w:hint="eastAsia"/>
          <w:sz w:val="28"/>
          <w:szCs w:val="28"/>
        </w:rPr>
        <w:t>（2）确定引起火灾的物质类别（易燃气体、液体、自燃物等）。</w:t>
      </w:r>
    </w:p>
    <w:p>
      <w:pPr>
        <w:spacing w:line="360" w:lineRule="auto"/>
        <w:ind w:firstLine="560" w:firstLineChars="200"/>
        <w:rPr>
          <w:sz w:val="28"/>
          <w:szCs w:val="28"/>
        </w:rPr>
      </w:pPr>
      <w:r>
        <w:rPr>
          <w:rFonts w:hint="eastAsia"/>
          <w:sz w:val="28"/>
          <w:szCs w:val="28"/>
        </w:rPr>
        <w:t>（3）所需的火灾应急救援处置技术和专家。</w:t>
      </w:r>
    </w:p>
    <w:p>
      <w:pPr>
        <w:spacing w:line="360" w:lineRule="auto"/>
        <w:ind w:firstLine="560" w:firstLineChars="200"/>
        <w:rPr>
          <w:sz w:val="28"/>
          <w:szCs w:val="28"/>
        </w:rPr>
      </w:pPr>
      <w:r>
        <w:rPr>
          <w:rFonts w:hint="eastAsia"/>
          <w:sz w:val="28"/>
          <w:szCs w:val="28"/>
        </w:rPr>
        <w:t>（4）明确火灾发生区域的周围环境。</w:t>
      </w:r>
    </w:p>
    <w:p>
      <w:pPr>
        <w:spacing w:line="360" w:lineRule="auto"/>
        <w:ind w:firstLine="560" w:firstLineChars="200"/>
        <w:rPr>
          <w:sz w:val="28"/>
          <w:szCs w:val="28"/>
        </w:rPr>
      </w:pPr>
      <w:r>
        <w:rPr>
          <w:rFonts w:hint="eastAsia"/>
          <w:sz w:val="28"/>
          <w:szCs w:val="28"/>
        </w:rPr>
        <w:t>（5）明确周围区域存在的重大危险源分布情况。</w:t>
      </w:r>
    </w:p>
    <w:p>
      <w:pPr>
        <w:spacing w:line="360" w:lineRule="auto"/>
        <w:ind w:firstLine="560" w:firstLineChars="200"/>
        <w:rPr>
          <w:sz w:val="28"/>
          <w:szCs w:val="28"/>
        </w:rPr>
      </w:pPr>
      <w:r>
        <w:rPr>
          <w:rFonts w:hint="eastAsia"/>
          <w:sz w:val="28"/>
          <w:szCs w:val="28"/>
        </w:rPr>
        <w:t>（6）确定火灾扑救的基本方法。</w:t>
      </w:r>
    </w:p>
    <w:p>
      <w:pPr>
        <w:spacing w:line="360" w:lineRule="auto"/>
        <w:ind w:firstLine="560" w:firstLineChars="200"/>
        <w:rPr>
          <w:sz w:val="28"/>
          <w:szCs w:val="28"/>
        </w:rPr>
      </w:pPr>
      <w:r>
        <w:rPr>
          <w:rFonts w:hint="eastAsia"/>
          <w:sz w:val="28"/>
          <w:szCs w:val="28"/>
        </w:rPr>
        <w:t>（7）确定火灾可能导致的后果（含火灾与爆炸伴随发生的可能性）。</w:t>
      </w:r>
    </w:p>
    <w:p>
      <w:pPr>
        <w:spacing w:line="360" w:lineRule="auto"/>
        <w:ind w:firstLine="560" w:firstLineChars="200"/>
        <w:rPr>
          <w:sz w:val="28"/>
          <w:szCs w:val="28"/>
        </w:rPr>
      </w:pPr>
      <w:r>
        <w:rPr>
          <w:rFonts w:hint="eastAsia"/>
          <w:sz w:val="28"/>
          <w:szCs w:val="28"/>
        </w:rPr>
        <w:t>（8）确定火灾可能导致的后果对周围区域的可能影响规模和程度。</w:t>
      </w:r>
    </w:p>
    <w:p>
      <w:pPr>
        <w:spacing w:line="360" w:lineRule="auto"/>
        <w:ind w:firstLine="560" w:firstLineChars="200"/>
        <w:rPr>
          <w:sz w:val="28"/>
          <w:szCs w:val="28"/>
        </w:rPr>
      </w:pPr>
      <w:r>
        <w:rPr>
          <w:rFonts w:hint="eastAsia"/>
          <w:sz w:val="28"/>
          <w:szCs w:val="28"/>
        </w:rPr>
        <w:t>（9）火灾可能导致后果的主要控制措施（控制火灾蔓延、人员疏散、医疗救护等）。</w:t>
      </w:r>
    </w:p>
    <w:p>
      <w:pPr>
        <w:spacing w:line="360" w:lineRule="auto"/>
        <w:ind w:firstLine="560" w:firstLineChars="200"/>
        <w:rPr>
          <w:sz w:val="28"/>
          <w:szCs w:val="28"/>
        </w:rPr>
      </w:pPr>
      <w:r>
        <w:rPr>
          <w:rFonts w:hint="eastAsia"/>
          <w:sz w:val="28"/>
          <w:szCs w:val="28"/>
        </w:rPr>
        <w:t xml:space="preserve">（10）可能需要调动的应急救援力量（公安消防队伍、企业消防队伍等）。 </w:t>
      </w:r>
    </w:p>
    <w:p>
      <w:pPr>
        <w:pStyle w:val="2"/>
        <w:spacing w:line="360" w:lineRule="auto"/>
        <w:rPr>
          <w:rFonts w:ascii="宋体" w:hAnsi="宋体" w:eastAsia="宋体"/>
          <w:b w:val="0"/>
          <w:bCs w:val="0"/>
        </w:rPr>
      </w:pPr>
      <w:bookmarkStart w:id="90" w:name="_Toc376529164"/>
      <w:bookmarkStart w:id="91" w:name="_Toc259"/>
      <w:bookmarkStart w:id="92" w:name="_Toc368126275"/>
      <w:r>
        <w:rPr>
          <w:rFonts w:hint="eastAsia" w:ascii="宋体" w:hAnsi="宋体" w:eastAsia="宋体"/>
          <w:b w:val="0"/>
          <w:bCs w:val="0"/>
        </w:rPr>
        <w:t>4.3.2.3爆炸事故处置要点</w:t>
      </w:r>
      <w:bookmarkEnd w:id="90"/>
      <w:bookmarkEnd w:id="91"/>
      <w:bookmarkEnd w:id="92"/>
      <w:r>
        <w:rPr>
          <w:rFonts w:hint="eastAsia" w:ascii="宋体" w:hAnsi="宋体" w:eastAsia="宋体"/>
          <w:b w:val="0"/>
          <w:bCs w:val="0"/>
        </w:rPr>
        <w:t xml:space="preserve"> </w:t>
      </w:r>
    </w:p>
    <w:p>
      <w:pPr>
        <w:spacing w:line="360" w:lineRule="auto"/>
        <w:ind w:firstLine="560" w:firstLineChars="200"/>
        <w:rPr>
          <w:sz w:val="28"/>
          <w:szCs w:val="28"/>
        </w:rPr>
      </w:pPr>
      <w:r>
        <w:rPr>
          <w:rFonts w:hint="eastAsia"/>
          <w:sz w:val="28"/>
          <w:szCs w:val="28"/>
        </w:rPr>
        <w:t>（1）确定爆炸地点。</w:t>
      </w:r>
    </w:p>
    <w:p>
      <w:pPr>
        <w:spacing w:line="360" w:lineRule="auto"/>
        <w:ind w:firstLine="560" w:firstLineChars="200"/>
        <w:rPr>
          <w:sz w:val="28"/>
          <w:szCs w:val="28"/>
        </w:rPr>
      </w:pPr>
      <w:r>
        <w:rPr>
          <w:rFonts w:hint="eastAsia"/>
          <w:sz w:val="28"/>
          <w:szCs w:val="28"/>
        </w:rPr>
        <w:t>（2）确定爆炸类型（物理爆炸、化学爆炸）。</w:t>
      </w:r>
    </w:p>
    <w:p>
      <w:pPr>
        <w:spacing w:line="360" w:lineRule="auto"/>
        <w:ind w:firstLine="560" w:firstLineChars="200"/>
        <w:rPr>
          <w:sz w:val="28"/>
          <w:szCs w:val="28"/>
        </w:rPr>
      </w:pPr>
      <w:r>
        <w:rPr>
          <w:rFonts w:hint="eastAsia"/>
          <w:sz w:val="28"/>
          <w:szCs w:val="28"/>
        </w:rPr>
        <w:t>（3）确定引起爆炸的物质类别（气体、液体、固体）。</w:t>
      </w:r>
    </w:p>
    <w:p>
      <w:pPr>
        <w:spacing w:line="360" w:lineRule="auto"/>
        <w:ind w:firstLine="560" w:firstLineChars="200"/>
        <w:rPr>
          <w:sz w:val="28"/>
          <w:szCs w:val="28"/>
        </w:rPr>
      </w:pPr>
      <w:r>
        <w:rPr>
          <w:rFonts w:hint="eastAsia"/>
          <w:sz w:val="28"/>
          <w:szCs w:val="28"/>
        </w:rPr>
        <w:t>（4）所需的爆炸应急救援处置技术和专家。</w:t>
      </w:r>
    </w:p>
    <w:p>
      <w:pPr>
        <w:spacing w:line="360" w:lineRule="auto"/>
        <w:ind w:firstLine="560" w:firstLineChars="200"/>
        <w:rPr>
          <w:sz w:val="28"/>
          <w:szCs w:val="28"/>
        </w:rPr>
      </w:pPr>
      <w:r>
        <w:rPr>
          <w:rFonts w:hint="eastAsia"/>
          <w:sz w:val="28"/>
          <w:szCs w:val="28"/>
        </w:rPr>
        <w:t>（5）明确爆炸地点的周围环境。</w:t>
      </w:r>
    </w:p>
    <w:p>
      <w:pPr>
        <w:spacing w:line="360" w:lineRule="auto"/>
        <w:ind w:firstLine="560" w:firstLineChars="200"/>
        <w:rPr>
          <w:sz w:val="28"/>
          <w:szCs w:val="28"/>
        </w:rPr>
      </w:pPr>
      <w:r>
        <w:rPr>
          <w:rFonts w:hint="eastAsia"/>
          <w:sz w:val="28"/>
          <w:szCs w:val="28"/>
        </w:rPr>
        <w:t>（6）明确周围区域存在的重大危险源分布情况。</w:t>
      </w:r>
    </w:p>
    <w:p>
      <w:pPr>
        <w:spacing w:line="360" w:lineRule="auto"/>
        <w:ind w:firstLine="560" w:firstLineChars="200"/>
        <w:rPr>
          <w:sz w:val="28"/>
          <w:szCs w:val="28"/>
        </w:rPr>
      </w:pPr>
      <w:r>
        <w:rPr>
          <w:rFonts w:hint="eastAsia"/>
          <w:sz w:val="28"/>
          <w:szCs w:val="28"/>
        </w:rPr>
        <w:t>（7）确定爆炸可能导致的后果（如火灾、二次爆炸等）。</w:t>
      </w:r>
    </w:p>
    <w:p>
      <w:pPr>
        <w:spacing w:line="360" w:lineRule="auto"/>
        <w:ind w:firstLine="560" w:firstLineChars="200"/>
        <w:rPr>
          <w:sz w:val="28"/>
          <w:szCs w:val="28"/>
        </w:rPr>
      </w:pPr>
      <w:r>
        <w:rPr>
          <w:rFonts w:hint="eastAsia"/>
          <w:sz w:val="28"/>
          <w:szCs w:val="28"/>
        </w:rPr>
        <w:t>（8）确定爆炸可能导致后果的主要控制措施（再次爆炸控制手段、工程抢险、人员疏散、医疗救护等）。</w:t>
      </w:r>
    </w:p>
    <w:p>
      <w:pPr>
        <w:spacing w:line="360" w:lineRule="auto"/>
        <w:ind w:firstLine="560" w:firstLineChars="200"/>
        <w:rPr>
          <w:sz w:val="28"/>
          <w:szCs w:val="28"/>
        </w:rPr>
      </w:pPr>
      <w:r>
        <w:rPr>
          <w:rFonts w:hint="eastAsia"/>
          <w:sz w:val="28"/>
          <w:szCs w:val="28"/>
        </w:rPr>
        <w:t>（9）可能需要调动的应急救援力量（公安消防队伍、企业消防队伍等）。</w:t>
      </w:r>
    </w:p>
    <w:p>
      <w:pPr>
        <w:spacing w:line="360" w:lineRule="auto"/>
        <w:ind w:firstLine="560" w:firstLineChars="200"/>
        <w:rPr>
          <w:sz w:val="28"/>
          <w:szCs w:val="28"/>
        </w:rPr>
      </w:pPr>
      <w:r>
        <w:rPr>
          <w:rFonts w:hint="eastAsia"/>
          <w:sz w:val="28"/>
          <w:szCs w:val="28"/>
        </w:rPr>
        <w:t>火灾、爆炸事故处置措施详见F2.2。</w:t>
      </w:r>
    </w:p>
    <w:p>
      <w:pPr>
        <w:spacing w:line="360" w:lineRule="auto"/>
        <w:ind w:firstLine="560" w:firstLineChars="200"/>
        <w:rPr>
          <w:sz w:val="28"/>
          <w:szCs w:val="28"/>
        </w:rPr>
      </w:pPr>
      <w:r>
        <w:rPr>
          <w:rFonts w:hint="eastAsia"/>
          <w:sz w:val="28"/>
          <w:szCs w:val="28"/>
        </w:rPr>
        <w:t>天然气泄漏事故处置措施详见F2.3。</w:t>
      </w:r>
    </w:p>
    <w:p>
      <w:pPr>
        <w:pStyle w:val="2"/>
        <w:spacing w:line="360" w:lineRule="auto"/>
        <w:rPr>
          <w:rFonts w:ascii="宋体" w:hAnsi="宋体" w:eastAsia="宋体"/>
          <w:b w:val="0"/>
          <w:bCs w:val="0"/>
        </w:rPr>
      </w:pPr>
      <w:bookmarkStart w:id="93" w:name="_Toc2403"/>
      <w:r>
        <w:rPr>
          <w:rFonts w:hint="eastAsia" w:ascii="宋体" w:hAnsi="宋体" w:eastAsia="宋体"/>
          <w:b w:val="0"/>
          <w:bCs w:val="0"/>
        </w:rPr>
        <w:t>4.3.2.4机械伤害事故处置要点</w:t>
      </w:r>
      <w:bookmarkEnd w:id="93"/>
    </w:p>
    <w:p>
      <w:pPr>
        <w:spacing w:line="360" w:lineRule="auto"/>
        <w:ind w:firstLine="560" w:firstLineChars="200"/>
        <w:rPr>
          <w:sz w:val="28"/>
          <w:szCs w:val="28"/>
        </w:rPr>
      </w:pPr>
      <w:r>
        <w:rPr>
          <w:rFonts w:hint="eastAsia"/>
          <w:sz w:val="28"/>
          <w:szCs w:val="28"/>
        </w:rPr>
        <w:t xml:space="preserve">（1）确定事故发生位置。 </w:t>
      </w:r>
    </w:p>
    <w:p>
      <w:pPr>
        <w:spacing w:line="360" w:lineRule="auto"/>
        <w:ind w:firstLine="560" w:firstLineChars="200"/>
        <w:rPr>
          <w:sz w:val="28"/>
          <w:szCs w:val="28"/>
        </w:rPr>
      </w:pPr>
      <w:r>
        <w:rPr>
          <w:rFonts w:hint="eastAsia"/>
          <w:sz w:val="28"/>
          <w:szCs w:val="28"/>
        </w:rPr>
        <w:t>（2）用电机械切断电源、燃油机械处理燃油，消除隐患，疏散无关人员，防止火灾爆炸等其他事故的发生。</w:t>
      </w:r>
    </w:p>
    <w:p>
      <w:pPr>
        <w:spacing w:line="360" w:lineRule="auto"/>
        <w:ind w:firstLine="560" w:firstLineChars="200"/>
        <w:rPr>
          <w:sz w:val="28"/>
          <w:szCs w:val="28"/>
        </w:rPr>
      </w:pPr>
      <w:r>
        <w:rPr>
          <w:rFonts w:hint="eastAsia"/>
          <w:sz w:val="28"/>
          <w:szCs w:val="28"/>
        </w:rPr>
        <w:t>（3）设立警戒线，保护事故现场，凡与事故有关的物体、痕迹、状态不得破坏，若为抢救受伤者需要移动时，必须做好现场标志。</w:t>
      </w:r>
    </w:p>
    <w:p>
      <w:pPr>
        <w:spacing w:line="360" w:lineRule="auto"/>
        <w:ind w:firstLine="560" w:firstLineChars="200"/>
        <w:rPr>
          <w:sz w:val="28"/>
          <w:szCs w:val="28"/>
        </w:rPr>
      </w:pPr>
      <w:r>
        <w:rPr>
          <w:rFonts w:hint="eastAsia"/>
          <w:sz w:val="28"/>
          <w:szCs w:val="28"/>
        </w:rPr>
        <w:t>（4）根据受伤人员情况确定救援方案。</w:t>
      </w:r>
    </w:p>
    <w:p>
      <w:pPr>
        <w:spacing w:line="360" w:lineRule="auto"/>
        <w:ind w:firstLine="560" w:firstLineChars="200"/>
        <w:rPr>
          <w:sz w:val="28"/>
          <w:szCs w:val="28"/>
        </w:rPr>
      </w:pPr>
      <w:r>
        <w:rPr>
          <w:rFonts w:hint="eastAsia"/>
          <w:sz w:val="28"/>
          <w:szCs w:val="28"/>
        </w:rPr>
        <w:t>机械伤害事故处置措施详见F2.4。</w:t>
      </w:r>
    </w:p>
    <w:p>
      <w:pPr>
        <w:pStyle w:val="2"/>
        <w:spacing w:line="360" w:lineRule="auto"/>
        <w:rPr>
          <w:rFonts w:ascii="宋体" w:hAnsi="宋体" w:eastAsia="宋体"/>
          <w:b w:val="0"/>
          <w:bCs w:val="0"/>
        </w:rPr>
      </w:pPr>
      <w:bookmarkStart w:id="94" w:name="_Toc5401"/>
      <w:r>
        <w:rPr>
          <w:rFonts w:hint="eastAsia" w:ascii="宋体" w:hAnsi="宋体" w:eastAsia="宋体"/>
          <w:b w:val="0"/>
          <w:bCs w:val="0"/>
        </w:rPr>
        <w:t>4.3.2.5物体打击事故处置要点</w:t>
      </w:r>
      <w:bookmarkEnd w:id="94"/>
    </w:p>
    <w:p>
      <w:pPr>
        <w:spacing w:line="360" w:lineRule="auto"/>
        <w:ind w:firstLine="560" w:firstLineChars="200"/>
        <w:rPr>
          <w:sz w:val="28"/>
          <w:szCs w:val="28"/>
        </w:rPr>
      </w:pPr>
      <w:r>
        <w:rPr>
          <w:rFonts w:hint="eastAsia"/>
          <w:sz w:val="28"/>
          <w:szCs w:val="28"/>
        </w:rPr>
        <w:t xml:space="preserve">（1）确定事故发生位置。 </w:t>
      </w:r>
    </w:p>
    <w:p>
      <w:pPr>
        <w:spacing w:line="360" w:lineRule="auto"/>
        <w:ind w:firstLine="560" w:firstLineChars="200"/>
        <w:rPr>
          <w:sz w:val="28"/>
          <w:szCs w:val="28"/>
        </w:rPr>
      </w:pPr>
      <w:r>
        <w:rPr>
          <w:rFonts w:hint="eastAsia"/>
          <w:sz w:val="28"/>
          <w:szCs w:val="28"/>
        </w:rPr>
        <w:t>（2）设立警戒线，保护事故现场，疏散无关人员。</w:t>
      </w:r>
    </w:p>
    <w:p>
      <w:pPr>
        <w:spacing w:line="360" w:lineRule="auto"/>
        <w:ind w:firstLine="560" w:firstLineChars="200"/>
        <w:rPr>
          <w:sz w:val="28"/>
          <w:szCs w:val="28"/>
        </w:rPr>
      </w:pPr>
      <w:r>
        <w:rPr>
          <w:rFonts w:hint="eastAsia"/>
          <w:sz w:val="28"/>
          <w:szCs w:val="28"/>
        </w:rPr>
        <w:t>（3）根据受伤人员情况确定救援方案。</w:t>
      </w:r>
    </w:p>
    <w:p>
      <w:pPr>
        <w:spacing w:line="360" w:lineRule="auto"/>
        <w:ind w:firstLine="560" w:firstLineChars="200"/>
        <w:rPr>
          <w:sz w:val="28"/>
          <w:szCs w:val="28"/>
        </w:rPr>
      </w:pPr>
      <w:r>
        <w:rPr>
          <w:rFonts w:hint="eastAsia"/>
          <w:sz w:val="28"/>
          <w:szCs w:val="28"/>
        </w:rPr>
        <w:t>物体打击事故处置措施详见F2.5。</w:t>
      </w:r>
    </w:p>
    <w:p>
      <w:pPr>
        <w:pStyle w:val="2"/>
        <w:spacing w:line="360" w:lineRule="auto"/>
        <w:rPr>
          <w:rFonts w:ascii="宋体" w:hAnsi="宋体" w:eastAsia="宋体"/>
          <w:b w:val="0"/>
          <w:bCs w:val="0"/>
        </w:rPr>
      </w:pPr>
      <w:bookmarkStart w:id="95" w:name="_Toc4007"/>
      <w:r>
        <w:rPr>
          <w:rFonts w:hint="eastAsia" w:ascii="宋体" w:hAnsi="宋体" w:eastAsia="宋体"/>
          <w:b w:val="0"/>
          <w:bCs w:val="0"/>
        </w:rPr>
        <w:t>4.3.2.6起重伤害事故处置要点</w:t>
      </w:r>
      <w:bookmarkEnd w:id="95"/>
    </w:p>
    <w:p>
      <w:pPr>
        <w:spacing w:line="360" w:lineRule="auto"/>
        <w:ind w:firstLine="560" w:firstLineChars="200"/>
        <w:rPr>
          <w:sz w:val="28"/>
          <w:szCs w:val="28"/>
        </w:rPr>
      </w:pPr>
      <w:r>
        <w:rPr>
          <w:rFonts w:hint="eastAsia"/>
          <w:sz w:val="28"/>
          <w:szCs w:val="28"/>
        </w:rPr>
        <w:t xml:space="preserve">（1）确定事故发生位置。 </w:t>
      </w:r>
    </w:p>
    <w:p>
      <w:pPr>
        <w:spacing w:line="360" w:lineRule="auto"/>
        <w:ind w:firstLine="560" w:firstLineChars="200"/>
        <w:rPr>
          <w:sz w:val="28"/>
          <w:szCs w:val="28"/>
        </w:rPr>
      </w:pPr>
      <w:r>
        <w:rPr>
          <w:rFonts w:hint="eastAsia"/>
          <w:sz w:val="28"/>
          <w:szCs w:val="28"/>
        </w:rPr>
        <w:t>（2）设立警戒线，保护事故现场，疏散无关人员。</w:t>
      </w:r>
    </w:p>
    <w:p>
      <w:pPr>
        <w:spacing w:line="360" w:lineRule="auto"/>
        <w:ind w:firstLine="560" w:firstLineChars="200"/>
        <w:rPr>
          <w:sz w:val="28"/>
          <w:szCs w:val="28"/>
        </w:rPr>
      </w:pPr>
      <w:r>
        <w:rPr>
          <w:rFonts w:hint="eastAsia"/>
          <w:sz w:val="28"/>
          <w:szCs w:val="28"/>
        </w:rPr>
        <w:t>（3）控制危险源。</w:t>
      </w:r>
    </w:p>
    <w:p>
      <w:pPr>
        <w:spacing w:line="360" w:lineRule="auto"/>
        <w:ind w:firstLine="560" w:firstLineChars="200"/>
        <w:rPr>
          <w:sz w:val="28"/>
          <w:szCs w:val="28"/>
        </w:rPr>
      </w:pPr>
      <w:r>
        <w:rPr>
          <w:rFonts w:hint="eastAsia"/>
          <w:sz w:val="28"/>
          <w:szCs w:val="28"/>
        </w:rPr>
        <w:t>（4）根据受伤人员情况确定救援方案。</w:t>
      </w:r>
    </w:p>
    <w:p>
      <w:pPr>
        <w:spacing w:line="360" w:lineRule="auto"/>
        <w:ind w:firstLine="560" w:firstLineChars="200"/>
        <w:rPr>
          <w:sz w:val="28"/>
          <w:szCs w:val="28"/>
        </w:rPr>
      </w:pPr>
      <w:r>
        <w:rPr>
          <w:rFonts w:hint="eastAsia"/>
          <w:sz w:val="28"/>
          <w:szCs w:val="28"/>
        </w:rPr>
        <w:t>起重伤害事故处置措施详见F2.6。</w:t>
      </w:r>
    </w:p>
    <w:p>
      <w:pPr>
        <w:pStyle w:val="2"/>
        <w:spacing w:line="360" w:lineRule="auto"/>
        <w:rPr>
          <w:rFonts w:ascii="宋体" w:hAnsi="宋体" w:eastAsia="宋体"/>
          <w:b w:val="0"/>
          <w:bCs w:val="0"/>
        </w:rPr>
      </w:pPr>
      <w:bookmarkStart w:id="96" w:name="_Toc25181"/>
      <w:r>
        <w:rPr>
          <w:rFonts w:hint="eastAsia" w:ascii="宋体" w:hAnsi="宋体" w:eastAsia="宋体"/>
          <w:b w:val="0"/>
          <w:bCs w:val="0"/>
        </w:rPr>
        <w:t>4.3.2.7触电事故处置要点</w:t>
      </w:r>
      <w:bookmarkEnd w:id="96"/>
    </w:p>
    <w:p>
      <w:pPr>
        <w:spacing w:line="360" w:lineRule="auto"/>
        <w:ind w:firstLine="560" w:firstLineChars="200"/>
        <w:rPr>
          <w:sz w:val="28"/>
          <w:szCs w:val="28"/>
        </w:rPr>
      </w:pPr>
      <w:r>
        <w:rPr>
          <w:rFonts w:hint="eastAsia"/>
          <w:sz w:val="28"/>
          <w:szCs w:val="28"/>
        </w:rPr>
        <w:t>（1）设立警戒线，保护事故现场，疏散无关人员。</w:t>
      </w:r>
    </w:p>
    <w:p>
      <w:pPr>
        <w:spacing w:line="360" w:lineRule="auto"/>
        <w:ind w:firstLine="560" w:firstLineChars="200"/>
        <w:rPr>
          <w:sz w:val="28"/>
          <w:szCs w:val="28"/>
        </w:rPr>
      </w:pPr>
      <w:r>
        <w:rPr>
          <w:rFonts w:hint="eastAsia"/>
          <w:sz w:val="28"/>
          <w:szCs w:val="28"/>
        </w:rPr>
        <w:t xml:space="preserve">（2）迅速切断电源或通过其他方式使触电者脱离电源。 </w:t>
      </w:r>
    </w:p>
    <w:p>
      <w:pPr>
        <w:spacing w:line="360" w:lineRule="auto"/>
        <w:ind w:firstLine="560" w:firstLineChars="200"/>
        <w:rPr>
          <w:sz w:val="28"/>
          <w:szCs w:val="28"/>
        </w:rPr>
      </w:pPr>
      <w:r>
        <w:rPr>
          <w:rFonts w:hint="eastAsia"/>
          <w:sz w:val="28"/>
          <w:szCs w:val="28"/>
        </w:rPr>
        <w:t>（3）触电者若果在高空作业时触电，断开电源时，要防止触电者发生高处坠落造成二次伤害。</w:t>
      </w:r>
    </w:p>
    <w:p>
      <w:pPr>
        <w:spacing w:line="360" w:lineRule="auto"/>
        <w:ind w:firstLine="560" w:firstLineChars="200"/>
        <w:rPr>
          <w:sz w:val="28"/>
          <w:szCs w:val="28"/>
        </w:rPr>
      </w:pPr>
      <w:r>
        <w:rPr>
          <w:rFonts w:hint="eastAsia"/>
          <w:sz w:val="28"/>
          <w:szCs w:val="28"/>
        </w:rPr>
        <w:t>（4）根据事故严重程度判断急救措施，如呼叫急救中心或人工呼吸等。</w:t>
      </w:r>
    </w:p>
    <w:p>
      <w:pPr>
        <w:spacing w:line="360" w:lineRule="auto"/>
        <w:ind w:firstLine="560" w:firstLineChars="200"/>
        <w:rPr>
          <w:sz w:val="28"/>
          <w:szCs w:val="28"/>
        </w:rPr>
      </w:pPr>
      <w:r>
        <w:rPr>
          <w:rFonts w:hint="eastAsia"/>
          <w:sz w:val="28"/>
          <w:szCs w:val="28"/>
        </w:rPr>
        <w:t>触电事故处置措施详见F2.7。</w:t>
      </w:r>
    </w:p>
    <w:p>
      <w:pPr>
        <w:pStyle w:val="2"/>
        <w:spacing w:line="360" w:lineRule="auto"/>
        <w:rPr>
          <w:rFonts w:ascii="宋体" w:hAnsi="宋体" w:eastAsia="宋体"/>
          <w:b w:val="0"/>
          <w:bCs w:val="0"/>
        </w:rPr>
      </w:pPr>
      <w:bookmarkStart w:id="97" w:name="_Toc4300"/>
      <w:r>
        <w:rPr>
          <w:rFonts w:hint="eastAsia" w:ascii="宋体" w:hAnsi="宋体" w:eastAsia="宋体"/>
          <w:b w:val="0"/>
          <w:bCs w:val="0"/>
        </w:rPr>
        <w:t>4.3.2.8高处坠落事故处置要点</w:t>
      </w:r>
      <w:bookmarkEnd w:id="97"/>
    </w:p>
    <w:p>
      <w:pPr>
        <w:spacing w:line="360" w:lineRule="auto"/>
        <w:ind w:firstLine="560" w:firstLineChars="200"/>
        <w:rPr>
          <w:sz w:val="28"/>
          <w:szCs w:val="28"/>
        </w:rPr>
      </w:pPr>
      <w:r>
        <w:rPr>
          <w:rFonts w:hint="eastAsia"/>
          <w:sz w:val="28"/>
          <w:szCs w:val="28"/>
        </w:rPr>
        <w:t xml:space="preserve">（1）确定事故发生位置。 </w:t>
      </w:r>
    </w:p>
    <w:p>
      <w:pPr>
        <w:spacing w:line="360" w:lineRule="auto"/>
        <w:ind w:firstLine="560" w:firstLineChars="200"/>
        <w:rPr>
          <w:sz w:val="28"/>
          <w:szCs w:val="28"/>
        </w:rPr>
      </w:pPr>
      <w:r>
        <w:rPr>
          <w:rFonts w:hint="eastAsia"/>
          <w:sz w:val="28"/>
          <w:szCs w:val="28"/>
        </w:rPr>
        <w:t>（2）设立警戒线，保护事故现场，疏散无关人员。</w:t>
      </w:r>
    </w:p>
    <w:p>
      <w:pPr>
        <w:spacing w:line="360" w:lineRule="auto"/>
        <w:ind w:firstLine="560" w:firstLineChars="200"/>
        <w:rPr>
          <w:sz w:val="28"/>
          <w:szCs w:val="28"/>
        </w:rPr>
      </w:pPr>
      <w:r>
        <w:rPr>
          <w:rFonts w:hint="eastAsia"/>
          <w:sz w:val="28"/>
          <w:szCs w:val="28"/>
        </w:rPr>
        <w:t>（3）根据受伤人员情况确定救援方案。</w:t>
      </w:r>
    </w:p>
    <w:p>
      <w:pPr>
        <w:spacing w:line="360" w:lineRule="auto"/>
        <w:ind w:firstLine="560" w:firstLineChars="200"/>
        <w:rPr>
          <w:sz w:val="28"/>
          <w:szCs w:val="28"/>
        </w:rPr>
      </w:pPr>
      <w:r>
        <w:rPr>
          <w:rFonts w:hint="eastAsia"/>
          <w:sz w:val="28"/>
          <w:szCs w:val="28"/>
        </w:rPr>
        <w:t>高处坠落事故处置措施详见F2.8。</w:t>
      </w:r>
    </w:p>
    <w:p>
      <w:pPr>
        <w:pStyle w:val="2"/>
        <w:spacing w:line="360" w:lineRule="auto"/>
        <w:rPr>
          <w:rFonts w:ascii="宋体" w:hAnsi="宋体" w:eastAsia="宋体"/>
          <w:b w:val="0"/>
          <w:bCs w:val="0"/>
        </w:rPr>
      </w:pPr>
      <w:bookmarkStart w:id="98" w:name="_Toc2237"/>
      <w:r>
        <w:rPr>
          <w:rFonts w:hint="eastAsia" w:ascii="宋体" w:hAnsi="宋体" w:eastAsia="宋体"/>
          <w:b w:val="0"/>
          <w:bCs w:val="0"/>
        </w:rPr>
        <w:t>4.3.2.9坍塌事故处置要点</w:t>
      </w:r>
      <w:bookmarkEnd w:id="98"/>
    </w:p>
    <w:p>
      <w:pPr>
        <w:spacing w:line="360" w:lineRule="auto"/>
        <w:ind w:firstLine="560" w:firstLineChars="200"/>
        <w:rPr>
          <w:sz w:val="28"/>
          <w:szCs w:val="28"/>
        </w:rPr>
      </w:pPr>
      <w:r>
        <w:rPr>
          <w:rFonts w:hint="eastAsia"/>
          <w:sz w:val="28"/>
          <w:szCs w:val="28"/>
        </w:rPr>
        <w:t xml:space="preserve">（1）确定事故发生位置。 </w:t>
      </w:r>
    </w:p>
    <w:p>
      <w:pPr>
        <w:spacing w:line="360" w:lineRule="auto"/>
        <w:ind w:firstLine="560" w:firstLineChars="200"/>
        <w:rPr>
          <w:sz w:val="28"/>
          <w:szCs w:val="28"/>
        </w:rPr>
      </w:pPr>
      <w:r>
        <w:rPr>
          <w:rFonts w:hint="eastAsia"/>
          <w:sz w:val="28"/>
          <w:szCs w:val="28"/>
        </w:rPr>
        <w:t>（2）设立警戒线，保护事故现场，疏散无关人员。</w:t>
      </w:r>
    </w:p>
    <w:p>
      <w:pPr>
        <w:spacing w:line="360" w:lineRule="auto"/>
        <w:ind w:firstLine="560" w:firstLineChars="200"/>
        <w:rPr>
          <w:sz w:val="28"/>
          <w:szCs w:val="28"/>
        </w:rPr>
      </w:pPr>
      <w:r>
        <w:rPr>
          <w:rFonts w:hint="eastAsia"/>
          <w:sz w:val="28"/>
          <w:szCs w:val="28"/>
        </w:rPr>
        <w:t>（3）根据受伤人员情况确定救援方案。</w:t>
      </w:r>
    </w:p>
    <w:p>
      <w:pPr>
        <w:spacing w:line="360" w:lineRule="auto"/>
        <w:ind w:firstLine="560" w:firstLineChars="200"/>
        <w:rPr>
          <w:sz w:val="28"/>
          <w:szCs w:val="28"/>
        </w:rPr>
      </w:pPr>
      <w:r>
        <w:rPr>
          <w:rFonts w:hint="eastAsia"/>
          <w:sz w:val="28"/>
          <w:szCs w:val="28"/>
        </w:rPr>
        <w:t>坍塌事故处置措施详见F2.9。</w:t>
      </w:r>
    </w:p>
    <w:p>
      <w:pPr>
        <w:pStyle w:val="2"/>
        <w:spacing w:line="360" w:lineRule="auto"/>
        <w:rPr>
          <w:rFonts w:ascii="宋体" w:hAnsi="宋体" w:eastAsia="宋体"/>
          <w:b w:val="0"/>
          <w:bCs w:val="0"/>
        </w:rPr>
      </w:pPr>
      <w:bookmarkStart w:id="99" w:name="_Toc29283"/>
      <w:r>
        <w:rPr>
          <w:rFonts w:hint="eastAsia" w:ascii="宋体" w:hAnsi="宋体" w:eastAsia="宋体"/>
          <w:b w:val="0"/>
          <w:bCs w:val="0"/>
        </w:rPr>
        <w:t>4.3.2.10电梯事故处置要点</w:t>
      </w:r>
      <w:bookmarkEnd w:id="99"/>
    </w:p>
    <w:p>
      <w:pPr>
        <w:spacing w:line="360" w:lineRule="auto"/>
        <w:ind w:firstLine="560" w:firstLineChars="200"/>
        <w:rPr>
          <w:sz w:val="28"/>
          <w:szCs w:val="28"/>
        </w:rPr>
      </w:pPr>
      <w:r>
        <w:rPr>
          <w:rFonts w:hint="eastAsia"/>
          <w:sz w:val="28"/>
          <w:szCs w:val="28"/>
        </w:rPr>
        <w:t xml:space="preserve">（1）确定事故发生位置。 </w:t>
      </w:r>
    </w:p>
    <w:p>
      <w:pPr>
        <w:spacing w:line="360" w:lineRule="auto"/>
        <w:ind w:firstLine="560" w:firstLineChars="200"/>
        <w:rPr>
          <w:sz w:val="28"/>
          <w:szCs w:val="28"/>
        </w:rPr>
      </w:pPr>
      <w:r>
        <w:rPr>
          <w:rFonts w:hint="eastAsia"/>
          <w:sz w:val="28"/>
          <w:szCs w:val="28"/>
        </w:rPr>
        <w:t>（2）设立警戒线，保护事故现场，疏散无关人员。</w:t>
      </w:r>
    </w:p>
    <w:p>
      <w:pPr>
        <w:spacing w:line="360" w:lineRule="auto"/>
        <w:ind w:firstLine="560" w:firstLineChars="200"/>
        <w:rPr>
          <w:sz w:val="28"/>
          <w:szCs w:val="28"/>
        </w:rPr>
      </w:pPr>
      <w:r>
        <w:rPr>
          <w:rFonts w:hint="eastAsia"/>
          <w:sz w:val="28"/>
          <w:szCs w:val="28"/>
        </w:rPr>
        <w:t>（3）根据受伤人员情况确定救援方案。</w:t>
      </w:r>
    </w:p>
    <w:p>
      <w:pPr>
        <w:spacing w:line="360" w:lineRule="auto"/>
        <w:ind w:firstLine="560" w:firstLineChars="200"/>
        <w:rPr>
          <w:sz w:val="28"/>
          <w:szCs w:val="28"/>
        </w:rPr>
      </w:pPr>
      <w:r>
        <w:rPr>
          <w:rFonts w:hint="eastAsia"/>
          <w:sz w:val="28"/>
          <w:szCs w:val="28"/>
        </w:rPr>
        <w:t>事故处置措施详见F2.10。</w:t>
      </w:r>
    </w:p>
    <w:p>
      <w:pPr>
        <w:spacing w:line="360" w:lineRule="auto"/>
        <w:ind w:firstLine="560" w:firstLineChars="200"/>
        <w:outlineLvl w:val="1"/>
        <w:rPr>
          <w:sz w:val="28"/>
          <w:szCs w:val="28"/>
        </w:rPr>
      </w:pPr>
      <w:bookmarkStart w:id="100" w:name="_Toc28534"/>
      <w:bookmarkStart w:id="101" w:name="_Toc3625"/>
      <w:bookmarkStart w:id="102" w:name="_Toc15266"/>
      <w:r>
        <w:rPr>
          <w:sz w:val="28"/>
          <w:szCs w:val="28"/>
        </w:rPr>
        <w:t xml:space="preserve">4.4  </w:t>
      </w:r>
      <w:r>
        <w:rPr>
          <w:rFonts w:hint="eastAsia"/>
          <w:sz w:val="28"/>
          <w:szCs w:val="28"/>
        </w:rPr>
        <w:t>应急疏散</w:t>
      </w:r>
      <w:bookmarkEnd w:id="100"/>
      <w:bookmarkEnd w:id="101"/>
      <w:bookmarkEnd w:id="102"/>
    </w:p>
    <w:p>
      <w:pPr>
        <w:spacing w:line="360" w:lineRule="auto"/>
        <w:ind w:firstLine="560" w:firstLineChars="200"/>
        <w:outlineLvl w:val="2"/>
        <w:rPr>
          <w:sz w:val="28"/>
          <w:szCs w:val="28"/>
        </w:rPr>
      </w:pPr>
      <w:bookmarkStart w:id="103" w:name="_Toc32476"/>
      <w:bookmarkStart w:id="104" w:name="_Toc31663"/>
      <w:bookmarkStart w:id="105" w:name="_Toc9955"/>
      <w:bookmarkStart w:id="106" w:name="_Toc29112"/>
      <w:r>
        <w:rPr>
          <w:sz w:val="28"/>
          <w:szCs w:val="28"/>
        </w:rPr>
        <w:t xml:space="preserve">4.4.1  </w:t>
      </w:r>
      <w:r>
        <w:rPr>
          <w:rFonts w:hint="eastAsia"/>
          <w:sz w:val="28"/>
          <w:szCs w:val="28"/>
        </w:rPr>
        <w:t>应急疏散方案</w:t>
      </w:r>
      <w:bookmarkEnd w:id="103"/>
      <w:bookmarkEnd w:id="104"/>
      <w:bookmarkEnd w:id="105"/>
      <w:bookmarkEnd w:id="106"/>
    </w:p>
    <w:p>
      <w:pPr>
        <w:spacing w:line="360" w:lineRule="auto"/>
        <w:ind w:firstLine="560" w:firstLineChars="200"/>
        <w:rPr>
          <w:sz w:val="28"/>
          <w:szCs w:val="28"/>
        </w:rPr>
      </w:pPr>
      <w:r>
        <w:rPr>
          <w:rFonts w:hint="eastAsia"/>
          <w:sz w:val="28"/>
          <w:szCs w:val="28"/>
        </w:rPr>
        <w:t>危化品发生泄漏、火灾、爆炸事故后，根据事故的态势及依据专家组、气象部门提供的资料和建议，将事故现场区域应按事故中心、波及区、受影响区域进行划分，为疏散提供依据。由现场指挥部下达应急疏散指令。</w:t>
      </w:r>
    </w:p>
    <w:p>
      <w:pPr>
        <w:spacing w:line="360" w:lineRule="auto"/>
        <w:ind w:firstLine="560" w:firstLineChars="200"/>
        <w:rPr>
          <w:sz w:val="28"/>
          <w:szCs w:val="28"/>
        </w:rPr>
      </w:pPr>
      <w:r>
        <w:rPr>
          <w:rFonts w:hint="eastAsia"/>
          <w:sz w:val="28"/>
          <w:szCs w:val="28"/>
        </w:rPr>
        <w:t>（</w:t>
      </w:r>
      <w:r>
        <w:rPr>
          <w:sz w:val="28"/>
          <w:szCs w:val="28"/>
        </w:rPr>
        <w:t>1</w:t>
      </w:r>
      <w:r>
        <w:rPr>
          <w:rFonts w:hint="eastAsia"/>
          <w:sz w:val="28"/>
          <w:szCs w:val="28"/>
        </w:rPr>
        <w:t>）对有毒有害危化品如液氨等泄漏，迅速发出紧急疏散人员的指令并明确疏散范围、路线。</w:t>
      </w:r>
    </w:p>
    <w:p>
      <w:pPr>
        <w:spacing w:line="360" w:lineRule="auto"/>
        <w:ind w:firstLine="560" w:firstLineChars="200"/>
        <w:rPr>
          <w:sz w:val="28"/>
          <w:szCs w:val="28"/>
        </w:rPr>
      </w:pPr>
      <w:r>
        <w:rPr>
          <w:rFonts w:hint="eastAsia"/>
          <w:sz w:val="28"/>
          <w:szCs w:val="28"/>
        </w:rPr>
        <w:t>（</w:t>
      </w:r>
      <w:r>
        <w:rPr>
          <w:sz w:val="28"/>
          <w:szCs w:val="28"/>
        </w:rPr>
        <w:t>2</w:t>
      </w:r>
      <w:r>
        <w:rPr>
          <w:rFonts w:hint="eastAsia"/>
          <w:sz w:val="28"/>
          <w:szCs w:val="28"/>
        </w:rPr>
        <w:t>）发生火灾爆炸事故，应急救援指挥部迅速责令企业主管部门等立即通知与事故发生地相邻的易燃、易爆生产企业停止各项作业，关闭各类物料阀门、管线等，启动喷淋等降温设施，防止事故发生对周边企业危化品储罐造成灾害影响。具体应急疏散方案如下：</w:t>
      </w:r>
    </w:p>
    <w:p>
      <w:pPr>
        <w:spacing w:line="360" w:lineRule="auto"/>
        <w:ind w:firstLine="560" w:firstLineChars="200"/>
        <w:rPr>
          <w:sz w:val="28"/>
          <w:szCs w:val="28"/>
        </w:rPr>
      </w:pPr>
      <w:r>
        <w:rPr>
          <w:rFonts w:hint="eastAsia"/>
          <w:sz w:val="28"/>
          <w:szCs w:val="28"/>
        </w:rPr>
        <w:t>①应急救援指挥部根据气象部门提供的风向、风力、温度、湿度等气象资料及专家组提出的事故疏散半径和设立安全地带建议，安全地带一般应设在上风向并远离事故发生地；立即制定出疏散转移方案，然后通知应急疏散组迅速按照方案组织实施应急疏散工作。</w:t>
      </w:r>
    </w:p>
    <w:p>
      <w:pPr>
        <w:spacing w:line="360" w:lineRule="auto"/>
        <w:ind w:firstLine="560" w:firstLineChars="200"/>
        <w:rPr>
          <w:sz w:val="28"/>
          <w:szCs w:val="28"/>
        </w:rPr>
      </w:pPr>
      <w:r>
        <w:rPr>
          <w:rFonts w:hint="eastAsia"/>
          <w:sz w:val="28"/>
          <w:szCs w:val="28"/>
        </w:rPr>
        <w:t>②安全警戒疏导组由交警中队牵头，派出所协助。可根据事故现场状况，分成事故单位内部疏散小组、邻近单位、周边群众疏散小组等，疏散小组成员由广播员、应急照明人员、引导人员、警戒人员等组成。</w:t>
      </w:r>
    </w:p>
    <w:p>
      <w:pPr>
        <w:spacing w:line="360" w:lineRule="auto"/>
        <w:ind w:firstLine="560" w:firstLineChars="200"/>
        <w:rPr>
          <w:sz w:val="28"/>
          <w:szCs w:val="28"/>
        </w:rPr>
      </w:pPr>
      <w:r>
        <w:rPr>
          <w:rFonts w:hint="eastAsia"/>
          <w:sz w:val="28"/>
          <w:szCs w:val="28"/>
        </w:rPr>
        <w:t>③危化品事故发生后，交通警戒疏导组在事发现场树立风向标志，以便救援人员随时掌握现场风向，参与应急救援的各类人员、装备应尽量处于上风向；当事故现场出现有毒、有害气体扩散时，除加强作战人员的防护外，应迅速通知有关部门，组织好区域内的居民按照指定路线紧急疏散转移到安全地带；对事故现场受伤、中毒人员要及时转移到安全区域，竭力进行紧急救治。</w:t>
      </w:r>
    </w:p>
    <w:p>
      <w:pPr>
        <w:spacing w:line="360" w:lineRule="auto"/>
        <w:ind w:firstLine="560" w:firstLineChars="200"/>
        <w:rPr>
          <w:sz w:val="28"/>
          <w:szCs w:val="28"/>
        </w:rPr>
      </w:pPr>
      <w:r>
        <w:rPr>
          <w:rFonts w:hint="eastAsia"/>
          <w:sz w:val="28"/>
          <w:szCs w:val="28"/>
        </w:rPr>
        <w:t>Ⅰ</w:t>
      </w:r>
      <w:r>
        <w:rPr>
          <w:sz w:val="28"/>
          <w:szCs w:val="28"/>
        </w:rPr>
        <w:t>.</w:t>
      </w:r>
      <w:r>
        <w:rPr>
          <w:rFonts w:hint="eastAsia"/>
          <w:sz w:val="28"/>
          <w:szCs w:val="28"/>
        </w:rPr>
        <w:t>事故单位的内部疏散。内部疏散小组迅速与事故单位负责人取得联系，请求将其内部人员疏散到该单位的临时安全集结地；同时内部疏散小组立即赶赴现场与该单位相关负责人会合，引导疏散人员安全、有序地向指定的安全地带撤离。</w:t>
      </w:r>
    </w:p>
    <w:p>
      <w:pPr>
        <w:spacing w:line="360" w:lineRule="auto"/>
        <w:ind w:firstLine="560" w:firstLineChars="200"/>
        <w:rPr>
          <w:sz w:val="28"/>
          <w:szCs w:val="28"/>
        </w:rPr>
      </w:pPr>
      <w:r>
        <w:rPr>
          <w:rFonts w:hint="eastAsia"/>
          <w:sz w:val="28"/>
          <w:szCs w:val="28"/>
        </w:rPr>
        <w:t>Ⅱ</w:t>
      </w:r>
      <w:r>
        <w:rPr>
          <w:sz w:val="28"/>
          <w:szCs w:val="28"/>
        </w:rPr>
        <w:t>.</w:t>
      </w:r>
      <w:r>
        <w:rPr>
          <w:rFonts w:hint="eastAsia"/>
          <w:sz w:val="28"/>
          <w:szCs w:val="28"/>
        </w:rPr>
        <w:t>邻近单位人员的疏散。邻近单位疏散小组先用通迅工具通知邻近单位，并要求该单位将人员疏散到该单位的指定安全区域，同时邻近单位疏散组立即赶赴现场与该单位相关负责人会合，引导疏散人员安全、有序地向指定的安全地带撤离。</w:t>
      </w:r>
    </w:p>
    <w:p>
      <w:pPr>
        <w:spacing w:line="360" w:lineRule="auto"/>
        <w:ind w:firstLine="560" w:firstLineChars="200"/>
        <w:rPr>
          <w:sz w:val="28"/>
          <w:szCs w:val="28"/>
        </w:rPr>
      </w:pPr>
      <w:r>
        <w:rPr>
          <w:rFonts w:hint="eastAsia"/>
          <w:sz w:val="28"/>
          <w:szCs w:val="28"/>
        </w:rPr>
        <w:t>Ⅲ</w:t>
      </w:r>
      <w:r>
        <w:rPr>
          <w:sz w:val="28"/>
          <w:szCs w:val="28"/>
        </w:rPr>
        <w:t>.</w:t>
      </w:r>
      <w:r>
        <w:rPr>
          <w:rFonts w:hint="eastAsia"/>
          <w:sz w:val="28"/>
          <w:szCs w:val="28"/>
        </w:rPr>
        <w:t>周边群众的疏散。外部疏散小组一边立即用通讯工具通知疏散范围内的企业和社区等，要求他们将人员疏散到指定安全区域，同时疏散小组引导人员、警戒人员等立即赶到需疏散的企事业单位、学校、社区、行政村等，引导疏散人员安全、有序地向安全地带撤离。</w:t>
      </w:r>
    </w:p>
    <w:p>
      <w:pPr>
        <w:spacing w:line="360" w:lineRule="auto"/>
        <w:ind w:firstLine="560" w:firstLineChars="200"/>
        <w:rPr>
          <w:sz w:val="28"/>
          <w:szCs w:val="28"/>
        </w:rPr>
      </w:pPr>
      <w:r>
        <w:rPr>
          <w:rFonts w:hint="eastAsia"/>
          <w:sz w:val="28"/>
          <w:szCs w:val="28"/>
        </w:rPr>
        <w:t>如果事故单位在与邻近乡镇、区域的交界处，疏散范围涉及界外的，外部疏散组组长应立即与界外的负责人取得联系，采用上述同样的方法将需疏散的人员撤离至安全地带。</w:t>
      </w:r>
    </w:p>
    <w:p>
      <w:pPr>
        <w:spacing w:line="360" w:lineRule="auto"/>
        <w:ind w:firstLine="560" w:firstLineChars="200"/>
        <w:outlineLvl w:val="2"/>
        <w:rPr>
          <w:sz w:val="28"/>
          <w:szCs w:val="28"/>
        </w:rPr>
      </w:pPr>
      <w:bookmarkStart w:id="107" w:name="_Toc24251"/>
      <w:bookmarkStart w:id="108" w:name="_Toc4108"/>
      <w:bookmarkStart w:id="109" w:name="_Toc2903"/>
      <w:bookmarkStart w:id="110" w:name="_Toc11918"/>
      <w:r>
        <w:rPr>
          <w:sz w:val="28"/>
          <w:szCs w:val="28"/>
        </w:rPr>
        <w:t xml:space="preserve">4.4.2  </w:t>
      </w:r>
      <w:r>
        <w:rPr>
          <w:rFonts w:hint="eastAsia"/>
          <w:sz w:val="28"/>
          <w:szCs w:val="28"/>
        </w:rPr>
        <w:t>应急疏散场所</w:t>
      </w:r>
      <w:bookmarkEnd w:id="107"/>
      <w:bookmarkEnd w:id="108"/>
      <w:bookmarkEnd w:id="109"/>
      <w:bookmarkEnd w:id="110"/>
    </w:p>
    <w:p>
      <w:pPr>
        <w:spacing w:line="360" w:lineRule="auto"/>
        <w:ind w:firstLine="560" w:firstLineChars="200"/>
        <w:rPr>
          <w:sz w:val="28"/>
          <w:szCs w:val="28"/>
        </w:rPr>
      </w:pPr>
      <w:r>
        <w:rPr>
          <w:rFonts w:hint="eastAsia"/>
          <w:sz w:val="28"/>
          <w:szCs w:val="28"/>
        </w:rPr>
        <w:t>可利用公园、学校、宾馆、防空设施等作为紧急情况下的临时生活的安全场所。</w:t>
      </w:r>
    </w:p>
    <w:p>
      <w:pPr>
        <w:spacing w:line="360" w:lineRule="auto"/>
        <w:ind w:firstLine="560" w:firstLineChars="200"/>
        <w:outlineLvl w:val="2"/>
        <w:rPr>
          <w:sz w:val="28"/>
          <w:szCs w:val="28"/>
        </w:rPr>
      </w:pPr>
      <w:bookmarkStart w:id="111" w:name="_Toc11724"/>
      <w:bookmarkStart w:id="112" w:name="_Toc17286"/>
      <w:bookmarkStart w:id="113" w:name="_Toc4362"/>
      <w:bookmarkStart w:id="114" w:name="_Toc28443"/>
      <w:r>
        <w:rPr>
          <w:sz w:val="28"/>
          <w:szCs w:val="28"/>
        </w:rPr>
        <w:t xml:space="preserve">4.4.3  </w:t>
      </w:r>
      <w:r>
        <w:rPr>
          <w:rFonts w:hint="eastAsia"/>
          <w:sz w:val="28"/>
          <w:szCs w:val="28"/>
        </w:rPr>
        <w:t>疏散注意事项</w:t>
      </w:r>
      <w:bookmarkEnd w:id="111"/>
      <w:bookmarkEnd w:id="112"/>
      <w:bookmarkEnd w:id="113"/>
      <w:bookmarkEnd w:id="114"/>
    </w:p>
    <w:p>
      <w:pPr>
        <w:spacing w:line="360" w:lineRule="auto"/>
        <w:ind w:firstLine="560" w:firstLineChars="200"/>
        <w:rPr>
          <w:sz w:val="28"/>
          <w:szCs w:val="28"/>
        </w:rPr>
      </w:pPr>
      <w:r>
        <w:rPr>
          <w:rFonts w:hint="eastAsia"/>
          <w:sz w:val="28"/>
          <w:szCs w:val="28"/>
        </w:rPr>
        <w:t>（</w:t>
      </w:r>
      <w:r>
        <w:rPr>
          <w:sz w:val="28"/>
          <w:szCs w:val="28"/>
        </w:rPr>
        <w:t>1</w:t>
      </w:r>
      <w:r>
        <w:rPr>
          <w:rFonts w:hint="eastAsia"/>
          <w:sz w:val="28"/>
          <w:szCs w:val="28"/>
        </w:rPr>
        <w:t>）分组实施引导人员集中的场所一旦发生灾害，由于人们急于逃生的心理作用，很可能会蜂拥而滞于通道口，造成拥挤堵塞，甚至发生挤压。此时，单位领导和工作人员要设法引导疏散，为人们指明各种疏散通道。</w:t>
      </w:r>
      <w:r>
        <w:rPr>
          <w:sz w:val="28"/>
          <w:szCs w:val="28"/>
        </w:rPr>
        <w:t xml:space="preserve"> </w:t>
      </w:r>
    </w:p>
    <w:p>
      <w:pPr>
        <w:spacing w:line="360" w:lineRule="auto"/>
        <w:ind w:firstLine="560" w:firstLineChars="200"/>
        <w:rPr>
          <w:sz w:val="28"/>
          <w:szCs w:val="28"/>
        </w:rPr>
      </w:pPr>
      <w:r>
        <w:rPr>
          <w:rFonts w:hint="eastAsia"/>
          <w:sz w:val="28"/>
          <w:szCs w:val="28"/>
        </w:rPr>
        <w:t>（</w:t>
      </w:r>
      <w:r>
        <w:rPr>
          <w:sz w:val="28"/>
          <w:szCs w:val="28"/>
        </w:rPr>
        <w:t>2</w:t>
      </w:r>
      <w:r>
        <w:rPr>
          <w:rFonts w:hint="eastAsia"/>
          <w:sz w:val="28"/>
          <w:szCs w:val="28"/>
        </w:rPr>
        <w:t>）疏散秩序维护广播员不断用手势、喊话的方式引导，稳定人员情绪，维护秩序。同时引导人员、警戒人员迅速到位，组织人员疏散，同样用广播、喊话稳定人们情绪，组织好引导疏散工作，维持好疏散秩序，防止拥挤踏伤。</w:t>
      </w:r>
    </w:p>
    <w:p>
      <w:pPr>
        <w:spacing w:line="360" w:lineRule="auto"/>
        <w:ind w:firstLine="560" w:firstLineChars="200"/>
        <w:rPr>
          <w:sz w:val="28"/>
          <w:szCs w:val="28"/>
        </w:rPr>
      </w:pPr>
      <w:r>
        <w:rPr>
          <w:rFonts w:hint="eastAsia"/>
          <w:sz w:val="28"/>
          <w:szCs w:val="28"/>
        </w:rPr>
        <w:t>（</w:t>
      </w:r>
      <w:r>
        <w:rPr>
          <w:sz w:val="28"/>
          <w:szCs w:val="28"/>
        </w:rPr>
        <w:t>3</w:t>
      </w:r>
      <w:r>
        <w:rPr>
          <w:rFonts w:hint="eastAsia"/>
          <w:sz w:val="28"/>
          <w:szCs w:val="28"/>
        </w:rPr>
        <w:t>）正确选择疏散路线。由于建筑各异，出入路线复杂，人员密集，必须根据各类建筑特点和人员流动情况选择，选择内容包括：</w:t>
      </w:r>
    </w:p>
    <w:p>
      <w:pPr>
        <w:spacing w:line="360" w:lineRule="auto"/>
        <w:ind w:firstLine="560" w:firstLineChars="200"/>
        <w:rPr>
          <w:sz w:val="28"/>
          <w:szCs w:val="28"/>
        </w:rPr>
      </w:pPr>
      <w:r>
        <w:rPr>
          <w:rFonts w:hint="eastAsia"/>
          <w:sz w:val="28"/>
          <w:szCs w:val="28"/>
        </w:rPr>
        <w:t>①选择最短的直通室外的通道、出口；</w:t>
      </w:r>
    </w:p>
    <w:p>
      <w:pPr>
        <w:spacing w:line="360" w:lineRule="auto"/>
        <w:ind w:firstLine="560" w:firstLineChars="200"/>
        <w:rPr>
          <w:sz w:val="28"/>
          <w:szCs w:val="28"/>
        </w:rPr>
      </w:pPr>
      <w:r>
        <w:rPr>
          <w:rFonts w:hint="eastAsia"/>
          <w:sz w:val="28"/>
          <w:szCs w:val="28"/>
        </w:rPr>
        <w:t>②尽量避免对面人流和交叉人流；</w:t>
      </w:r>
    </w:p>
    <w:p>
      <w:pPr>
        <w:spacing w:line="360" w:lineRule="auto"/>
        <w:ind w:firstLine="560" w:firstLineChars="200"/>
        <w:rPr>
          <w:sz w:val="28"/>
          <w:szCs w:val="28"/>
        </w:rPr>
      </w:pPr>
      <w:r>
        <w:rPr>
          <w:rFonts w:hint="eastAsia"/>
          <w:sz w:val="28"/>
          <w:szCs w:val="28"/>
        </w:rPr>
        <w:t>③选择有新鲜空气的通道出口；</w:t>
      </w:r>
    </w:p>
    <w:p>
      <w:pPr>
        <w:spacing w:line="360" w:lineRule="auto"/>
        <w:ind w:firstLine="560" w:firstLineChars="200"/>
        <w:rPr>
          <w:sz w:val="28"/>
          <w:szCs w:val="28"/>
        </w:rPr>
      </w:pPr>
      <w:r>
        <w:rPr>
          <w:rFonts w:hint="eastAsia"/>
          <w:sz w:val="28"/>
          <w:szCs w:val="28"/>
        </w:rPr>
        <w:t>④选择直接通往疏散楼梯间通道出口。</w:t>
      </w:r>
    </w:p>
    <w:p>
      <w:pPr>
        <w:spacing w:line="360" w:lineRule="auto"/>
        <w:ind w:firstLine="560" w:firstLineChars="200"/>
        <w:rPr>
          <w:sz w:val="28"/>
          <w:szCs w:val="28"/>
        </w:rPr>
      </w:pPr>
      <w:r>
        <w:rPr>
          <w:rFonts w:hint="eastAsia"/>
          <w:sz w:val="28"/>
          <w:szCs w:val="28"/>
        </w:rPr>
        <w:t>（</w:t>
      </w:r>
      <w:r>
        <w:rPr>
          <w:sz w:val="28"/>
          <w:szCs w:val="28"/>
        </w:rPr>
        <w:t>4</w:t>
      </w:r>
      <w:r>
        <w:rPr>
          <w:rFonts w:hint="eastAsia"/>
          <w:sz w:val="28"/>
          <w:szCs w:val="28"/>
        </w:rPr>
        <w:t>）疏散过程中，要注意利用口罩、毛巾、手帕等捂住鼻孔以防止烟呛、中毒，进行自救互救，有组织的向下层、出口处疏散。烟气充斥应采用较低的行走姿势，必要时应告知爬行撤离。</w:t>
      </w:r>
    </w:p>
    <w:p>
      <w:pPr>
        <w:spacing w:line="360" w:lineRule="auto"/>
        <w:ind w:firstLine="560" w:firstLineChars="200"/>
        <w:rPr>
          <w:sz w:val="28"/>
          <w:szCs w:val="28"/>
        </w:rPr>
      </w:pPr>
      <w:r>
        <w:rPr>
          <w:rFonts w:hint="eastAsia"/>
          <w:sz w:val="28"/>
          <w:szCs w:val="28"/>
        </w:rPr>
        <w:t>（</w:t>
      </w:r>
      <w:r>
        <w:rPr>
          <w:sz w:val="28"/>
          <w:szCs w:val="28"/>
        </w:rPr>
        <w:t>5</w:t>
      </w:r>
      <w:r>
        <w:rPr>
          <w:rFonts w:hint="eastAsia"/>
          <w:sz w:val="28"/>
          <w:szCs w:val="28"/>
        </w:rPr>
        <w:t>）必要时应采取强制疏导。当人们又慌乱无目的乱窜时，疏散组人员应立即组织力量掩护疏散，并设法阻止人流乱窜，采取强制疏导手段，将人员疏出险区，防止出现伤亡事故。</w:t>
      </w:r>
    </w:p>
    <w:p>
      <w:pPr>
        <w:spacing w:line="360" w:lineRule="auto"/>
        <w:ind w:firstLine="560" w:firstLineChars="200"/>
        <w:rPr>
          <w:sz w:val="28"/>
          <w:szCs w:val="28"/>
        </w:rPr>
      </w:pPr>
      <w:r>
        <w:rPr>
          <w:rFonts w:hint="eastAsia"/>
          <w:sz w:val="28"/>
          <w:szCs w:val="28"/>
        </w:rPr>
        <w:t>（</w:t>
      </w:r>
      <w:r>
        <w:rPr>
          <w:sz w:val="28"/>
          <w:szCs w:val="28"/>
        </w:rPr>
        <w:t>6</w:t>
      </w:r>
      <w:r>
        <w:rPr>
          <w:rFonts w:hint="eastAsia"/>
          <w:sz w:val="28"/>
          <w:szCs w:val="28"/>
        </w:rPr>
        <w:t>）在出口处设立警戒。出口处设立警戒，防止已被疏散的人员及寻找亲人的人员又进入危险区域。</w:t>
      </w:r>
    </w:p>
    <w:p>
      <w:pPr>
        <w:spacing w:line="360" w:lineRule="auto"/>
        <w:ind w:firstLine="560" w:firstLineChars="200"/>
        <w:rPr>
          <w:sz w:val="28"/>
          <w:szCs w:val="28"/>
        </w:rPr>
      </w:pPr>
      <w:r>
        <w:rPr>
          <w:rFonts w:hint="eastAsia"/>
          <w:sz w:val="28"/>
          <w:szCs w:val="28"/>
        </w:rPr>
        <w:t>（</w:t>
      </w:r>
      <w:r>
        <w:rPr>
          <w:sz w:val="28"/>
          <w:szCs w:val="28"/>
        </w:rPr>
        <w:t>7</w:t>
      </w:r>
      <w:r>
        <w:rPr>
          <w:rFonts w:hint="eastAsia"/>
          <w:sz w:val="28"/>
          <w:szCs w:val="28"/>
        </w:rPr>
        <w:t>）清点人数。对救出人员要清点人数，看是否全部救出，受伤者救出后应进行现场施救，严重者迅速送往医院。</w:t>
      </w:r>
      <w:r>
        <w:rPr>
          <w:sz w:val="28"/>
          <w:szCs w:val="28"/>
        </w:rPr>
        <w:t xml:space="preserve"> </w:t>
      </w:r>
    </w:p>
    <w:p>
      <w:pPr>
        <w:spacing w:line="360" w:lineRule="auto"/>
        <w:ind w:firstLine="560" w:firstLineChars="200"/>
        <w:rPr>
          <w:sz w:val="28"/>
          <w:szCs w:val="28"/>
        </w:rPr>
      </w:pPr>
      <w:r>
        <w:rPr>
          <w:rFonts w:hint="eastAsia"/>
          <w:sz w:val="28"/>
          <w:szCs w:val="28"/>
        </w:rPr>
        <w:t>（</w:t>
      </w:r>
      <w:r>
        <w:rPr>
          <w:sz w:val="28"/>
          <w:szCs w:val="28"/>
        </w:rPr>
        <w:t>8</w:t>
      </w:r>
      <w:r>
        <w:rPr>
          <w:rFonts w:hint="eastAsia"/>
          <w:sz w:val="28"/>
          <w:szCs w:val="28"/>
        </w:rPr>
        <w:t>）营救人员要做好个人防护。营救人员在进入灾害区营救时，除自身应佩带各种安全防护装具外，在条件允许时，还应携带部分用于营救被困人员的安全防护装具，对中毒危难者进行必要的保护，以保证最大限度地营救生命。</w:t>
      </w:r>
      <w:r>
        <w:rPr>
          <w:sz w:val="28"/>
          <w:szCs w:val="28"/>
        </w:rPr>
        <w:t xml:space="preserve"> </w:t>
      </w:r>
    </w:p>
    <w:p>
      <w:pPr>
        <w:spacing w:line="360" w:lineRule="auto"/>
        <w:ind w:firstLine="560" w:firstLineChars="200"/>
        <w:outlineLvl w:val="1"/>
        <w:rPr>
          <w:sz w:val="28"/>
          <w:szCs w:val="28"/>
        </w:rPr>
      </w:pPr>
      <w:bookmarkStart w:id="115" w:name="_Toc22020"/>
      <w:bookmarkStart w:id="116" w:name="_Toc21939"/>
      <w:bookmarkStart w:id="117" w:name="_Toc24435"/>
      <w:r>
        <w:rPr>
          <w:sz w:val="28"/>
          <w:szCs w:val="28"/>
        </w:rPr>
        <w:t xml:space="preserve">4.5  </w:t>
      </w:r>
      <w:r>
        <w:rPr>
          <w:rFonts w:hint="eastAsia"/>
          <w:sz w:val="28"/>
          <w:szCs w:val="28"/>
        </w:rPr>
        <w:t>应急人员的安全防护</w:t>
      </w:r>
      <w:bookmarkEnd w:id="115"/>
      <w:bookmarkEnd w:id="116"/>
      <w:bookmarkEnd w:id="117"/>
    </w:p>
    <w:p>
      <w:pPr>
        <w:spacing w:line="360" w:lineRule="auto"/>
        <w:ind w:firstLine="560" w:firstLineChars="200"/>
        <w:rPr>
          <w:sz w:val="28"/>
          <w:szCs w:val="28"/>
        </w:rPr>
      </w:pPr>
      <w:r>
        <w:rPr>
          <w:rFonts w:hint="eastAsia"/>
          <w:sz w:val="28"/>
          <w:szCs w:val="28"/>
        </w:rPr>
        <w:t>现场应急救援人员应根据危险化学品事故的性质穿戴相应的专业防护装备（如消防人员穿戴消防装备，有毒有害物质泄漏的防毒面具、防护服，防静电工作服，防爆手电及防止产生火花工具等），并采取安全防护措施（如水幕掩护等），根据风速、风向及事故特点选择合适、安全的行动位置，严格执行应急救援人员进入和离开事故现场的相关规定。</w:t>
      </w:r>
    </w:p>
    <w:p>
      <w:pPr>
        <w:spacing w:line="360" w:lineRule="auto"/>
        <w:ind w:firstLine="560" w:firstLineChars="200"/>
        <w:outlineLvl w:val="1"/>
        <w:rPr>
          <w:sz w:val="28"/>
          <w:szCs w:val="28"/>
        </w:rPr>
      </w:pPr>
      <w:bookmarkStart w:id="118" w:name="_Toc25990"/>
      <w:bookmarkStart w:id="119" w:name="_Toc20189"/>
      <w:bookmarkStart w:id="120" w:name="_Toc21941"/>
      <w:r>
        <w:rPr>
          <w:sz w:val="28"/>
          <w:szCs w:val="28"/>
        </w:rPr>
        <w:t xml:space="preserve">4.6  </w:t>
      </w:r>
      <w:r>
        <w:rPr>
          <w:rFonts w:hint="eastAsia"/>
          <w:sz w:val="28"/>
          <w:szCs w:val="28"/>
        </w:rPr>
        <w:t>群众的安全防护</w:t>
      </w:r>
      <w:bookmarkEnd w:id="118"/>
      <w:bookmarkEnd w:id="119"/>
      <w:bookmarkEnd w:id="120"/>
    </w:p>
    <w:p>
      <w:pPr>
        <w:spacing w:line="360" w:lineRule="auto"/>
        <w:ind w:firstLine="560" w:firstLineChars="200"/>
        <w:rPr>
          <w:sz w:val="28"/>
          <w:szCs w:val="28"/>
        </w:rPr>
      </w:pPr>
      <w:r>
        <w:rPr>
          <w:rFonts w:hint="eastAsia"/>
          <w:sz w:val="28"/>
          <w:szCs w:val="28"/>
        </w:rPr>
        <w:t>安全警戒疏导组负责组织群众的安全防护工作，根据危险化学品的特性，气象情况如风向、风力等，负责群众的安全疏散、转移至安全地带。</w:t>
      </w:r>
    </w:p>
    <w:p>
      <w:pPr>
        <w:spacing w:line="360" w:lineRule="auto"/>
        <w:ind w:firstLine="560" w:firstLineChars="200"/>
        <w:outlineLvl w:val="1"/>
        <w:rPr>
          <w:sz w:val="28"/>
          <w:szCs w:val="28"/>
        </w:rPr>
      </w:pPr>
      <w:bookmarkStart w:id="121" w:name="_Toc30252"/>
      <w:bookmarkStart w:id="122" w:name="_Toc28422"/>
      <w:bookmarkStart w:id="123" w:name="_Toc23038"/>
      <w:r>
        <w:rPr>
          <w:sz w:val="28"/>
          <w:szCs w:val="28"/>
        </w:rPr>
        <w:t xml:space="preserve">4.7  </w:t>
      </w:r>
      <w:r>
        <w:rPr>
          <w:rFonts w:hint="eastAsia"/>
          <w:sz w:val="28"/>
          <w:szCs w:val="28"/>
        </w:rPr>
        <w:t>现场检测与评估</w:t>
      </w:r>
      <w:bookmarkEnd w:id="121"/>
      <w:bookmarkEnd w:id="122"/>
      <w:bookmarkEnd w:id="123"/>
    </w:p>
    <w:p>
      <w:pPr>
        <w:spacing w:line="360" w:lineRule="auto"/>
        <w:ind w:firstLine="560" w:firstLineChars="200"/>
        <w:rPr>
          <w:sz w:val="28"/>
          <w:szCs w:val="28"/>
        </w:rPr>
      </w:pPr>
      <w:r>
        <w:rPr>
          <w:rFonts w:hint="eastAsia"/>
          <w:sz w:val="28"/>
          <w:szCs w:val="28"/>
        </w:rPr>
        <w:t>据需要综合分析和评价检测数据，查找事故原因，评估事故发展趋势，预测事故后果，为制订现场抢救方案和事故调查提供参考。检测与评估报告要及时上报。</w:t>
      </w:r>
    </w:p>
    <w:p>
      <w:pPr>
        <w:spacing w:line="360" w:lineRule="auto"/>
        <w:ind w:firstLine="560" w:firstLineChars="200"/>
        <w:outlineLvl w:val="1"/>
        <w:rPr>
          <w:sz w:val="28"/>
          <w:szCs w:val="28"/>
        </w:rPr>
      </w:pPr>
      <w:bookmarkStart w:id="124" w:name="_Toc23384"/>
      <w:bookmarkStart w:id="125" w:name="_Toc8482"/>
      <w:bookmarkStart w:id="126" w:name="_Toc16334"/>
      <w:r>
        <w:rPr>
          <w:sz w:val="28"/>
          <w:szCs w:val="28"/>
        </w:rPr>
        <w:t xml:space="preserve">4.8  </w:t>
      </w:r>
      <w:r>
        <w:rPr>
          <w:rFonts w:hint="eastAsia"/>
          <w:sz w:val="28"/>
          <w:szCs w:val="28"/>
        </w:rPr>
        <w:t>新闻报道</w:t>
      </w:r>
      <w:bookmarkEnd w:id="124"/>
      <w:bookmarkEnd w:id="125"/>
      <w:bookmarkEnd w:id="126"/>
    </w:p>
    <w:p>
      <w:pPr>
        <w:spacing w:line="360" w:lineRule="auto"/>
        <w:ind w:firstLine="560" w:firstLineChars="200"/>
        <w:rPr>
          <w:sz w:val="28"/>
          <w:szCs w:val="28"/>
        </w:rPr>
      </w:pPr>
      <w:r>
        <w:rPr>
          <w:rFonts w:hint="eastAsia"/>
          <w:sz w:val="28"/>
          <w:szCs w:val="28"/>
        </w:rPr>
        <w:t>注意新闻发布原则、内容、规范性格式和机构，以及审查、发布等程序。</w:t>
      </w:r>
    </w:p>
    <w:p>
      <w:pPr>
        <w:spacing w:line="360" w:lineRule="auto"/>
        <w:ind w:firstLine="560" w:firstLineChars="200"/>
        <w:rPr>
          <w:sz w:val="28"/>
          <w:szCs w:val="28"/>
        </w:rPr>
      </w:pPr>
      <w:r>
        <w:rPr>
          <w:rFonts w:hint="eastAsia"/>
          <w:sz w:val="28"/>
          <w:szCs w:val="28"/>
        </w:rPr>
        <w:t>按照及时、主动、准确把握、正确引导、讲究方式、严格把关的原则做好环境污染与破坏事故报道工作。</w:t>
      </w:r>
    </w:p>
    <w:p>
      <w:pPr>
        <w:spacing w:line="360" w:lineRule="auto"/>
        <w:ind w:firstLine="560" w:firstLineChars="200"/>
        <w:rPr>
          <w:sz w:val="28"/>
          <w:szCs w:val="28"/>
        </w:rPr>
      </w:pPr>
      <w:r>
        <w:rPr>
          <w:rFonts w:hint="eastAsia"/>
          <w:sz w:val="28"/>
          <w:szCs w:val="28"/>
        </w:rPr>
        <w:t>综合管理组按照应急领导小组的统一部署，不定期的就事故预警信息、事故救援情况、现场调查情况、事故认定意见、应急处理结束等信息进行新闻发布。</w:t>
      </w:r>
    </w:p>
    <w:p>
      <w:pPr>
        <w:spacing w:line="360" w:lineRule="auto"/>
        <w:ind w:firstLine="560" w:firstLineChars="200"/>
        <w:rPr>
          <w:sz w:val="28"/>
          <w:szCs w:val="28"/>
        </w:rPr>
      </w:pPr>
      <w:r>
        <w:rPr>
          <w:rFonts w:hint="eastAsia"/>
          <w:sz w:val="28"/>
          <w:szCs w:val="28"/>
        </w:rPr>
        <w:t>新闻稿件统一由应急领导小组负责审核。必要时，由事故应急指挥部确定新闻发言人，统一发布信息。</w:t>
      </w:r>
    </w:p>
    <w:p>
      <w:pPr>
        <w:spacing w:line="360" w:lineRule="auto"/>
        <w:ind w:firstLine="560" w:firstLineChars="200"/>
        <w:outlineLvl w:val="1"/>
        <w:rPr>
          <w:sz w:val="28"/>
          <w:szCs w:val="28"/>
        </w:rPr>
      </w:pPr>
      <w:bookmarkStart w:id="127" w:name="_Toc10540"/>
      <w:bookmarkStart w:id="128" w:name="_Toc29739"/>
      <w:bookmarkStart w:id="129" w:name="_Toc31832"/>
      <w:r>
        <w:rPr>
          <w:sz w:val="28"/>
          <w:szCs w:val="28"/>
        </w:rPr>
        <w:t xml:space="preserve">4.9  </w:t>
      </w:r>
      <w:r>
        <w:rPr>
          <w:rFonts w:hint="eastAsia"/>
          <w:sz w:val="28"/>
          <w:szCs w:val="28"/>
        </w:rPr>
        <w:t>应急结束</w:t>
      </w:r>
      <w:bookmarkEnd w:id="127"/>
      <w:bookmarkEnd w:id="128"/>
      <w:bookmarkEnd w:id="129"/>
    </w:p>
    <w:p>
      <w:pPr>
        <w:spacing w:line="360" w:lineRule="auto"/>
        <w:ind w:firstLine="560" w:firstLineChars="200"/>
        <w:rPr>
          <w:sz w:val="28"/>
          <w:szCs w:val="28"/>
        </w:rPr>
      </w:pPr>
      <w:r>
        <w:rPr>
          <w:sz w:val="28"/>
          <w:szCs w:val="28"/>
        </w:rPr>
        <w:t xml:space="preserve">4.9.1  </w:t>
      </w:r>
      <w:r>
        <w:rPr>
          <w:rFonts w:hint="eastAsia"/>
          <w:sz w:val="28"/>
          <w:szCs w:val="28"/>
        </w:rPr>
        <w:t>应急终止条件</w:t>
      </w:r>
    </w:p>
    <w:p>
      <w:pPr>
        <w:spacing w:line="360" w:lineRule="auto"/>
        <w:ind w:firstLine="560" w:firstLineChars="200"/>
        <w:rPr>
          <w:sz w:val="28"/>
          <w:szCs w:val="28"/>
        </w:rPr>
      </w:pPr>
      <w:r>
        <w:rPr>
          <w:rFonts w:hint="eastAsia"/>
          <w:sz w:val="28"/>
          <w:szCs w:val="28"/>
        </w:rPr>
        <w:t>（</w:t>
      </w:r>
      <w:r>
        <w:rPr>
          <w:sz w:val="28"/>
          <w:szCs w:val="28"/>
        </w:rPr>
        <w:t>1</w:t>
      </w:r>
      <w:r>
        <w:rPr>
          <w:rFonts w:hint="eastAsia"/>
          <w:sz w:val="28"/>
          <w:szCs w:val="28"/>
        </w:rPr>
        <w:t>）事故现场得到控制</w:t>
      </w:r>
      <w:r>
        <w:rPr>
          <w:sz w:val="28"/>
          <w:szCs w:val="28"/>
        </w:rPr>
        <w:t>,</w:t>
      </w:r>
      <w:r>
        <w:rPr>
          <w:rFonts w:hint="eastAsia"/>
          <w:sz w:val="28"/>
          <w:szCs w:val="28"/>
        </w:rPr>
        <w:t>事故成立的条件已经消除；</w:t>
      </w:r>
    </w:p>
    <w:p>
      <w:pPr>
        <w:spacing w:line="360" w:lineRule="auto"/>
        <w:ind w:firstLine="560" w:firstLineChars="200"/>
        <w:rPr>
          <w:sz w:val="28"/>
          <w:szCs w:val="28"/>
        </w:rPr>
      </w:pPr>
      <w:r>
        <w:rPr>
          <w:rFonts w:hint="eastAsia"/>
          <w:sz w:val="28"/>
          <w:szCs w:val="28"/>
        </w:rPr>
        <w:t>（</w:t>
      </w:r>
      <w:r>
        <w:rPr>
          <w:sz w:val="28"/>
          <w:szCs w:val="28"/>
        </w:rPr>
        <w:t>2</w:t>
      </w:r>
      <w:r>
        <w:rPr>
          <w:rFonts w:hint="eastAsia"/>
          <w:sz w:val="28"/>
          <w:szCs w:val="28"/>
        </w:rPr>
        <w:t>）事故所造成的危害已基本消除</w:t>
      </w:r>
      <w:r>
        <w:rPr>
          <w:sz w:val="28"/>
          <w:szCs w:val="28"/>
        </w:rPr>
        <w:t>,</w:t>
      </w:r>
      <w:r>
        <w:rPr>
          <w:rFonts w:hint="eastAsia"/>
          <w:sz w:val="28"/>
          <w:szCs w:val="28"/>
        </w:rPr>
        <w:t>无继发可能；</w:t>
      </w:r>
    </w:p>
    <w:p>
      <w:pPr>
        <w:spacing w:line="360" w:lineRule="auto"/>
        <w:ind w:firstLine="560" w:firstLineChars="200"/>
        <w:rPr>
          <w:sz w:val="28"/>
          <w:szCs w:val="28"/>
        </w:rPr>
      </w:pPr>
      <w:r>
        <w:rPr>
          <w:rFonts w:hint="eastAsia"/>
          <w:sz w:val="28"/>
          <w:szCs w:val="28"/>
        </w:rPr>
        <w:t>（</w:t>
      </w:r>
      <w:r>
        <w:rPr>
          <w:sz w:val="28"/>
          <w:szCs w:val="28"/>
        </w:rPr>
        <w:t>3</w:t>
      </w:r>
      <w:r>
        <w:rPr>
          <w:rFonts w:hint="eastAsia"/>
          <w:sz w:val="28"/>
          <w:szCs w:val="28"/>
        </w:rPr>
        <w:t>）已采取必要的防护措施保护人员及群众避免再次遭受危害</w:t>
      </w:r>
      <w:r>
        <w:rPr>
          <w:sz w:val="28"/>
          <w:szCs w:val="28"/>
        </w:rPr>
        <w:t>,</w:t>
      </w:r>
      <w:r>
        <w:rPr>
          <w:rFonts w:hint="eastAsia"/>
          <w:sz w:val="28"/>
          <w:szCs w:val="28"/>
        </w:rPr>
        <w:t>使事故可能引起的后果趋于合理且较低的水平；</w:t>
      </w:r>
    </w:p>
    <w:p>
      <w:pPr>
        <w:spacing w:line="360" w:lineRule="auto"/>
        <w:ind w:firstLine="560" w:firstLineChars="200"/>
        <w:rPr>
          <w:sz w:val="28"/>
          <w:szCs w:val="28"/>
        </w:rPr>
      </w:pPr>
      <w:r>
        <w:rPr>
          <w:rFonts w:hint="eastAsia"/>
          <w:sz w:val="28"/>
          <w:szCs w:val="28"/>
        </w:rPr>
        <w:t>（</w:t>
      </w:r>
      <w:r>
        <w:rPr>
          <w:sz w:val="28"/>
          <w:szCs w:val="28"/>
        </w:rPr>
        <w:t>4</w:t>
      </w:r>
      <w:r>
        <w:rPr>
          <w:rFonts w:hint="eastAsia"/>
          <w:sz w:val="28"/>
          <w:szCs w:val="28"/>
        </w:rPr>
        <w:t>）事故现场各专业应急处置行动已无继续的必要。</w:t>
      </w:r>
    </w:p>
    <w:p>
      <w:pPr>
        <w:spacing w:line="360" w:lineRule="auto"/>
        <w:ind w:firstLine="560" w:firstLineChars="200"/>
        <w:rPr>
          <w:sz w:val="28"/>
          <w:szCs w:val="28"/>
        </w:rPr>
      </w:pPr>
      <w:r>
        <w:rPr>
          <w:sz w:val="28"/>
          <w:szCs w:val="28"/>
        </w:rPr>
        <w:t xml:space="preserve">4.9.2  </w:t>
      </w:r>
      <w:r>
        <w:rPr>
          <w:rFonts w:hint="eastAsia"/>
          <w:sz w:val="28"/>
          <w:szCs w:val="28"/>
        </w:rPr>
        <w:t>应急终止程序</w:t>
      </w:r>
    </w:p>
    <w:p>
      <w:pPr>
        <w:spacing w:line="360" w:lineRule="auto"/>
        <w:ind w:firstLine="560" w:firstLineChars="200"/>
        <w:rPr>
          <w:sz w:val="28"/>
          <w:szCs w:val="28"/>
        </w:rPr>
      </w:pPr>
      <w:r>
        <w:rPr>
          <w:rFonts w:hint="eastAsia"/>
          <w:sz w:val="28"/>
          <w:szCs w:val="28"/>
        </w:rPr>
        <w:t>（</w:t>
      </w:r>
      <w:r>
        <w:rPr>
          <w:sz w:val="28"/>
          <w:szCs w:val="28"/>
        </w:rPr>
        <w:t>1</w:t>
      </w:r>
      <w:r>
        <w:rPr>
          <w:rFonts w:hint="eastAsia"/>
          <w:sz w:val="28"/>
          <w:szCs w:val="28"/>
        </w:rPr>
        <w:t>）安委会协助专家咨询组调查论证，确认生产安全事故已具备应急终止条件，并向应急救援指挥部报告；</w:t>
      </w:r>
    </w:p>
    <w:p>
      <w:pPr>
        <w:spacing w:line="360" w:lineRule="auto"/>
        <w:ind w:firstLine="560" w:firstLineChars="200"/>
        <w:rPr>
          <w:sz w:val="28"/>
          <w:szCs w:val="28"/>
        </w:rPr>
      </w:pPr>
      <w:r>
        <w:rPr>
          <w:rFonts w:hint="eastAsia"/>
          <w:sz w:val="28"/>
          <w:szCs w:val="28"/>
        </w:rPr>
        <w:t>（</w:t>
      </w:r>
      <w:r>
        <w:rPr>
          <w:sz w:val="28"/>
          <w:szCs w:val="28"/>
        </w:rPr>
        <w:t>2</w:t>
      </w:r>
      <w:r>
        <w:rPr>
          <w:rFonts w:hint="eastAsia"/>
          <w:sz w:val="28"/>
          <w:szCs w:val="28"/>
        </w:rPr>
        <w:t>）应急救援总指挥宣布应急结束，应急救援指挥部下达应急救援队伍集合指令；</w:t>
      </w:r>
    </w:p>
    <w:p>
      <w:pPr>
        <w:spacing w:line="360" w:lineRule="auto"/>
        <w:ind w:firstLine="560" w:firstLineChars="200"/>
        <w:rPr>
          <w:sz w:val="28"/>
          <w:szCs w:val="28"/>
        </w:rPr>
      </w:pPr>
      <w:r>
        <w:rPr>
          <w:rFonts w:hint="eastAsia"/>
          <w:sz w:val="28"/>
          <w:szCs w:val="28"/>
        </w:rPr>
        <w:t>（</w:t>
      </w:r>
      <w:r>
        <w:rPr>
          <w:sz w:val="28"/>
          <w:szCs w:val="28"/>
        </w:rPr>
        <w:t>3</w:t>
      </w:r>
      <w:r>
        <w:rPr>
          <w:rFonts w:hint="eastAsia"/>
          <w:sz w:val="28"/>
          <w:szCs w:val="28"/>
        </w:rPr>
        <w:t>）各应急救援队伍集合，并清点人数、装备后，由应急救援总指挥简要总结此次应急行动，并下达有序撤离指令；</w:t>
      </w:r>
    </w:p>
    <w:p>
      <w:pPr>
        <w:spacing w:line="360" w:lineRule="auto"/>
        <w:ind w:firstLine="560" w:firstLineChars="200"/>
        <w:rPr>
          <w:sz w:val="28"/>
          <w:szCs w:val="28"/>
        </w:rPr>
      </w:pPr>
      <w:r>
        <w:rPr>
          <w:rFonts w:hint="eastAsia"/>
          <w:sz w:val="28"/>
          <w:szCs w:val="28"/>
        </w:rPr>
        <w:t>（</w:t>
      </w:r>
      <w:r>
        <w:rPr>
          <w:sz w:val="28"/>
          <w:szCs w:val="28"/>
        </w:rPr>
        <w:t>4</w:t>
      </w:r>
      <w:r>
        <w:rPr>
          <w:rFonts w:hint="eastAsia"/>
          <w:sz w:val="28"/>
          <w:szCs w:val="28"/>
        </w:rPr>
        <w:t>）按相关规定向社会发布危险化学品突发事故应急终止信息；</w:t>
      </w:r>
    </w:p>
    <w:p>
      <w:pPr>
        <w:spacing w:line="560" w:lineRule="exact"/>
        <w:ind w:firstLine="560" w:firstLineChars="200"/>
        <w:rPr>
          <w:sz w:val="28"/>
          <w:szCs w:val="28"/>
        </w:rPr>
      </w:pPr>
      <w:r>
        <w:rPr>
          <w:rFonts w:hint="eastAsia"/>
          <w:sz w:val="28"/>
          <w:szCs w:val="28"/>
        </w:rPr>
        <w:t>（</w:t>
      </w:r>
      <w:r>
        <w:rPr>
          <w:sz w:val="28"/>
          <w:szCs w:val="28"/>
        </w:rPr>
        <w:t>5</w:t>
      </w:r>
      <w:r>
        <w:rPr>
          <w:rFonts w:hint="eastAsia"/>
          <w:sz w:val="28"/>
          <w:szCs w:val="28"/>
        </w:rPr>
        <w:t>）按相关规定，由城厢镇安委会组织相关人员进行应急行动后的评价，编制应急评价报告，存档备案，并上报有关部门。</w:t>
      </w:r>
    </w:p>
    <w:p>
      <w:pPr>
        <w:spacing w:line="560" w:lineRule="exact"/>
        <w:ind w:firstLine="560" w:firstLineChars="200"/>
        <w:rPr>
          <w:sz w:val="28"/>
          <w:szCs w:val="28"/>
        </w:rPr>
      </w:pPr>
    </w:p>
    <w:p>
      <w:pPr>
        <w:spacing w:line="560" w:lineRule="exact"/>
        <w:ind w:firstLine="560" w:firstLineChars="200"/>
        <w:rPr>
          <w:sz w:val="28"/>
          <w:szCs w:val="28"/>
        </w:rPr>
      </w:pPr>
    </w:p>
    <w:p>
      <w:pPr>
        <w:spacing w:line="560" w:lineRule="exact"/>
        <w:ind w:firstLine="560" w:firstLineChars="200"/>
        <w:rPr>
          <w:sz w:val="28"/>
          <w:szCs w:val="28"/>
        </w:rPr>
      </w:pPr>
    </w:p>
    <w:p>
      <w:pPr>
        <w:spacing w:line="560" w:lineRule="exact"/>
        <w:ind w:firstLine="560" w:firstLineChars="200"/>
        <w:rPr>
          <w:sz w:val="28"/>
          <w:szCs w:val="28"/>
        </w:rPr>
      </w:pPr>
    </w:p>
    <w:p>
      <w:pPr>
        <w:spacing w:line="560" w:lineRule="exact"/>
        <w:ind w:firstLine="560" w:firstLineChars="200"/>
        <w:rPr>
          <w:sz w:val="28"/>
          <w:szCs w:val="28"/>
        </w:rPr>
      </w:pPr>
    </w:p>
    <w:p>
      <w:pPr>
        <w:spacing w:line="560" w:lineRule="exact"/>
        <w:ind w:firstLine="560" w:firstLineChars="200"/>
        <w:rPr>
          <w:sz w:val="28"/>
          <w:szCs w:val="28"/>
        </w:rPr>
      </w:pPr>
    </w:p>
    <w:p>
      <w:pPr>
        <w:spacing w:line="560" w:lineRule="exact"/>
        <w:ind w:firstLine="560" w:firstLineChars="200"/>
        <w:rPr>
          <w:sz w:val="28"/>
          <w:szCs w:val="28"/>
        </w:rPr>
      </w:pPr>
    </w:p>
    <w:p>
      <w:pPr>
        <w:spacing w:line="560" w:lineRule="exact"/>
        <w:ind w:firstLine="560" w:firstLineChars="200"/>
        <w:rPr>
          <w:sz w:val="28"/>
          <w:szCs w:val="28"/>
        </w:rPr>
      </w:pPr>
    </w:p>
    <w:p>
      <w:pPr>
        <w:spacing w:line="560" w:lineRule="exact"/>
        <w:ind w:firstLine="560" w:firstLineChars="200"/>
        <w:rPr>
          <w:sz w:val="28"/>
          <w:szCs w:val="28"/>
        </w:rPr>
      </w:pPr>
    </w:p>
    <w:p>
      <w:pPr>
        <w:spacing w:line="560" w:lineRule="exact"/>
        <w:ind w:firstLine="560" w:firstLineChars="200"/>
        <w:rPr>
          <w:sz w:val="28"/>
          <w:szCs w:val="28"/>
        </w:rPr>
      </w:pPr>
    </w:p>
    <w:p>
      <w:pPr>
        <w:spacing w:line="560" w:lineRule="exact"/>
        <w:ind w:firstLine="560" w:firstLineChars="200"/>
        <w:rPr>
          <w:sz w:val="28"/>
          <w:szCs w:val="28"/>
        </w:rPr>
      </w:pPr>
    </w:p>
    <w:p>
      <w:pPr>
        <w:spacing w:line="560" w:lineRule="exact"/>
        <w:ind w:firstLine="560" w:firstLineChars="200"/>
        <w:rPr>
          <w:sz w:val="28"/>
          <w:szCs w:val="28"/>
        </w:rPr>
      </w:pPr>
    </w:p>
    <w:p>
      <w:pPr>
        <w:spacing w:line="560" w:lineRule="exact"/>
        <w:ind w:firstLine="560" w:firstLineChars="200"/>
        <w:rPr>
          <w:sz w:val="28"/>
          <w:szCs w:val="28"/>
        </w:rPr>
      </w:pPr>
    </w:p>
    <w:p>
      <w:pPr>
        <w:spacing w:line="560" w:lineRule="exact"/>
        <w:ind w:firstLine="560" w:firstLineChars="200"/>
        <w:rPr>
          <w:sz w:val="28"/>
          <w:szCs w:val="28"/>
        </w:rPr>
      </w:pPr>
    </w:p>
    <w:p>
      <w:pPr>
        <w:spacing w:line="560" w:lineRule="exact"/>
        <w:ind w:firstLine="560" w:firstLineChars="200"/>
        <w:rPr>
          <w:sz w:val="28"/>
          <w:szCs w:val="28"/>
        </w:rPr>
      </w:pPr>
    </w:p>
    <w:p>
      <w:pPr>
        <w:spacing w:line="560" w:lineRule="exact"/>
        <w:ind w:firstLine="560" w:firstLineChars="200"/>
        <w:rPr>
          <w:sz w:val="28"/>
          <w:szCs w:val="28"/>
        </w:rPr>
      </w:pPr>
    </w:p>
    <w:p>
      <w:pPr>
        <w:spacing w:line="360" w:lineRule="auto"/>
        <w:jc w:val="center"/>
        <w:outlineLvl w:val="0"/>
        <w:rPr>
          <w:b/>
          <w:sz w:val="28"/>
          <w:szCs w:val="28"/>
        </w:rPr>
      </w:pPr>
      <w:bookmarkStart w:id="130" w:name="_Toc21601"/>
      <w:bookmarkStart w:id="131" w:name="_Toc23489"/>
      <w:bookmarkStart w:id="132" w:name="_Toc5594"/>
      <w:r>
        <w:rPr>
          <w:b/>
          <w:sz w:val="28"/>
          <w:szCs w:val="28"/>
        </w:rPr>
        <w:t xml:space="preserve">5  </w:t>
      </w:r>
      <w:r>
        <w:rPr>
          <w:rFonts w:hint="eastAsia"/>
          <w:b/>
          <w:sz w:val="28"/>
          <w:szCs w:val="28"/>
        </w:rPr>
        <w:t>后期处置</w:t>
      </w:r>
      <w:bookmarkEnd w:id="130"/>
      <w:bookmarkEnd w:id="131"/>
      <w:bookmarkEnd w:id="132"/>
    </w:p>
    <w:p>
      <w:pPr>
        <w:spacing w:line="360" w:lineRule="auto"/>
        <w:ind w:firstLine="560" w:firstLineChars="200"/>
        <w:outlineLvl w:val="1"/>
        <w:rPr>
          <w:sz w:val="28"/>
          <w:szCs w:val="28"/>
        </w:rPr>
      </w:pPr>
      <w:bookmarkStart w:id="133" w:name="_Toc28605"/>
      <w:bookmarkStart w:id="134" w:name="_Toc18854"/>
      <w:bookmarkStart w:id="135" w:name="_Toc12928"/>
      <w:r>
        <w:rPr>
          <w:sz w:val="28"/>
          <w:szCs w:val="28"/>
        </w:rPr>
        <w:t xml:space="preserve">5.1  </w:t>
      </w:r>
      <w:r>
        <w:rPr>
          <w:rFonts w:hint="eastAsia"/>
          <w:sz w:val="28"/>
          <w:szCs w:val="28"/>
        </w:rPr>
        <w:t>善后处置</w:t>
      </w:r>
      <w:bookmarkEnd w:id="133"/>
      <w:bookmarkEnd w:id="134"/>
      <w:bookmarkEnd w:id="135"/>
    </w:p>
    <w:p>
      <w:pPr>
        <w:spacing w:line="360" w:lineRule="auto"/>
        <w:ind w:firstLine="560" w:firstLineChars="200"/>
        <w:rPr>
          <w:sz w:val="28"/>
          <w:szCs w:val="28"/>
        </w:rPr>
      </w:pPr>
      <w:r>
        <w:rPr>
          <w:rFonts w:hint="eastAsia"/>
          <w:sz w:val="28"/>
          <w:szCs w:val="28"/>
        </w:rPr>
        <w:t>做好人员安置、补偿、物资和劳务的征用补偿，灾后重建、污染物收集、清理与处理相关工作。</w:t>
      </w:r>
    </w:p>
    <w:p>
      <w:pPr>
        <w:spacing w:line="360" w:lineRule="auto"/>
        <w:ind w:firstLine="560" w:firstLineChars="200"/>
        <w:rPr>
          <w:sz w:val="28"/>
          <w:szCs w:val="28"/>
        </w:rPr>
      </w:pPr>
      <w:r>
        <w:rPr>
          <w:rFonts w:hint="eastAsia"/>
          <w:sz w:val="28"/>
          <w:szCs w:val="28"/>
        </w:rPr>
        <w:t>（</w:t>
      </w:r>
      <w:r>
        <w:rPr>
          <w:sz w:val="28"/>
          <w:szCs w:val="28"/>
        </w:rPr>
        <w:t>1</w:t>
      </w:r>
      <w:r>
        <w:rPr>
          <w:rFonts w:hint="eastAsia"/>
          <w:sz w:val="28"/>
          <w:szCs w:val="28"/>
        </w:rPr>
        <w:t>）应急工作宣告结束后，根据事故性质、工作需要及现场专家组的科学结论及相应监测意见，应急处理后援力量开展现场处置工作，消除污染隐患；同时监测部门提供跟踪性监测；安全、环境监察部门对现场进行看护。收集污染物、清理现场、恢复生产和生活秩序，以及卫生防疫、物资征用补偿等善后处置工作。</w:t>
      </w:r>
    </w:p>
    <w:p>
      <w:pPr>
        <w:spacing w:line="360" w:lineRule="auto"/>
        <w:ind w:firstLine="560" w:firstLineChars="200"/>
        <w:rPr>
          <w:sz w:val="28"/>
          <w:szCs w:val="28"/>
        </w:rPr>
      </w:pPr>
      <w:r>
        <w:rPr>
          <w:rFonts w:hint="eastAsia"/>
          <w:sz w:val="28"/>
          <w:szCs w:val="28"/>
        </w:rPr>
        <w:t>（</w:t>
      </w:r>
      <w:r>
        <w:rPr>
          <w:sz w:val="28"/>
          <w:szCs w:val="28"/>
        </w:rPr>
        <w:t>2</w:t>
      </w:r>
      <w:r>
        <w:rPr>
          <w:rFonts w:hint="eastAsia"/>
          <w:sz w:val="28"/>
          <w:szCs w:val="28"/>
        </w:rPr>
        <w:t>）由党政办、经济发展局、公安派出所等部门组成事故善后处理工作组，其他相关部门参与善后处理工作。包括伤亡救援人员、遇难人员补偿、亲属的安置、征用物资补偿，救援费用的支付，灾后重建，污染物收集、清理与处理等事项；负责恢复正常工作秩序，消除事故后果和影响，安抚受害和受影响人员，保证社会稳定。</w:t>
      </w:r>
    </w:p>
    <w:p>
      <w:pPr>
        <w:spacing w:line="360" w:lineRule="auto"/>
        <w:ind w:firstLine="560" w:firstLineChars="200"/>
        <w:outlineLvl w:val="1"/>
        <w:rPr>
          <w:sz w:val="28"/>
          <w:szCs w:val="28"/>
        </w:rPr>
      </w:pPr>
      <w:bookmarkStart w:id="136" w:name="_Toc20963"/>
      <w:bookmarkStart w:id="137" w:name="_Toc23227"/>
      <w:bookmarkStart w:id="138" w:name="_Toc9278"/>
      <w:r>
        <w:rPr>
          <w:sz w:val="28"/>
          <w:szCs w:val="28"/>
        </w:rPr>
        <w:t xml:space="preserve">5.2  </w:t>
      </w:r>
      <w:r>
        <w:rPr>
          <w:rFonts w:hint="eastAsia"/>
          <w:sz w:val="28"/>
          <w:szCs w:val="28"/>
        </w:rPr>
        <w:t>社会救助</w:t>
      </w:r>
      <w:bookmarkEnd w:id="136"/>
      <w:bookmarkEnd w:id="137"/>
      <w:bookmarkEnd w:id="138"/>
    </w:p>
    <w:p>
      <w:pPr>
        <w:spacing w:line="360" w:lineRule="auto"/>
        <w:ind w:firstLine="560" w:firstLineChars="200"/>
        <w:rPr>
          <w:sz w:val="28"/>
          <w:szCs w:val="28"/>
        </w:rPr>
      </w:pPr>
      <w:r>
        <w:rPr>
          <w:rFonts w:hint="eastAsia"/>
          <w:sz w:val="28"/>
          <w:szCs w:val="28"/>
        </w:rPr>
        <w:t>（</w:t>
      </w:r>
      <w:r>
        <w:rPr>
          <w:sz w:val="28"/>
          <w:szCs w:val="28"/>
        </w:rPr>
        <w:t>1</w:t>
      </w:r>
      <w:r>
        <w:rPr>
          <w:rFonts w:hint="eastAsia"/>
          <w:sz w:val="28"/>
          <w:szCs w:val="28"/>
        </w:rPr>
        <w:t>）事故处理组应做好安置场所设置、救济物资的接收、使用和发放等政府救济工作；</w:t>
      </w:r>
    </w:p>
    <w:p>
      <w:pPr>
        <w:spacing w:line="360" w:lineRule="auto"/>
        <w:ind w:firstLine="560" w:firstLineChars="200"/>
        <w:rPr>
          <w:sz w:val="28"/>
          <w:szCs w:val="28"/>
        </w:rPr>
      </w:pPr>
      <w:r>
        <w:rPr>
          <w:rFonts w:hint="eastAsia"/>
          <w:sz w:val="28"/>
          <w:szCs w:val="28"/>
        </w:rPr>
        <w:t>（</w:t>
      </w:r>
      <w:r>
        <w:rPr>
          <w:sz w:val="28"/>
          <w:szCs w:val="28"/>
        </w:rPr>
        <w:t>2</w:t>
      </w:r>
      <w:r>
        <w:rPr>
          <w:rFonts w:hint="eastAsia"/>
          <w:sz w:val="28"/>
          <w:szCs w:val="28"/>
        </w:rPr>
        <w:t>）组织好红十字会、慈善基金会等公益性社会团体，组织动员和开展互助、互济和救灾捐赠活动，积极吸纳各类捐赠救助款物</w:t>
      </w:r>
      <w:r>
        <w:rPr>
          <w:sz w:val="28"/>
          <w:szCs w:val="28"/>
        </w:rPr>
        <w:t>,</w:t>
      </w:r>
      <w:r>
        <w:rPr>
          <w:rFonts w:hint="eastAsia"/>
          <w:sz w:val="28"/>
          <w:szCs w:val="28"/>
        </w:rPr>
        <w:t>使事故受灾单位、人员得到妥善安置；</w:t>
      </w:r>
    </w:p>
    <w:p>
      <w:pPr>
        <w:spacing w:line="360" w:lineRule="auto"/>
        <w:ind w:firstLine="560" w:firstLineChars="200"/>
        <w:rPr>
          <w:sz w:val="28"/>
          <w:szCs w:val="28"/>
        </w:rPr>
      </w:pPr>
      <w:r>
        <w:rPr>
          <w:rFonts w:hint="eastAsia"/>
          <w:sz w:val="28"/>
          <w:szCs w:val="28"/>
        </w:rPr>
        <w:t>（</w:t>
      </w:r>
      <w:r>
        <w:rPr>
          <w:sz w:val="28"/>
          <w:szCs w:val="28"/>
        </w:rPr>
        <w:t>3</w:t>
      </w:r>
      <w:r>
        <w:rPr>
          <w:rFonts w:hint="eastAsia"/>
          <w:sz w:val="28"/>
          <w:szCs w:val="28"/>
        </w:rPr>
        <w:t>）及时向社会公布救济物资的接受、使用和发放情况；对所征用的物资和劳务，核定补偿标准和数量，确定补偿日期和补偿办法，报城厢镇安委会同意后实施。</w:t>
      </w:r>
    </w:p>
    <w:p>
      <w:pPr>
        <w:spacing w:line="360" w:lineRule="auto"/>
        <w:ind w:firstLine="560" w:firstLineChars="200"/>
        <w:outlineLvl w:val="1"/>
        <w:rPr>
          <w:sz w:val="28"/>
          <w:szCs w:val="28"/>
        </w:rPr>
      </w:pPr>
      <w:bookmarkStart w:id="139" w:name="_Toc13523"/>
      <w:bookmarkStart w:id="140" w:name="_Toc5679"/>
      <w:bookmarkStart w:id="141" w:name="_Toc3503"/>
      <w:r>
        <w:rPr>
          <w:sz w:val="28"/>
          <w:szCs w:val="28"/>
        </w:rPr>
        <w:t xml:space="preserve">5.3  </w:t>
      </w:r>
      <w:r>
        <w:rPr>
          <w:rFonts w:hint="eastAsia"/>
          <w:sz w:val="28"/>
          <w:szCs w:val="28"/>
        </w:rPr>
        <w:t>调查报告和经验教训总结及改进建议</w:t>
      </w:r>
      <w:bookmarkEnd w:id="139"/>
      <w:bookmarkEnd w:id="140"/>
      <w:bookmarkEnd w:id="141"/>
    </w:p>
    <w:p>
      <w:pPr>
        <w:spacing w:line="360" w:lineRule="auto"/>
        <w:ind w:firstLine="560" w:firstLineChars="200"/>
        <w:rPr>
          <w:sz w:val="28"/>
          <w:szCs w:val="28"/>
        </w:rPr>
      </w:pPr>
      <w:r>
        <w:rPr>
          <w:rFonts w:hint="eastAsia"/>
          <w:sz w:val="28"/>
          <w:szCs w:val="28"/>
        </w:rPr>
        <w:t>（</w:t>
      </w:r>
      <w:r>
        <w:rPr>
          <w:sz w:val="28"/>
          <w:szCs w:val="28"/>
        </w:rPr>
        <w:t>1</w:t>
      </w:r>
      <w:r>
        <w:rPr>
          <w:rFonts w:hint="eastAsia"/>
          <w:sz w:val="28"/>
          <w:szCs w:val="28"/>
        </w:rPr>
        <w:t>）应急救援任务结束后，各应急救援小组和现场指挥部及参与应急救援工作的其他部门应做好救援总结（包括救援经验、教训以及对本应急预案的意见和建议）。</w:t>
      </w:r>
    </w:p>
    <w:p>
      <w:pPr>
        <w:spacing w:line="360" w:lineRule="auto"/>
        <w:ind w:firstLine="560" w:firstLineChars="200"/>
        <w:rPr>
          <w:sz w:val="28"/>
          <w:szCs w:val="28"/>
        </w:rPr>
      </w:pPr>
      <w:r>
        <w:rPr>
          <w:rFonts w:hint="eastAsia"/>
          <w:sz w:val="28"/>
          <w:szCs w:val="28"/>
        </w:rPr>
        <w:t>（</w:t>
      </w:r>
      <w:r>
        <w:rPr>
          <w:sz w:val="28"/>
          <w:szCs w:val="28"/>
        </w:rPr>
        <w:t>2</w:t>
      </w:r>
      <w:r>
        <w:rPr>
          <w:rFonts w:hint="eastAsia"/>
          <w:sz w:val="28"/>
          <w:szCs w:val="28"/>
        </w:rPr>
        <w:t>）总结事故的经验教训和救援工作中存在的问题，提出改进意见和建议，并将总结评估报告以书面形式上报。</w:t>
      </w:r>
    </w:p>
    <w:p>
      <w:pPr>
        <w:spacing w:line="360" w:lineRule="auto"/>
        <w:ind w:firstLine="560" w:firstLineChars="200"/>
        <w:rPr>
          <w:sz w:val="28"/>
          <w:szCs w:val="28"/>
        </w:rPr>
      </w:pPr>
      <w:r>
        <w:rPr>
          <w:rFonts w:hint="eastAsia"/>
          <w:sz w:val="28"/>
          <w:szCs w:val="28"/>
        </w:rPr>
        <w:t>（</w:t>
      </w:r>
      <w:r>
        <w:rPr>
          <w:sz w:val="28"/>
          <w:szCs w:val="28"/>
        </w:rPr>
        <w:t>3</w:t>
      </w:r>
      <w:r>
        <w:rPr>
          <w:rFonts w:hint="eastAsia"/>
          <w:sz w:val="28"/>
          <w:szCs w:val="28"/>
        </w:rPr>
        <w:t>）城厢镇安委会协助太仓市应急救援中心做好事故认定工作，传达行政处理意见，并对事故进行通报。</w:t>
      </w:r>
    </w:p>
    <w:p>
      <w:pPr>
        <w:spacing w:line="360" w:lineRule="auto"/>
        <w:ind w:firstLine="560" w:firstLineChars="200"/>
        <w:rPr>
          <w:sz w:val="28"/>
          <w:szCs w:val="28"/>
        </w:rPr>
      </w:pPr>
      <w:r>
        <w:rPr>
          <w:rFonts w:hint="eastAsia"/>
          <w:sz w:val="28"/>
          <w:szCs w:val="28"/>
        </w:rPr>
        <w:t>①对在处置生产安全事故中有重大贡献的单位和个人给予表彰和奖励；</w:t>
      </w:r>
    </w:p>
    <w:p>
      <w:pPr>
        <w:spacing w:line="360" w:lineRule="auto"/>
        <w:ind w:firstLine="560" w:firstLineChars="200"/>
        <w:rPr>
          <w:sz w:val="28"/>
          <w:szCs w:val="28"/>
        </w:rPr>
      </w:pPr>
      <w:r>
        <w:rPr>
          <w:rFonts w:hint="eastAsia"/>
          <w:sz w:val="28"/>
          <w:szCs w:val="28"/>
        </w:rPr>
        <w:t>②对处置生产安全事故中瞒报、漏报、迟报、不报和其他失职、渎职行为的单位和个人，追究其行政责任；</w:t>
      </w:r>
    </w:p>
    <w:p>
      <w:pPr>
        <w:spacing w:line="360" w:lineRule="auto"/>
        <w:ind w:firstLine="560" w:firstLineChars="200"/>
        <w:rPr>
          <w:sz w:val="28"/>
          <w:szCs w:val="28"/>
        </w:rPr>
      </w:pPr>
      <w:r>
        <w:rPr>
          <w:rFonts w:hint="eastAsia"/>
          <w:sz w:val="28"/>
          <w:szCs w:val="28"/>
        </w:rPr>
        <w:t>③构成犯罪的，由司法部门依法追究刑事责任。</w:t>
      </w:r>
    </w:p>
    <w:p>
      <w:pPr>
        <w:spacing w:line="360" w:lineRule="auto"/>
        <w:ind w:firstLine="560" w:firstLineChars="200"/>
        <w:rPr>
          <w:sz w:val="28"/>
          <w:szCs w:val="28"/>
        </w:rPr>
      </w:pPr>
      <w:r>
        <w:rPr>
          <w:rFonts w:hint="eastAsia"/>
          <w:sz w:val="28"/>
          <w:szCs w:val="28"/>
        </w:rPr>
        <w:t>（</w:t>
      </w:r>
      <w:r>
        <w:rPr>
          <w:sz w:val="28"/>
          <w:szCs w:val="28"/>
        </w:rPr>
        <w:t>4</w:t>
      </w:r>
      <w:r>
        <w:rPr>
          <w:rFonts w:hint="eastAsia"/>
          <w:sz w:val="28"/>
          <w:szCs w:val="28"/>
        </w:rPr>
        <w:t>）城厢镇安委会整理事故调查报告，汇总事故后期处理方案报太仓市安监局。</w:t>
      </w: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jc w:val="center"/>
        <w:outlineLvl w:val="0"/>
        <w:rPr>
          <w:b/>
          <w:sz w:val="28"/>
          <w:szCs w:val="28"/>
        </w:rPr>
      </w:pPr>
      <w:bookmarkStart w:id="142" w:name="_Toc26022"/>
      <w:bookmarkStart w:id="143" w:name="_Toc5153"/>
      <w:bookmarkStart w:id="144" w:name="_Toc12992"/>
      <w:r>
        <w:rPr>
          <w:b/>
          <w:sz w:val="28"/>
          <w:szCs w:val="28"/>
        </w:rPr>
        <w:t xml:space="preserve">6  </w:t>
      </w:r>
      <w:r>
        <w:rPr>
          <w:rFonts w:hint="eastAsia"/>
          <w:b/>
          <w:sz w:val="28"/>
          <w:szCs w:val="28"/>
        </w:rPr>
        <w:t>保障措施</w:t>
      </w:r>
      <w:bookmarkEnd w:id="142"/>
      <w:bookmarkEnd w:id="143"/>
      <w:bookmarkEnd w:id="144"/>
    </w:p>
    <w:p>
      <w:pPr>
        <w:spacing w:line="360" w:lineRule="auto"/>
        <w:ind w:firstLine="560" w:firstLineChars="200"/>
        <w:outlineLvl w:val="1"/>
        <w:rPr>
          <w:sz w:val="28"/>
          <w:szCs w:val="28"/>
        </w:rPr>
      </w:pPr>
      <w:bookmarkStart w:id="145" w:name="_Toc27947"/>
      <w:bookmarkStart w:id="146" w:name="_Toc25504"/>
      <w:bookmarkStart w:id="147" w:name="_Toc12172"/>
      <w:r>
        <w:rPr>
          <w:sz w:val="28"/>
          <w:szCs w:val="28"/>
        </w:rPr>
        <w:t xml:space="preserve">6.1  </w:t>
      </w:r>
      <w:r>
        <w:rPr>
          <w:rFonts w:hint="eastAsia"/>
          <w:sz w:val="28"/>
          <w:szCs w:val="28"/>
        </w:rPr>
        <w:t>通讯与信息保障</w:t>
      </w:r>
      <w:bookmarkEnd w:id="145"/>
      <w:bookmarkEnd w:id="146"/>
      <w:bookmarkEnd w:id="147"/>
    </w:p>
    <w:p>
      <w:pPr>
        <w:spacing w:line="360" w:lineRule="auto"/>
        <w:ind w:firstLine="560" w:firstLineChars="200"/>
        <w:rPr>
          <w:sz w:val="28"/>
          <w:szCs w:val="28"/>
        </w:rPr>
      </w:pPr>
      <w:r>
        <w:rPr>
          <w:rFonts w:hint="eastAsia"/>
          <w:sz w:val="28"/>
          <w:szCs w:val="28"/>
        </w:rPr>
        <w:t>太仓市城厢镇安委会负责建立安全事故应急救援综合信息网络系统和生产安全事故信息报告系统，保证应急信息交流和指挥的快速、顺畅、准确，做到信息资源共享。必要时，可紧急调用或征集其他部门和社会通讯设施，确保指挥信息畅通。建立完善救援力量和救援资源信息数据库，规范信息获取、分析、发布、报送格式和程序，方便信息检索。</w:t>
      </w:r>
    </w:p>
    <w:p>
      <w:pPr>
        <w:spacing w:line="360" w:lineRule="auto"/>
        <w:ind w:firstLine="560" w:firstLineChars="200"/>
        <w:rPr>
          <w:sz w:val="28"/>
          <w:szCs w:val="28"/>
        </w:rPr>
      </w:pPr>
      <w:r>
        <w:rPr>
          <w:rFonts w:hint="eastAsia"/>
          <w:sz w:val="28"/>
          <w:szCs w:val="28"/>
        </w:rPr>
        <w:t>其他有关部门应急救援机构负责本部门、本地区相关信息的收集、分析和处理，定期向城厢镇安委会报送有关信息。城厢镇安委会负责收集、分析和处理本区域生产安全事故灾难应急救援有关信息。</w:t>
      </w:r>
    </w:p>
    <w:p>
      <w:pPr>
        <w:spacing w:line="360" w:lineRule="auto"/>
        <w:ind w:firstLine="560" w:firstLineChars="200"/>
        <w:rPr>
          <w:sz w:val="28"/>
          <w:szCs w:val="28"/>
        </w:rPr>
      </w:pPr>
      <w:r>
        <w:rPr>
          <w:rFonts w:hint="eastAsia"/>
          <w:sz w:val="28"/>
          <w:szCs w:val="28"/>
        </w:rPr>
        <w:t>加强与太仓市安监局和苏州市安监局以及其他相关部门的联系，整合完善应急指挥通信网络系统</w:t>
      </w:r>
      <w:r>
        <w:rPr>
          <w:rFonts w:hint="eastAsia"/>
          <w:sz w:val="28"/>
          <w:szCs w:val="28"/>
          <w:lang w:eastAsia="zh-CN"/>
        </w:rPr>
        <w:t>，</w:t>
      </w:r>
      <w:r>
        <w:rPr>
          <w:rFonts w:hint="eastAsia"/>
          <w:sz w:val="28"/>
          <w:szCs w:val="28"/>
        </w:rPr>
        <w:t>统一组织本区域内各电信运营公司、有线政务专网和无线政务专网等运行部门，建立信息通信应急保障队伍。当通信干线中断或现有网络出现盲区时，利用卫星、微波等通信手段，保障事故现场与应急指挥部之间的联系。</w:t>
      </w:r>
    </w:p>
    <w:p>
      <w:pPr>
        <w:spacing w:line="360" w:lineRule="auto"/>
        <w:ind w:firstLine="560" w:firstLineChars="200"/>
        <w:outlineLvl w:val="1"/>
        <w:rPr>
          <w:sz w:val="28"/>
          <w:szCs w:val="28"/>
        </w:rPr>
      </w:pPr>
      <w:bookmarkStart w:id="148" w:name="_Toc16093"/>
      <w:bookmarkStart w:id="149" w:name="_Toc13430"/>
      <w:bookmarkStart w:id="150" w:name="_Toc12201"/>
      <w:r>
        <w:rPr>
          <w:sz w:val="28"/>
          <w:szCs w:val="28"/>
        </w:rPr>
        <w:t xml:space="preserve">6.2  </w:t>
      </w:r>
      <w:r>
        <w:rPr>
          <w:rFonts w:hint="eastAsia"/>
          <w:sz w:val="28"/>
          <w:szCs w:val="28"/>
        </w:rPr>
        <w:t>应急支援与保障</w:t>
      </w:r>
      <w:bookmarkEnd w:id="148"/>
      <w:bookmarkEnd w:id="149"/>
      <w:bookmarkEnd w:id="150"/>
    </w:p>
    <w:p>
      <w:pPr>
        <w:spacing w:line="360" w:lineRule="auto"/>
        <w:ind w:firstLine="560" w:firstLineChars="200"/>
        <w:rPr>
          <w:sz w:val="28"/>
          <w:szCs w:val="28"/>
        </w:rPr>
      </w:pPr>
      <w:r>
        <w:rPr>
          <w:rFonts w:hint="eastAsia"/>
          <w:sz w:val="28"/>
          <w:szCs w:val="28"/>
        </w:rPr>
        <w:t>（</w:t>
      </w:r>
      <w:r>
        <w:rPr>
          <w:sz w:val="28"/>
          <w:szCs w:val="28"/>
        </w:rPr>
        <w:t>1</w:t>
      </w:r>
      <w:r>
        <w:rPr>
          <w:rFonts w:hint="eastAsia"/>
          <w:sz w:val="28"/>
          <w:szCs w:val="28"/>
        </w:rPr>
        <w:t>）应急队伍保障</w:t>
      </w:r>
    </w:p>
    <w:p>
      <w:pPr>
        <w:spacing w:line="360" w:lineRule="auto"/>
        <w:ind w:firstLine="560" w:firstLineChars="200"/>
        <w:rPr>
          <w:sz w:val="28"/>
          <w:szCs w:val="28"/>
        </w:rPr>
      </w:pPr>
      <w:r>
        <w:rPr>
          <w:rFonts w:hint="eastAsia"/>
          <w:sz w:val="28"/>
          <w:szCs w:val="28"/>
        </w:rPr>
        <w:t>生产安全事故专项预案应急救援队伍由公安、安监、消防、交警等部门组成的9个应急救援小组组成。</w:t>
      </w:r>
    </w:p>
    <w:p>
      <w:pPr>
        <w:spacing w:line="360" w:lineRule="auto"/>
        <w:ind w:firstLine="560" w:firstLineChars="200"/>
        <w:rPr>
          <w:sz w:val="28"/>
          <w:szCs w:val="28"/>
        </w:rPr>
      </w:pPr>
      <w:r>
        <w:rPr>
          <w:rFonts w:hint="eastAsia" w:ascii="宋体" w:hAnsi="宋体" w:cs="宋体"/>
          <w:color w:val="000000"/>
          <w:kern w:val="0"/>
          <w:sz w:val="28"/>
          <w:szCs w:val="28"/>
        </w:rPr>
        <w:t>此外，</w:t>
      </w:r>
      <w:r>
        <w:rPr>
          <w:rFonts w:hint="eastAsia" w:ascii="宋体" w:hAnsi="宋体"/>
          <w:sz w:val="28"/>
          <w:szCs w:val="28"/>
        </w:rPr>
        <w:t>除以上各应急救援小组外，为方便现场应急救援工作的开展，本区域内的各企事业单位均</w:t>
      </w:r>
      <w:r>
        <w:rPr>
          <w:rFonts w:hint="eastAsia" w:ascii="宋体" w:cs="宋体"/>
          <w:sz w:val="28"/>
          <w:szCs w:val="28"/>
        </w:rPr>
        <w:t>设置了</w:t>
      </w:r>
      <w:r>
        <w:rPr>
          <w:rFonts w:hint="eastAsia" w:ascii="宋体" w:hAnsi="宋体"/>
          <w:sz w:val="28"/>
          <w:szCs w:val="28"/>
        </w:rPr>
        <w:t>应急救援队伍，在发生</w:t>
      </w:r>
      <w:r>
        <w:rPr>
          <w:rFonts w:hint="eastAsia"/>
          <w:sz w:val="28"/>
          <w:szCs w:val="28"/>
        </w:rPr>
        <w:t>生产安全事故</w:t>
      </w:r>
      <w:r>
        <w:rPr>
          <w:rFonts w:hint="eastAsia" w:ascii="宋体" w:hAnsi="宋体"/>
          <w:sz w:val="28"/>
          <w:szCs w:val="28"/>
        </w:rPr>
        <w:t>时，辅助事故现场的疏散、警戒、为救援队伍提供现场基本资料，协助开展救援工作。</w:t>
      </w:r>
    </w:p>
    <w:p>
      <w:pPr>
        <w:spacing w:line="360" w:lineRule="auto"/>
        <w:ind w:firstLine="560" w:firstLineChars="200"/>
        <w:rPr>
          <w:sz w:val="28"/>
          <w:szCs w:val="28"/>
        </w:rPr>
      </w:pPr>
      <w:r>
        <w:rPr>
          <w:rFonts w:hint="eastAsia"/>
          <w:sz w:val="28"/>
          <w:szCs w:val="28"/>
        </w:rPr>
        <w:t>（</w:t>
      </w:r>
      <w:r>
        <w:rPr>
          <w:sz w:val="28"/>
          <w:szCs w:val="28"/>
        </w:rPr>
        <w:t>2</w:t>
      </w:r>
      <w:r>
        <w:rPr>
          <w:rFonts w:hint="eastAsia"/>
          <w:sz w:val="28"/>
          <w:szCs w:val="28"/>
        </w:rPr>
        <w:t>）救援装备保障</w:t>
      </w:r>
    </w:p>
    <w:p>
      <w:pPr>
        <w:spacing w:line="360" w:lineRule="auto"/>
        <w:ind w:firstLine="560" w:firstLineChars="200"/>
        <w:rPr>
          <w:sz w:val="28"/>
          <w:szCs w:val="28"/>
        </w:rPr>
      </w:pPr>
      <w:r>
        <w:rPr>
          <w:rFonts w:hint="eastAsia"/>
          <w:sz w:val="28"/>
          <w:szCs w:val="28"/>
        </w:rPr>
        <w:t>应急保障组供应应急救援器材、物资、对所缺的应急救援器材、物资，与周边单位联系供给。</w:t>
      </w:r>
    </w:p>
    <w:p>
      <w:pPr>
        <w:spacing w:line="360" w:lineRule="auto"/>
        <w:ind w:firstLine="560" w:firstLineChars="200"/>
        <w:rPr>
          <w:sz w:val="28"/>
          <w:szCs w:val="28"/>
        </w:rPr>
      </w:pPr>
      <w:r>
        <w:rPr>
          <w:rFonts w:hint="eastAsia"/>
          <w:sz w:val="28"/>
          <w:szCs w:val="28"/>
        </w:rPr>
        <w:t>（</w:t>
      </w:r>
      <w:r>
        <w:rPr>
          <w:sz w:val="28"/>
          <w:szCs w:val="28"/>
        </w:rPr>
        <w:t>3</w:t>
      </w:r>
      <w:r>
        <w:rPr>
          <w:rFonts w:hint="eastAsia"/>
          <w:sz w:val="28"/>
          <w:szCs w:val="28"/>
        </w:rPr>
        <w:t>）交通运输保障</w:t>
      </w:r>
    </w:p>
    <w:p>
      <w:pPr>
        <w:spacing w:line="360" w:lineRule="auto"/>
        <w:ind w:firstLine="560" w:firstLineChars="200"/>
        <w:rPr>
          <w:sz w:val="28"/>
          <w:szCs w:val="28"/>
        </w:rPr>
      </w:pPr>
      <w:r>
        <w:rPr>
          <w:rFonts w:hint="eastAsia"/>
          <w:sz w:val="28"/>
          <w:szCs w:val="28"/>
        </w:rPr>
        <w:t>派出所、交警中队要保证紧急情况下应急交通工具的优先安排、优先调度、优先放行，确保运输安全畅通。依法建立应急交通运输工具的征用程序，确保抢险救灾物资和人员能够及时、安全送达。必要时，由公安等部门对现场及相关通道实行交通管制，开设应急救援“绿色通道”，保证应急救援工作顺利开展。</w:t>
      </w:r>
    </w:p>
    <w:p>
      <w:pPr>
        <w:spacing w:line="360" w:lineRule="auto"/>
        <w:ind w:firstLine="560" w:firstLineChars="200"/>
        <w:rPr>
          <w:sz w:val="28"/>
          <w:szCs w:val="28"/>
        </w:rPr>
      </w:pPr>
      <w:r>
        <w:rPr>
          <w:rFonts w:hint="eastAsia"/>
          <w:sz w:val="28"/>
          <w:szCs w:val="28"/>
        </w:rPr>
        <w:t>（</w:t>
      </w:r>
      <w:r>
        <w:rPr>
          <w:sz w:val="28"/>
          <w:szCs w:val="28"/>
        </w:rPr>
        <w:t>4</w:t>
      </w:r>
      <w:r>
        <w:rPr>
          <w:rFonts w:hint="eastAsia"/>
          <w:sz w:val="28"/>
          <w:szCs w:val="28"/>
        </w:rPr>
        <w:t>）治安保障</w:t>
      </w:r>
    </w:p>
    <w:p>
      <w:pPr>
        <w:spacing w:line="360" w:lineRule="auto"/>
        <w:ind w:firstLine="560" w:firstLineChars="200"/>
        <w:rPr>
          <w:sz w:val="28"/>
          <w:szCs w:val="28"/>
        </w:rPr>
      </w:pPr>
      <w:r>
        <w:rPr>
          <w:rFonts w:hint="eastAsia"/>
          <w:sz w:val="28"/>
          <w:szCs w:val="28"/>
        </w:rPr>
        <w:t>由派出所负责对事故灾难现场进行治安警戒和管理，加强对重点地区、重点场所、重要物资设备的防范保护，维持现场秩序，为救援队伍顺畅开展救援工作创造良好环境。必要时，向上级申请协助力量。</w:t>
      </w:r>
    </w:p>
    <w:p>
      <w:pPr>
        <w:spacing w:line="360" w:lineRule="auto"/>
        <w:ind w:firstLine="560" w:firstLineChars="200"/>
        <w:rPr>
          <w:sz w:val="28"/>
          <w:szCs w:val="28"/>
        </w:rPr>
      </w:pPr>
      <w:r>
        <w:rPr>
          <w:rFonts w:hint="eastAsia"/>
          <w:sz w:val="28"/>
          <w:szCs w:val="28"/>
        </w:rPr>
        <w:t>（5）物资保障</w:t>
      </w:r>
    </w:p>
    <w:p>
      <w:pPr>
        <w:spacing w:line="360" w:lineRule="auto"/>
        <w:ind w:firstLine="560" w:firstLineChars="200"/>
        <w:rPr>
          <w:sz w:val="28"/>
          <w:szCs w:val="28"/>
        </w:rPr>
      </w:pPr>
      <w:r>
        <w:rPr>
          <w:rFonts w:hint="eastAsia"/>
          <w:sz w:val="28"/>
          <w:szCs w:val="28"/>
        </w:rPr>
        <w:t>建立应急救援设施、设备、救治药品和医疗器械等储备制度，储备必要的应急物资和装备。后勤保障组根据实际需要确定应急救援器材和物资，负责落实应急物资的储备，并定期检查应急救援物资的有效性和充分性。</w:t>
      </w:r>
    </w:p>
    <w:p>
      <w:pPr>
        <w:spacing w:line="360" w:lineRule="auto"/>
        <w:ind w:firstLine="560" w:firstLineChars="200"/>
        <w:rPr>
          <w:sz w:val="28"/>
          <w:szCs w:val="28"/>
        </w:rPr>
      </w:pPr>
      <w:r>
        <w:rPr>
          <w:rFonts w:hint="eastAsia"/>
          <w:sz w:val="28"/>
          <w:szCs w:val="28"/>
        </w:rPr>
        <w:t>（6）经费保障</w:t>
      </w:r>
    </w:p>
    <w:p>
      <w:pPr>
        <w:spacing w:line="360" w:lineRule="auto"/>
        <w:ind w:firstLine="560" w:firstLineChars="200"/>
        <w:rPr>
          <w:sz w:val="28"/>
          <w:szCs w:val="28"/>
        </w:rPr>
      </w:pPr>
      <w:r>
        <w:rPr>
          <w:rFonts w:hint="eastAsia"/>
          <w:sz w:val="28"/>
          <w:szCs w:val="28"/>
        </w:rPr>
        <w:t>生产安全事故应急处置所需的经费，由财政部门按有关预案和规定予以安排。企业常备物资经费由企业自行解决，列入安全投入。</w:t>
      </w:r>
    </w:p>
    <w:p>
      <w:pPr>
        <w:spacing w:line="360" w:lineRule="auto"/>
        <w:ind w:firstLine="560" w:firstLineChars="200"/>
        <w:rPr>
          <w:sz w:val="28"/>
          <w:szCs w:val="28"/>
        </w:rPr>
      </w:pPr>
      <w:r>
        <w:rPr>
          <w:rFonts w:hint="eastAsia"/>
          <w:sz w:val="28"/>
          <w:szCs w:val="28"/>
        </w:rPr>
        <w:t>（7）社会动员保障</w:t>
      </w:r>
    </w:p>
    <w:p>
      <w:pPr>
        <w:spacing w:line="360" w:lineRule="auto"/>
        <w:ind w:firstLine="560" w:firstLineChars="200"/>
        <w:rPr>
          <w:sz w:val="28"/>
          <w:szCs w:val="28"/>
        </w:rPr>
      </w:pPr>
      <w:r>
        <w:rPr>
          <w:rFonts w:hint="eastAsia"/>
          <w:sz w:val="28"/>
          <w:szCs w:val="28"/>
        </w:rPr>
        <w:t>安委会可根据需要动员社会力量参与应急救援，并负责协调保障</w:t>
      </w:r>
      <w:r>
        <w:rPr>
          <w:rFonts w:hint="eastAsia" w:ascii="宋体" w:hAnsi="宋体" w:cs="宋体"/>
          <w:color w:val="000000"/>
          <w:kern w:val="0"/>
          <w:sz w:val="28"/>
          <w:szCs w:val="28"/>
        </w:rPr>
        <w:t>。</w:t>
      </w:r>
      <w:r>
        <w:rPr>
          <w:rFonts w:hint="eastAsia"/>
          <w:sz w:val="28"/>
          <w:szCs w:val="28"/>
        </w:rPr>
        <w:t>其他相关关部门、企事业单位要为其提供必要保障。必要时请求军队支援。</w:t>
      </w:r>
    </w:p>
    <w:p>
      <w:pPr>
        <w:spacing w:line="360" w:lineRule="auto"/>
        <w:ind w:firstLine="560" w:firstLineChars="200"/>
        <w:rPr>
          <w:sz w:val="28"/>
          <w:szCs w:val="28"/>
        </w:rPr>
      </w:pPr>
      <w:r>
        <w:rPr>
          <w:rFonts w:hint="eastAsia"/>
          <w:sz w:val="28"/>
          <w:szCs w:val="28"/>
        </w:rPr>
        <w:t>（8）技术储备与保障</w:t>
      </w:r>
    </w:p>
    <w:p>
      <w:pPr>
        <w:spacing w:line="360" w:lineRule="auto"/>
        <w:ind w:firstLine="560" w:firstLineChars="200"/>
        <w:rPr>
          <w:sz w:val="28"/>
          <w:szCs w:val="28"/>
        </w:rPr>
      </w:pPr>
      <w:r>
        <w:rPr>
          <w:rFonts w:hint="eastAsia"/>
          <w:sz w:val="28"/>
          <w:szCs w:val="28"/>
        </w:rPr>
        <w:t>安委会依托太仓市、苏州市的安全生产应急救援专家、技术等数据库，为应急救援提供技术支持和保障。</w:t>
      </w:r>
    </w:p>
    <w:p>
      <w:pPr>
        <w:spacing w:line="360" w:lineRule="auto"/>
        <w:ind w:firstLine="560" w:firstLineChars="200"/>
        <w:outlineLvl w:val="1"/>
        <w:rPr>
          <w:sz w:val="28"/>
          <w:szCs w:val="28"/>
        </w:rPr>
      </w:pPr>
      <w:bookmarkStart w:id="151" w:name="_Toc3462"/>
      <w:bookmarkStart w:id="152" w:name="_Toc32017"/>
      <w:bookmarkStart w:id="153" w:name="_Toc29192"/>
      <w:r>
        <w:rPr>
          <w:sz w:val="28"/>
          <w:szCs w:val="28"/>
        </w:rPr>
        <w:t xml:space="preserve">6.3  </w:t>
      </w:r>
      <w:r>
        <w:rPr>
          <w:rFonts w:hint="eastAsia"/>
          <w:sz w:val="28"/>
          <w:szCs w:val="28"/>
        </w:rPr>
        <w:t>宣传、培训和演习</w:t>
      </w:r>
      <w:bookmarkEnd w:id="151"/>
      <w:bookmarkEnd w:id="152"/>
      <w:bookmarkEnd w:id="153"/>
    </w:p>
    <w:p>
      <w:pPr>
        <w:spacing w:line="360" w:lineRule="auto"/>
        <w:ind w:firstLine="560" w:firstLineChars="200"/>
        <w:rPr>
          <w:sz w:val="28"/>
          <w:szCs w:val="28"/>
        </w:rPr>
      </w:pPr>
      <w:r>
        <w:rPr>
          <w:rFonts w:hint="eastAsia"/>
          <w:sz w:val="28"/>
          <w:szCs w:val="28"/>
        </w:rPr>
        <w:t>（</w:t>
      </w:r>
      <w:r>
        <w:rPr>
          <w:sz w:val="28"/>
          <w:szCs w:val="28"/>
        </w:rPr>
        <w:t>1</w:t>
      </w:r>
      <w:r>
        <w:rPr>
          <w:rFonts w:hint="eastAsia"/>
          <w:sz w:val="28"/>
          <w:szCs w:val="28"/>
        </w:rPr>
        <w:t>）宣传</w:t>
      </w:r>
    </w:p>
    <w:p>
      <w:pPr>
        <w:spacing w:line="360" w:lineRule="auto"/>
        <w:ind w:firstLine="560" w:firstLineChars="200"/>
        <w:rPr>
          <w:sz w:val="28"/>
          <w:szCs w:val="28"/>
        </w:rPr>
      </w:pPr>
      <w:r>
        <w:rPr>
          <w:rFonts w:hint="eastAsia"/>
          <w:sz w:val="28"/>
          <w:szCs w:val="28"/>
        </w:rPr>
        <w:t>太仓市城厢镇安委会定期有组织、有计划的向公众开展危险化学品安全卫生和应急教育活动，通过电视、电台、报刊、网络等媒体，广泛宣传应急救援有关法律法规和危险化学品事故预防、避险、避灾、自救、互救的常识。</w:t>
      </w:r>
    </w:p>
    <w:p>
      <w:pPr>
        <w:spacing w:line="360" w:lineRule="auto"/>
        <w:ind w:firstLine="560" w:firstLineChars="200"/>
        <w:rPr>
          <w:sz w:val="28"/>
          <w:szCs w:val="28"/>
        </w:rPr>
      </w:pPr>
      <w:r>
        <w:rPr>
          <w:rFonts w:hint="eastAsia"/>
          <w:sz w:val="28"/>
          <w:szCs w:val="28"/>
        </w:rPr>
        <w:t>各企事业单位要按规定向员工说明本企业生产、储运或使用的危险化学品的危险性，了解本企业的生产安全事故应急程序，掌握生产安全事故应急的基本技能和危险化学品事故预防、避险、避灾、自救、互救的常识和急救技术。</w:t>
      </w:r>
    </w:p>
    <w:p>
      <w:pPr>
        <w:spacing w:line="360" w:lineRule="auto"/>
        <w:ind w:firstLine="560" w:firstLineChars="200"/>
        <w:rPr>
          <w:sz w:val="28"/>
          <w:szCs w:val="28"/>
        </w:rPr>
      </w:pPr>
      <w:r>
        <w:rPr>
          <w:rFonts w:hint="eastAsia"/>
          <w:sz w:val="28"/>
          <w:szCs w:val="28"/>
        </w:rPr>
        <w:t>（</w:t>
      </w:r>
      <w:r>
        <w:rPr>
          <w:sz w:val="28"/>
          <w:szCs w:val="28"/>
        </w:rPr>
        <w:t>2</w:t>
      </w:r>
      <w:r>
        <w:rPr>
          <w:rFonts w:hint="eastAsia"/>
          <w:sz w:val="28"/>
          <w:szCs w:val="28"/>
        </w:rPr>
        <w:t>）培训</w:t>
      </w:r>
    </w:p>
    <w:p>
      <w:pPr>
        <w:spacing w:line="360" w:lineRule="auto"/>
        <w:ind w:firstLine="560" w:firstLineChars="200"/>
        <w:rPr>
          <w:sz w:val="28"/>
          <w:szCs w:val="28"/>
        </w:rPr>
      </w:pPr>
      <w:r>
        <w:rPr>
          <w:rFonts w:hint="eastAsia"/>
          <w:sz w:val="28"/>
          <w:szCs w:val="28"/>
        </w:rPr>
        <w:t>依托职业技术机构进行生产安全事故应急培训相关事宜，定期或不定期组织有关部门进行应急培训，把生产安全事故应急管理教育列入干部任职培训的内容。</w:t>
      </w:r>
    </w:p>
    <w:p>
      <w:pPr>
        <w:spacing w:line="360" w:lineRule="auto"/>
        <w:ind w:firstLine="560" w:firstLineChars="200"/>
        <w:rPr>
          <w:sz w:val="28"/>
          <w:szCs w:val="28"/>
        </w:rPr>
      </w:pPr>
      <w:r>
        <w:rPr>
          <w:rFonts w:hint="eastAsia"/>
          <w:sz w:val="28"/>
          <w:szCs w:val="28"/>
        </w:rPr>
        <w:t>培训内容应包括：应急管理知识、国家和江苏省及苏州市应急管理法律、法规要求，信息披露，事故危害性及应急过程的机构设置和职责、应急处理主要程序。各应急处理组的参与部门要把危险化学品管理课程列入培训内容，加强对领导、行政人员的培训，提高危险化学品事故的应急处置能力等。</w:t>
      </w:r>
    </w:p>
    <w:p>
      <w:pPr>
        <w:spacing w:line="360" w:lineRule="auto"/>
        <w:ind w:firstLine="560" w:firstLineChars="200"/>
        <w:rPr>
          <w:sz w:val="28"/>
          <w:szCs w:val="28"/>
        </w:rPr>
      </w:pPr>
      <w:r>
        <w:rPr>
          <w:rFonts w:hint="eastAsia"/>
          <w:sz w:val="28"/>
          <w:szCs w:val="28"/>
        </w:rPr>
        <w:t>参与应急处理组的人员培训内容应包括：应急管理知识、应急救援预案结构、应急部署和职责、相关应急程序、应急指挥技能、报告程序和方式、信息管理要求等。</w:t>
      </w:r>
    </w:p>
    <w:p>
      <w:pPr>
        <w:spacing w:line="360" w:lineRule="auto"/>
        <w:ind w:firstLine="560" w:firstLineChars="200"/>
        <w:rPr>
          <w:sz w:val="28"/>
          <w:szCs w:val="28"/>
        </w:rPr>
      </w:pPr>
      <w:r>
        <w:rPr>
          <w:rFonts w:hint="eastAsia"/>
          <w:sz w:val="28"/>
          <w:szCs w:val="28"/>
        </w:rPr>
        <w:t>现场救援人员培训内容应包括：应急部署和职责、主要应急设备的使用、抢险救助技能、各种应急部署执行要求等。</w:t>
      </w:r>
    </w:p>
    <w:p>
      <w:pPr>
        <w:spacing w:line="360" w:lineRule="auto"/>
        <w:ind w:firstLine="560" w:firstLineChars="200"/>
        <w:rPr>
          <w:sz w:val="28"/>
          <w:szCs w:val="28"/>
        </w:rPr>
      </w:pPr>
      <w:r>
        <w:rPr>
          <w:rFonts w:hint="eastAsia"/>
          <w:sz w:val="28"/>
          <w:szCs w:val="28"/>
        </w:rPr>
        <w:t>生产经营单位按照有关规定对员工进行应急培训，员工培训内容应包括：危险化学品事故案例，危险化学品危害性及防护知识，应急救援技术和急救技术培训练习，如止血、固定、包扎、心肺复苏、烫伤处理、简易毒物防护。</w:t>
      </w:r>
    </w:p>
    <w:p>
      <w:pPr>
        <w:spacing w:line="360" w:lineRule="auto"/>
        <w:ind w:firstLine="560" w:firstLineChars="200"/>
        <w:rPr>
          <w:sz w:val="28"/>
          <w:szCs w:val="28"/>
        </w:rPr>
      </w:pPr>
      <w:r>
        <w:rPr>
          <w:rFonts w:hint="eastAsia"/>
          <w:sz w:val="28"/>
          <w:szCs w:val="28"/>
        </w:rPr>
        <w:t>（</w:t>
      </w:r>
      <w:r>
        <w:rPr>
          <w:sz w:val="28"/>
          <w:szCs w:val="28"/>
        </w:rPr>
        <w:t>3</w:t>
      </w:r>
      <w:r>
        <w:rPr>
          <w:rFonts w:hint="eastAsia"/>
          <w:sz w:val="28"/>
          <w:szCs w:val="28"/>
        </w:rPr>
        <w:t>）演习</w:t>
      </w:r>
    </w:p>
    <w:p>
      <w:pPr>
        <w:spacing w:line="360" w:lineRule="auto"/>
        <w:ind w:firstLine="560" w:firstLineChars="200"/>
        <w:rPr>
          <w:sz w:val="28"/>
          <w:szCs w:val="28"/>
        </w:rPr>
      </w:pPr>
      <w:r>
        <w:rPr>
          <w:rFonts w:hint="eastAsia"/>
          <w:sz w:val="28"/>
          <w:szCs w:val="28"/>
        </w:rPr>
        <w:t>太仓市城厢镇安委会应每年组织演习。通过演习及时发现应急预案和工作机制存在的问题，不断完善应急救援预案，提高应急处置能力。各应急处理部门应根据需要定期组织功能演习，以便持续提高应急能力。演习策划负责人应在演习结束后</w:t>
      </w:r>
      <w:r>
        <w:rPr>
          <w:sz w:val="28"/>
          <w:szCs w:val="28"/>
        </w:rPr>
        <w:t>15</w:t>
      </w:r>
      <w:r>
        <w:rPr>
          <w:rFonts w:hint="eastAsia"/>
          <w:sz w:val="28"/>
          <w:szCs w:val="28"/>
        </w:rPr>
        <w:t>个工作日之内，根据演习过程中收集和整理的应急救援相关资料，编写演习报告并提交区安委会办公室。危险化学品从业单位按照有关规定定期组织应急演习，并修订应急救援预案。</w:t>
      </w:r>
    </w:p>
    <w:p>
      <w:pPr>
        <w:spacing w:line="360" w:lineRule="auto"/>
        <w:ind w:firstLine="560" w:firstLineChars="200"/>
        <w:outlineLvl w:val="1"/>
        <w:rPr>
          <w:sz w:val="28"/>
          <w:szCs w:val="28"/>
        </w:rPr>
      </w:pPr>
      <w:bookmarkStart w:id="154" w:name="_Toc13834"/>
      <w:bookmarkStart w:id="155" w:name="_Toc22981"/>
      <w:bookmarkStart w:id="156" w:name="_Toc1984"/>
      <w:r>
        <w:rPr>
          <w:sz w:val="28"/>
          <w:szCs w:val="28"/>
        </w:rPr>
        <w:t xml:space="preserve">6.4  </w:t>
      </w:r>
      <w:r>
        <w:rPr>
          <w:rFonts w:hint="eastAsia"/>
          <w:sz w:val="28"/>
          <w:szCs w:val="28"/>
        </w:rPr>
        <w:t>监督检查</w:t>
      </w:r>
      <w:bookmarkEnd w:id="154"/>
      <w:bookmarkEnd w:id="155"/>
      <w:bookmarkEnd w:id="156"/>
    </w:p>
    <w:p>
      <w:pPr>
        <w:spacing w:line="360" w:lineRule="auto"/>
        <w:ind w:firstLine="560" w:firstLineChars="200"/>
        <w:rPr>
          <w:sz w:val="28"/>
          <w:szCs w:val="28"/>
        </w:rPr>
      </w:pPr>
      <w:r>
        <w:rPr>
          <w:rFonts w:hint="eastAsia"/>
          <w:sz w:val="28"/>
          <w:szCs w:val="28"/>
        </w:rPr>
        <w:t>太仓市城厢镇安委会负责对生产安全事故的应急准备和应急预案实施的全过程进行监督和检查，保障应急措施到位。</w:t>
      </w:r>
    </w:p>
    <w:p>
      <w:pPr>
        <w:spacing w:line="360" w:lineRule="auto"/>
        <w:ind w:firstLine="560" w:firstLineChars="200"/>
        <w:outlineLvl w:val="1"/>
        <w:rPr>
          <w:sz w:val="28"/>
          <w:szCs w:val="28"/>
        </w:rPr>
      </w:pPr>
      <w:bookmarkStart w:id="157" w:name="_Toc4638"/>
      <w:bookmarkStart w:id="158" w:name="_Toc18494"/>
      <w:bookmarkStart w:id="159" w:name="_Toc28452"/>
      <w:r>
        <w:rPr>
          <w:sz w:val="28"/>
          <w:szCs w:val="28"/>
        </w:rPr>
        <w:t xml:space="preserve">6.5  </w:t>
      </w:r>
      <w:r>
        <w:rPr>
          <w:rFonts w:hint="eastAsia"/>
          <w:sz w:val="28"/>
          <w:szCs w:val="28"/>
        </w:rPr>
        <w:t>奖惩</w:t>
      </w:r>
      <w:bookmarkEnd w:id="157"/>
      <w:bookmarkEnd w:id="158"/>
      <w:bookmarkEnd w:id="159"/>
    </w:p>
    <w:p>
      <w:pPr>
        <w:spacing w:line="360" w:lineRule="auto"/>
        <w:ind w:firstLine="560" w:firstLineChars="200"/>
        <w:rPr>
          <w:sz w:val="28"/>
          <w:szCs w:val="28"/>
        </w:rPr>
      </w:pPr>
      <w:r>
        <w:rPr>
          <w:rFonts w:hint="eastAsia"/>
          <w:sz w:val="28"/>
          <w:szCs w:val="28"/>
        </w:rPr>
        <w:t>生产安全事故灾难应急处置，实行行政领导负责制和责任追究制。对在应急处置中做出突出贡献的集体和个人给予表彰和奖励；对迟报、瞒报、漏报和谎报重要情况、事故救援不力及其他失职、渎职行为的，依法对有关责任人给予行政处分，构成犯罪的，依法追究刑事责任。</w:t>
      </w: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jc w:val="center"/>
        <w:outlineLvl w:val="0"/>
        <w:rPr>
          <w:b/>
          <w:sz w:val="28"/>
          <w:szCs w:val="28"/>
        </w:rPr>
      </w:pPr>
      <w:bookmarkStart w:id="160" w:name="_Toc32625"/>
      <w:bookmarkStart w:id="161" w:name="_Toc14390"/>
      <w:bookmarkStart w:id="162" w:name="_Toc17620"/>
    </w:p>
    <w:p>
      <w:pPr>
        <w:spacing w:line="360" w:lineRule="auto"/>
        <w:jc w:val="center"/>
        <w:outlineLvl w:val="0"/>
        <w:rPr>
          <w:b/>
          <w:sz w:val="28"/>
          <w:szCs w:val="28"/>
        </w:rPr>
      </w:pPr>
      <w:r>
        <w:rPr>
          <w:b/>
          <w:sz w:val="28"/>
          <w:szCs w:val="28"/>
        </w:rPr>
        <w:t xml:space="preserve">7  </w:t>
      </w:r>
      <w:r>
        <w:rPr>
          <w:rFonts w:hint="eastAsia"/>
          <w:b/>
          <w:sz w:val="28"/>
          <w:szCs w:val="28"/>
        </w:rPr>
        <w:t>附则</w:t>
      </w:r>
      <w:bookmarkEnd w:id="160"/>
      <w:bookmarkEnd w:id="161"/>
      <w:bookmarkEnd w:id="162"/>
    </w:p>
    <w:p>
      <w:pPr>
        <w:spacing w:line="360" w:lineRule="auto"/>
        <w:ind w:firstLine="560" w:firstLineChars="200"/>
        <w:outlineLvl w:val="1"/>
        <w:rPr>
          <w:sz w:val="28"/>
          <w:szCs w:val="28"/>
        </w:rPr>
      </w:pPr>
      <w:bookmarkStart w:id="163" w:name="_Toc6852"/>
      <w:bookmarkStart w:id="164" w:name="_Toc16497"/>
      <w:bookmarkStart w:id="165" w:name="_Toc31423"/>
      <w:r>
        <w:rPr>
          <w:sz w:val="28"/>
          <w:szCs w:val="28"/>
        </w:rPr>
        <w:t xml:space="preserve">7.1  </w:t>
      </w:r>
      <w:r>
        <w:rPr>
          <w:rFonts w:hint="eastAsia"/>
          <w:sz w:val="28"/>
          <w:szCs w:val="28"/>
        </w:rPr>
        <w:t>名词解释</w:t>
      </w:r>
      <w:bookmarkEnd w:id="163"/>
      <w:bookmarkEnd w:id="164"/>
      <w:bookmarkEnd w:id="165"/>
    </w:p>
    <w:p>
      <w:pPr>
        <w:spacing w:line="360" w:lineRule="auto"/>
        <w:ind w:firstLine="560" w:firstLineChars="200"/>
        <w:rPr>
          <w:sz w:val="28"/>
          <w:szCs w:val="28"/>
        </w:rPr>
      </w:pPr>
      <w:r>
        <w:rPr>
          <w:rFonts w:hint="eastAsia"/>
          <w:sz w:val="28"/>
          <w:szCs w:val="28"/>
        </w:rPr>
        <w:t>（</w:t>
      </w:r>
      <w:r>
        <w:rPr>
          <w:sz w:val="28"/>
          <w:szCs w:val="28"/>
        </w:rPr>
        <w:t>1</w:t>
      </w:r>
      <w:r>
        <w:rPr>
          <w:rFonts w:hint="eastAsia"/>
          <w:sz w:val="28"/>
          <w:szCs w:val="28"/>
        </w:rPr>
        <w:t>）危险化学品</w:t>
      </w:r>
      <w:r>
        <w:rPr>
          <w:sz w:val="28"/>
          <w:szCs w:val="28"/>
        </w:rPr>
        <w:t xml:space="preserve"> </w:t>
      </w:r>
    </w:p>
    <w:p>
      <w:pPr>
        <w:spacing w:line="360" w:lineRule="auto"/>
        <w:ind w:firstLine="560" w:firstLineChars="200"/>
        <w:rPr>
          <w:sz w:val="28"/>
          <w:szCs w:val="28"/>
        </w:rPr>
      </w:pPr>
      <w:r>
        <w:rPr>
          <w:rFonts w:hint="eastAsia"/>
          <w:sz w:val="28"/>
          <w:szCs w:val="28"/>
        </w:rPr>
        <w:t>指属于爆炸品、压缩气体和液化气体、易燃液体、易燃固体、自燃物品和遇湿易燃物品、氧化剂和有机过氧化物、有毒品和腐蚀品的化学品。</w:t>
      </w:r>
      <w:r>
        <w:rPr>
          <w:sz w:val="28"/>
          <w:szCs w:val="28"/>
        </w:rPr>
        <w:t xml:space="preserve"> </w:t>
      </w:r>
    </w:p>
    <w:p>
      <w:pPr>
        <w:spacing w:line="360" w:lineRule="auto"/>
        <w:ind w:firstLine="560" w:firstLineChars="200"/>
        <w:rPr>
          <w:sz w:val="28"/>
          <w:szCs w:val="28"/>
        </w:rPr>
      </w:pPr>
      <w:r>
        <w:rPr>
          <w:rFonts w:hint="eastAsia"/>
          <w:sz w:val="28"/>
          <w:szCs w:val="28"/>
        </w:rPr>
        <w:t>（</w:t>
      </w:r>
      <w:r>
        <w:rPr>
          <w:sz w:val="28"/>
          <w:szCs w:val="28"/>
        </w:rPr>
        <w:t>2</w:t>
      </w:r>
      <w:r>
        <w:rPr>
          <w:rFonts w:hint="eastAsia"/>
          <w:sz w:val="28"/>
          <w:szCs w:val="28"/>
        </w:rPr>
        <w:t>）生产安全事故</w:t>
      </w:r>
      <w:r>
        <w:rPr>
          <w:sz w:val="28"/>
          <w:szCs w:val="28"/>
        </w:rPr>
        <w:t xml:space="preserve"> </w:t>
      </w:r>
    </w:p>
    <w:p>
      <w:pPr>
        <w:spacing w:line="360" w:lineRule="auto"/>
        <w:ind w:firstLine="560" w:firstLineChars="200"/>
        <w:rPr>
          <w:rFonts w:ascii="宋体" w:hAnsi="宋体" w:cs="宋体"/>
          <w:color w:val="000000"/>
          <w:sz w:val="28"/>
          <w:szCs w:val="28"/>
        </w:rPr>
      </w:pPr>
      <w:r>
        <w:rPr>
          <w:rFonts w:hint="eastAsia" w:ascii="宋体" w:hAnsi="宋体" w:cs="宋体"/>
          <w:color w:val="000000"/>
          <w:sz w:val="28"/>
          <w:szCs w:val="28"/>
          <w:shd w:val="clear" w:color="auto" w:fill="FFFFFF"/>
        </w:rPr>
        <w:t>是指生产经营单位在生产经营活动（包括与生产经营有关的活动）中突然发生的，伤害人身安全和健康，或者损坏设备设施，或者造成经济损失的，导致原生产经营活动（包括与生产经营活动有关的活动）暂时中止或永远终止的意外事件</w:t>
      </w:r>
      <w:r>
        <w:rPr>
          <w:rFonts w:hint="eastAsia" w:ascii="宋体" w:hAnsi="宋体" w:cs="宋体"/>
          <w:color w:val="000000"/>
          <w:sz w:val="28"/>
          <w:szCs w:val="28"/>
        </w:rPr>
        <w:t xml:space="preserve"> </w:t>
      </w:r>
    </w:p>
    <w:p>
      <w:pPr>
        <w:spacing w:line="360" w:lineRule="auto"/>
        <w:ind w:firstLine="560" w:firstLineChars="200"/>
        <w:rPr>
          <w:sz w:val="28"/>
          <w:szCs w:val="28"/>
        </w:rPr>
      </w:pPr>
      <w:r>
        <w:rPr>
          <w:rFonts w:hint="eastAsia"/>
          <w:sz w:val="28"/>
          <w:szCs w:val="28"/>
        </w:rPr>
        <w:t>（</w:t>
      </w:r>
      <w:r>
        <w:rPr>
          <w:sz w:val="28"/>
          <w:szCs w:val="28"/>
        </w:rPr>
        <w:t>3</w:t>
      </w:r>
      <w:r>
        <w:rPr>
          <w:rFonts w:hint="eastAsia"/>
          <w:sz w:val="28"/>
          <w:szCs w:val="28"/>
        </w:rPr>
        <w:t>）应急预案</w:t>
      </w:r>
    </w:p>
    <w:p>
      <w:pPr>
        <w:spacing w:line="360" w:lineRule="auto"/>
        <w:ind w:firstLine="560" w:firstLineChars="200"/>
        <w:rPr>
          <w:sz w:val="28"/>
          <w:szCs w:val="28"/>
        </w:rPr>
      </w:pPr>
      <w:r>
        <w:rPr>
          <w:rFonts w:hint="eastAsia"/>
          <w:sz w:val="28"/>
          <w:szCs w:val="28"/>
        </w:rPr>
        <w:t>针对可能发生的事故，为迅速、有序地开展应急行动而预先制定的行动方案。</w:t>
      </w:r>
    </w:p>
    <w:p>
      <w:pPr>
        <w:spacing w:line="360" w:lineRule="auto"/>
        <w:ind w:firstLine="560" w:firstLineChars="200"/>
        <w:rPr>
          <w:sz w:val="28"/>
          <w:szCs w:val="28"/>
        </w:rPr>
      </w:pPr>
      <w:r>
        <w:rPr>
          <w:rFonts w:hint="eastAsia"/>
          <w:sz w:val="28"/>
          <w:szCs w:val="28"/>
        </w:rPr>
        <w:t>（</w:t>
      </w:r>
      <w:r>
        <w:rPr>
          <w:sz w:val="28"/>
          <w:szCs w:val="28"/>
        </w:rPr>
        <w:t>4</w:t>
      </w:r>
      <w:r>
        <w:rPr>
          <w:rFonts w:hint="eastAsia"/>
          <w:sz w:val="28"/>
          <w:szCs w:val="28"/>
        </w:rPr>
        <w:t>）应急准备</w:t>
      </w:r>
    </w:p>
    <w:p>
      <w:pPr>
        <w:spacing w:line="360" w:lineRule="auto"/>
        <w:ind w:firstLine="560" w:firstLineChars="200"/>
        <w:rPr>
          <w:sz w:val="28"/>
          <w:szCs w:val="28"/>
        </w:rPr>
      </w:pPr>
      <w:r>
        <w:rPr>
          <w:rFonts w:hint="eastAsia"/>
          <w:sz w:val="28"/>
          <w:szCs w:val="28"/>
        </w:rPr>
        <w:t>针对可能发生的事故，为迅速、有序地开展应急行动而预先进行的组织准备和应急保障。</w:t>
      </w:r>
    </w:p>
    <w:p>
      <w:pPr>
        <w:spacing w:line="360" w:lineRule="auto"/>
        <w:ind w:firstLine="560" w:firstLineChars="200"/>
        <w:rPr>
          <w:sz w:val="28"/>
          <w:szCs w:val="28"/>
        </w:rPr>
      </w:pPr>
      <w:r>
        <w:rPr>
          <w:rFonts w:hint="eastAsia"/>
          <w:sz w:val="28"/>
          <w:szCs w:val="28"/>
        </w:rPr>
        <w:t>（</w:t>
      </w:r>
      <w:r>
        <w:rPr>
          <w:sz w:val="28"/>
          <w:szCs w:val="28"/>
        </w:rPr>
        <w:t>5</w:t>
      </w:r>
      <w:r>
        <w:rPr>
          <w:rFonts w:hint="eastAsia"/>
          <w:sz w:val="28"/>
          <w:szCs w:val="28"/>
        </w:rPr>
        <w:t>）应急响应</w:t>
      </w:r>
    </w:p>
    <w:p>
      <w:pPr>
        <w:spacing w:line="360" w:lineRule="auto"/>
        <w:ind w:firstLine="560" w:firstLineChars="200"/>
        <w:rPr>
          <w:sz w:val="28"/>
          <w:szCs w:val="28"/>
        </w:rPr>
      </w:pPr>
      <w:r>
        <w:rPr>
          <w:rFonts w:hint="eastAsia"/>
          <w:sz w:val="28"/>
          <w:szCs w:val="28"/>
        </w:rPr>
        <w:t>事故发生后，有关组织或人员采取的应急行动。</w:t>
      </w:r>
    </w:p>
    <w:p>
      <w:pPr>
        <w:spacing w:line="360" w:lineRule="auto"/>
        <w:ind w:firstLine="560" w:firstLineChars="200"/>
        <w:rPr>
          <w:sz w:val="28"/>
          <w:szCs w:val="28"/>
        </w:rPr>
      </w:pPr>
      <w:r>
        <w:rPr>
          <w:rFonts w:hint="eastAsia"/>
          <w:sz w:val="28"/>
          <w:szCs w:val="28"/>
        </w:rPr>
        <w:t>（</w:t>
      </w:r>
      <w:r>
        <w:rPr>
          <w:sz w:val="28"/>
          <w:szCs w:val="28"/>
        </w:rPr>
        <w:t>6</w:t>
      </w:r>
      <w:r>
        <w:rPr>
          <w:rFonts w:hint="eastAsia"/>
          <w:sz w:val="28"/>
          <w:szCs w:val="28"/>
        </w:rPr>
        <w:t>）应急救援</w:t>
      </w:r>
      <w:r>
        <w:rPr>
          <w:sz w:val="28"/>
          <w:szCs w:val="28"/>
        </w:rPr>
        <w:t xml:space="preserve"> </w:t>
      </w:r>
    </w:p>
    <w:p>
      <w:pPr>
        <w:spacing w:line="360" w:lineRule="auto"/>
        <w:ind w:firstLine="560" w:firstLineChars="200"/>
        <w:rPr>
          <w:sz w:val="28"/>
          <w:szCs w:val="28"/>
        </w:rPr>
      </w:pPr>
      <w:r>
        <w:rPr>
          <w:rFonts w:hint="eastAsia"/>
          <w:sz w:val="28"/>
          <w:szCs w:val="28"/>
        </w:rPr>
        <w:t>在应急响应过程中，为消除、减少事故危害，防止事故扩大或恶化，最大限度地降低事故造成的损失或危害而采取的救援措施或行动。</w:t>
      </w:r>
    </w:p>
    <w:p>
      <w:pPr>
        <w:spacing w:line="360" w:lineRule="auto"/>
        <w:ind w:firstLine="560" w:firstLineChars="200"/>
        <w:rPr>
          <w:sz w:val="28"/>
          <w:szCs w:val="28"/>
        </w:rPr>
      </w:pPr>
      <w:r>
        <w:rPr>
          <w:rFonts w:hint="eastAsia"/>
          <w:sz w:val="28"/>
          <w:szCs w:val="28"/>
        </w:rPr>
        <w:t>（</w:t>
      </w:r>
      <w:r>
        <w:rPr>
          <w:sz w:val="28"/>
          <w:szCs w:val="28"/>
        </w:rPr>
        <w:t>7</w:t>
      </w:r>
      <w:r>
        <w:rPr>
          <w:rFonts w:hint="eastAsia"/>
          <w:sz w:val="28"/>
          <w:szCs w:val="28"/>
        </w:rPr>
        <w:t>）预警</w:t>
      </w:r>
    </w:p>
    <w:p>
      <w:pPr>
        <w:spacing w:line="360" w:lineRule="auto"/>
        <w:ind w:firstLine="560" w:firstLineChars="200"/>
        <w:rPr>
          <w:sz w:val="28"/>
          <w:szCs w:val="28"/>
        </w:rPr>
      </w:pPr>
      <w:r>
        <w:rPr>
          <w:rFonts w:hint="eastAsia"/>
          <w:sz w:val="28"/>
          <w:szCs w:val="28"/>
        </w:rPr>
        <w:t>在灾害或灾难以及其他需要提防的危险发生之前，根据以往的总结的规律或观测得到的可能性前兆，向相关部门或人员发出紧急信号，报告危险情况，以避免危害在不知情或准备不足的的情况下发生，从而最大程度地减低危害所造成的损失的行为。</w:t>
      </w:r>
      <w:r>
        <w:rPr>
          <w:sz w:val="28"/>
          <w:szCs w:val="28"/>
        </w:rPr>
        <w:t xml:space="preserve"> </w:t>
      </w:r>
    </w:p>
    <w:p>
      <w:pPr>
        <w:spacing w:line="360" w:lineRule="auto"/>
        <w:ind w:firstLine="560" w:firstLineChars="200"/>
        <w:rPr>
          <w:sz w:val="28"/>
          <w:szCs w:val="28"/>
        </w:rPr>
      </w:pPr>
      <w:r>
        <w:rPr>
          <w:rFonts w:hint="eastAsia"/>
          <w:sz w:val="28"/>
          <w:szCs w:val="28"/>
        </w:rPr>
        <w:t>（</w:t>
      </w:r>
      <w:r>
        <w:rPr>
          <w:sz w:val="28"/>
          <w:szCs w:val="28"/>
        </w:rPr>
        <w:t>8</w:t>
      </w:r>
      <w:r>
        <w:rPr>
          <w:rFonts w:hint="eastAsia"/>
          <w:sz w:val="28"/>
          <w:szCs w:val="28"/>
        </w:rPr>
        <w:t>）危险化学品重大危险源</w:t>
      </w:r>
      <w:r>
        <w:rPr>
          <w:sz w:val="28"/>
          <w:szCs w:val="28"/>
        </w:rPr>
        <w:t xml:space="preserve"> </w:t>
      </w:r>
    </w:p>
    <w:p>
      <w:pPr>
        <w:spacing w:line="360" w:lineRule="auto"/>
        <w:ind w:firstLine="560" w:firstLineChars="200"/>
        <w:rPr>
          <w:sz w:val="28"/>
          <w:szCs w:val="28"/>
        </w:rPr>
      </w:pPr>
      <w:r>
        <w:rPr>
          <w:rFonts w:hint="eastAsia"/>
          <w:sz w:val="28"/>
          <w:szCs w:val="28"/>
        </w:rPr>
        <w:t>指长期地或临时地生产、搬运、使用或者储存危险化学品，且危险物品的数量等于或者超过临界量的单元（包括场所和设施）。</w:t>
      </w:r>
      <w:r>
        <w:rPr>
          <w:sz w:val="28"/>
          <w:szCs w:val="28"/>
        </w:rPr>
        <w:t xml:space="preserve"> </w:t>
      </w:r>
    </w:p>
    <w:p>
      <w:pPr>
        <w:spacing w:line="360" w:lineRule="auto"/>
        <w:ind w:firstLine="560" w:firstLineChars="200"/>
        <w:rPr>
          <w:sz w:val="28"/>
          <w:szCs w:val="28"/>
        </w:rPr>
      </w:pPr>
      <w:r>
        <w:rPr>
          <w:rFonts w:hint="eastAsia"/>
          <w:sz w:val="28"/>
          <w:szCs w:val="28"/>
        </w:rPr>
        <w:t>（</w:t>
      </w:r>
      <w:r>
        <w:rPr>
          <w:sz w:val="28"/>
          <w:szCs w:val="28"/>
        </w:rPr>
        <w:t>9</w:t>
      </w:r>
      <w:r>
        <w:rPr>
          <w:rFonts w:hint="eastAsia"/>
          <w:sz w:val="28"/>
          <w:szCs w:val="28"/>
        </w:rPr>
        <w:t>）危险目标</w:t>
      </w:r>
      <w:r>
        <w:rPr>
          <w:sz w:val="28"/>
          <w:szCs w:val="28"/>
        </w:rPr>
        <w:t xml:space="preserve"> </w:t>
      </w:r>
    </w:p>
    <w:p>
      <w:pPr>
        <w:spacing w:line="360" w:lineRule="auto"/>
        <w:ind w:firstLine="560" w:firstLineChars="200"/>
        <w:rPr>
          <w:sz w:val="28"/>
          <w:szCs w:val="28"/>
        </w:rPr>
      </w:pPr>
      <w:r>
        <w:rPr>
          <w:rFonts w:hint="eastAsia"/>
          <w:sz w:val="28"/>
          <w:szCs w:val="28"/>
        </w:rPr>
        <w:t>指因危险性质、数量可能引起事故的危险化学品所在场所或设施。</w:t>
      </w:r>
    </w:p>
    <w:p>
      <w:pPr>
        <w:spacing w:line="360" w:lineRule="auto"/>
        <w:ind w:firstLine="560" w:firstLineChars="200"/>
        <w:rPr>
          <w:sz w:val="28"/>
          <w:szCs w:val="28"/>
        </w:rPr>
      </w:pPr>
      <w:r>
        <w:rPr>
          <w:rFonts w:hint="eastAsia"/>
          <w:sz w:val="28"/>
          <w:szCs w:val="28"/>
        </w:rPr>
        <w:t>（</w:t>
      </w:r>
      <w:r>
        <w:rPr>
          <w:sz w:val="28"/>
          <w:szCs w:val="28"/>
        </w:rPr>
        <w:t>10</w:t>
      </w:r>
      <w:r>
        <w:rPr>
          <w:rFonts w:hint="eastAsia"/>
          <w:sz w:val="28"/>
          <w:szCs w:val="28"/>
        </w:rPr>
        <w:t>）安全防护</w:t>
      </w:r>
    </w:p>
    <w:p>
      <w:pPr>
        <w:spacing w:line="360" w:lineRule="auto"/>
        <w:ind w:firstLine="560" w:firstLineChars="200"/>
        <w:rPr>
          <w:sz w:val="28"/>
          <w:szCs w:val="28"/>
        </w:rPr>
      </w:pPr>
      <w:r>
        <w:rPr>
          <w:rFonts w:hint="eastAsia"/>
          <w:sz w:val="28"/>
          <w:szCs w:val="28"/>
        </w:rPr>
        <w:t>做好准备和保护，以应付攻击或者避免受害，从而使被保护对象处于没有危险、不受侵害、不出现事故的安全状态。</w:t>
      </w:r>
    </w:p>
    <w:p>
      <w:pPr>
        <w:spacing w:line="360" w:lineRule="auto"/>
        <w:ind w:firstLine="560" w:firstLineChars="200"/>
        <w:rPr>
          <w:sz w:val="28"/>
          <w:szCs w:val="28"/>
        </w:rPr>
      </w:pPr>
      <w:r>
        <w:rPr>
          <w:rFonts w:hint="eastAsia"/>
          <w:sz w:val="28"/>
          <w:szCs w:val="28"/>
        </w:rPr>
        <w:t>（</w:t>
      </w:r>
      <w:r>
        <w:rPr>
          <w:sz w:val="28"/>
          <w:szCs w:val="28"/>
        </w:rPr>
        <w:t>11</w:t>
      </w:r>
      <w:r>
        <w:rPr>
          <w:rFonts w:hint="eastAsia"/>
          <w:sz w:val="28"/>
          <w:szCs w:val="28"/>
        </w:rPr>
        <w:t>）综合应急预案：是生产经营单位从总体上阐述事故的应急方针、政策，应急组织结构及相关应急职责，应急行动、措施和保障等基本要求和程序，是应对各类事故的综合性文件。</w:t>
      </w:r>
    </w:p>
    <w:p>
      <w:pPr>
        <w:spacing w:line="360" w:lineRule="auto"/>
        <w:ind w:firstLine="560" w:firstLineChars="200"/>
        <w:rPr>
          <w:sz w:val="28"/>
          <w:szCs w:val="28"/>
        </w:rPr>
      </w:pPr>
      <w:r>
        <w:rPr>
          <w:rFonts w:hint="eastAsia"/>
          <w:sz w:val="28"/>
          <w:szCs w:val="28"/>
        </w:rPr>
        <w:t>（</w:t>
      </w:r>
      <w:r>
        <w:rPr>
          <w:sz w:val="28"/>
          <w:szCs w:val="28"/>
        </w:rPr>
        <w:t>12</w:t>
      </w:r>
      <w:r>
        <w:rPr>
          <w:rFonts w:hint="eastAsia"/>
          <w:sz w:val="28"/>
          <w:szCs w:val="28"/>
        </w:rPr>
        <w:t>）专项应急预案：是生产经营单位针对具体的事故类别（如危险化学品发生火灾爆炸、危险化学品泄漏、中毒等事故）、危险源和应急保障而制定的计划或方案，是综合应急预案的组成部分，应按照综合应急预案的程序和要求组织制定，并作为综合应急预案的附件。专项应急预案应制定明确的救援程序和具体的应急救援措施。</w:t>
      </w:r>
    </w:p>
    <w:p>
      <w:pPr>
        <w:spacing w:line="360" w:lineRule="auto"/>
        <w:ind w:firstLine="560" w:firstLineChars="200"/>
        <w:rPr>
          <w:sz w:val="28"/>
          <w:szCs w:val="28"/>
        </w:rPr>
      </w:pPr>
      <w:r>
        <w:rPr>
          <w:rFonts w:hint="eastAsia"/>
          <w:sz w:val="28"/>
          <w:szCs w:val="28"/>
        </w:rPr>
        <w:t>（</w:t>
      </w:r>
      <w:r>
        <w:rPr>
          <w:sz w:val="28"/>
          <w:szCs w:val="28"/>
        </w:rPr>
        <w:t>13</w:t>
      </w:r>
      <w:r>
        <w:rPr>
          <w:rFonts w:hint="eastAsia"/>
          <w:sz w:val="28"/>
          <w:szCs w:val="28"/>
        </w:rPr>
        <w:t>）应急保障：是在预案实施过程中涉及到的由指挥系统、通信、现场救援和工程抢险装备、应急队伍、交通运输、医疗卫生、治安、物资、资金和应急避难场所等的支援。</w:t>
      </w:r>
    </w:p>
    <w:p>
      <w:pPr>
        <w:spacing w:line="360" w:lineRule="auto"/>
        <w:ind w:firstLine="560" w:firstLineChars="200"/>
        <w:outlineLvl w:val="1"/>
        <w:rPr>
          <w:sz w:val="28"/>
          <w:szCs w:val="28"/>
        </w:rPr>
      </w:pPr>
      <w:bookmarkStart w:id="166" w:name="_Toc14031"/>
      <w:bookmarkStart w:id="167" w:name="_Toc27618"/>
      <w:bookmarkStart w:id="168" w:name="_Toc13166"/>
      <w:r>
        <w:rPr>
          <w:sz w:val="28"/>
          <w:szCs w:val="28"/>
        </w:rPr>
        <w:t xml:space="preserve">7.2  </w:t>
      </w:r>
      <w:r>
        <w:rPr>
          <w:rFonts w:hint="eastAsia"/>
          <w:sz w:val="28"/>
          <w:szCs w:val="28"/>
        </w:rPr>
        <w:t>预案管理与更新</w:t>
      </w:r>
      <w:bookmarkEnd w:id="166"/>
      <w:bookmarkEnd w:id="167"/>
      <w:bookmarkEnd w:id="168"/>
    </w:p>
    <w:p>
      <w:pPr>
        <w:spacing w:line="360" w:lineRule="auto"/>
        <w:ind w:firstLine="560" w:firstLineChars="200"/>
        <w:rPr>
          <w:sz w:val="28"/>
          <w:szCs w:val="28"/>
        </w:rPr>
      </w:pPr>
      <w:r>
        <w:rPr>
          <w:rFonts w:hint="eastAsia"/>
          <w:sz w:val="28"/>
          <w:szCs w:val="28"/>
        </w:rPr>
        <w:t>太仓市城厢镇安委会建立应急预案管理制度，明确预案评审机构、评审方法和评审周期，定期组织对本预案进行评审，并及时根据评审结论组织修订本预案。</w:t>
      </w:r>
    </w:p>
    <w:p>
      <w:pPr>
        <w:spacing w:line="360" w:lineRule="auto"/>
        <w:ind w:firstLine="560" w:firstLineChars="200"/>
        <w:rPr>
          <w:sz w:val="28"/>
          <w:szCs w:val="28"/>
        </w:rPr>
      </w:pPr>
      <w:r>
        <w:rPr>
          <w:rFonts w:hint="eastAsia"/>
          <w:sz w:val="28"/>
          <w:szCs w:val="28"/>
        </w:rPr>
        <w:t>当本预案所依据的法律法规、部门职责或应急资源发生变化，或者在应急过程中发现存在问题和出现新的情况，区安委会将及时修订完善本预案。</w:t>
      </w:r>
    </w:p>
    <w:p>
      <w:pPr>
        <w:spacing w:line="360" w:lineRule="auto"/>
        <w:ind w:firstLine="560" w:firstLineChars="200"/>
        <w:outlineLvl w:val="1"/>
        <w:rPr>
          <w:sz w:val="28"/>
          <w:szCs w:val="28"/>
        </w:rPr>
      </w:pPr>
      <w:bookmarkStart w:id="169" w:name="_Toc30784"/>
      <w:bookmarkStart w:id="170" w:name="_Toc11563"/>
      <w:bookmarkStart w:id="171" w:name="_Toc27335"/>
      <w:r>
        <w:rPr>
          <w:sz w:val="28"/>
          <w:szCs w:val="28"/>
        </w:rPr>
        <w:t xml:space="preserve">7.3  </w:t>
      </w:r>
      <w:r>
        <w:rPr>
          <w:rFonts w:hint="eastAsia"/>
          <w:sz w:val="28"/>
          <w:szCs w:val="28"/>
        </w:rPr>
        <w:t>预案制定与解释部门</w:t>
      </w:r>
      <w:bookmarkEnd w:id="169"/>
      <w:bookmarkEnd w:id="170"/>
      <w:bookmarkEnd w:id="171"/>
    </w:p>
    <w:p>
      <w:pPr>
        <w:spacing w:line="360" w:lineRule="auto"/>
        <w:ind w:firstLine="560" w:firstLineChars="200"/>
        <w:rPr>
          <w:sz w:val="28"/>
          <w:szCs w:val="28"/>
        </w:rPr>
      </w:pPr>
      <w:r>
        <w:rPr>
          <w:rFonts w:hint="eastAsia"/>
          <w:sz w:val="28"/>
          <w:szCs w:val="28"/>
        </w:rPr>
        <w:t>本预案由太仓市城厢镇安委会组织制定，安委会负责管理与实施。有关部门按照预案的要求履行各自职责，并制定相应的预案和保障计划。</w:t>
      </w:r>
    </w:p>
    <w:p>
      <w:pPr>
        <w:spacing w:line="360" w:lineRule="auto"/>
        <w:ind w:firstLine="560" w:firstLineChars="200"/>
        <w:outlineLvl w:val="1"/>
        <w:rPr>
          <w:sz w:val="28"/>
          <w:szCs w:val="28"/>
        </w:rPr>
      </w:pPr>
      <w:bookmarkStart w:id="172" w:name="_Toc2970"/>
      <w:bookmarkStart w:id="173" w:name="_Toc20891"/>
      <w:bookmarkStart w:id="174" w:name="_Toc22785"/>
      <w:r>
        <w:rPr>
          <w:sz w:val="28"/>
          <w:szCs w:val="28"/>
        </w:rPr>
        <w:t xml:space="preserve">7.4  </w:t>
      </w:r>
      <w:r>
        <w:rPr>
          <w:rFonts w:hint="eastAsia"/>
          <w:sz w:val="28"/>
          <w:szCs w:val="28"/>
        </w:rPr>
        <w:t>预案实施</w:t>
      </w:r>
      <w:bookmarkEnd w:id="172"/>
      <w:bookmarkEnd w:id="173"/>
      <w:bookmarkEnd w:id="174"/>
    </w:p>
    <w:p>
      <w:pPr>
        <w:spacing w:line="360" w:lineRule="auto"/>
        <w:ind w:firstLine="560" w:firstLineChars="200"/>
        <w:rPr>
          <w:sz w:val="28"/>
          <w:szCs w:val="28"/>
        </w:rPr>
      </w:pPr>
      <w:r>
        <w:rPr>
          <w:rFonts w:hint="eastAsia"/>
          <w:sz w:val="28"/>
          <w:szCs w:val="28"/>
        </w:rPr>
        <w:t>本预案由太仓市城厢镇安委会组织实施。</w:t>
      </w:r>
    </w:p>
    <w:p>
      <w:pPr>
        <w:spacing w:line="360" w:lineRule="auto"/>
        <w:ind w:firstLine="560" w:firstLineChars="200"/>
        <w:rPr>
          <w:sz w:val="28"/>
          <w:szCs w:val="28"/>
        </w:rPr>
      </w:pPr>
      <w:r>
        <w:rPr>
          <w:rFonts w:hint="eastAsia"/>
          <w:sz w:val="28"/>
          <w:szCs w:val="28"/>
        </w:rPr>
        <w:t>本预案自印发之日起实施。</w:t>
      </w: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jc w:val="center"/>
        <w:outlineLvl w:val="0"/>
        <w:rPr>
          <w:b/>
          <w:bCs/>
          <w:sz w:val="32"/>
          <w:szCs w:val="32"/>
        </w:rPr>
      </w:pPr>
      <w:bookmarkStart w:id="175" w:name="_Toc10163"/>
      <w:bookmarkStart w:id="176" w:name="_Toc3531"/>
      <w:bookmarkStart w:id="177" w:name="_Toc30115"/>
      <w:bookmarkStart w:id="178" w:name="_Toc32025"/>
      <w:r>
        <w:rPr>
          <w:rFonts w:hint="eastAsia"/>
          <w:b/>
          <w:bCs/>
          <w:sz w:val="32"/>
          <w:szCs w:val="32"/>
        </w:rPr>
        <w:t>附   件</w:t>
      </w:r>
      <w:bookmarkEnd w:id="175"/>
      <w:bookmarkEnd w:id="176"/>
      <w:bookmarkEnd w:id="177"/>
      <w:bookmarkEnd w:id="178"/>
    </w:p>
    <w:p>
      <w:pPr>
        <w:spacing w:line="360" w:lineRule="auto"/>
        <w:ind w:firstLine="560" w:firstLineChars="200"/>
        <w:rPr>
          <w:rFonts w:hint="eastAsia"/>
          <w:sz w:val="28"/>
          <w:szCs w:val="28"/>
        </w:rPr>
      </w:pPr>
      <w:r>
        <w:rPr>
          <w:rFonts w:hint="eastAsia"/>
          <w:sz w:val="28"/>
          <w:szCs w:val="28"/>
        </w:rPr>
        <w:t>附件1：事故应急预警处置流程</w:t>
      </w:r>
    </w:p>
    <w:p>
      <w:pPr>
        <w:spacing w:line="360" w:lineRule="auto"/>
        <w:ind w:firstLine="560" w:firstLineChars="200"/>
        <w:rPr>
          <w:sz w:val="28"/>
          <w:szCs w:val="28"/>
        </w:rPr>
      </w:pPr>
      <w:r>
        <w:rPr>
          <w:rFonts w:hint="eastAsia"/>
          <w:sz w:val="28"/>
          <w:szCs w:val="28"/>
        </w:rPr>
        <w:t>附件</w:t>
      </w:r>
      <w:r>
        <w:rPr>
          <w:rFonts w:hint="eastAsia"/>
          <w:sz w:val="28"/>
          <w:szCs w:val="28"/>
          <w:lang w:val="en-US" w:eastAsia="zh-CN"/>
        </w:rPr>
        <w:t>2</w:t>
      </w:r>
      <w:r>
        <w:rPr>
          <w:rFonts w:hint="eastAsia"/>
          <w:sz w:val="28"/>
          <w:szCs w:val="28"/>
        </w:rPr>
        <w:t>：事故应急处置措施</w:t>
      </w:r>
    </w:p>
    <w:p>
      <w:pPr>
        <w:spacing w:line="360" w:lineRule="auto"/>
        <w:ind w:firstLine="560" w:firstLineChars="200"/>
        <w:rPr>
          <w:sz w:val="28"/>
          <w:szCs w:val="28"/>
        </w:rPr>
      </w:pPr>
      <w:r>
        <w:rPr>
          <w:rFonts w:hint="eastAsia"/>
          <w:sz w:val="28"/>
          <w:szCs w:val="28"/>
        </w:rPr>
        <w:t>附件</w:t>
      </w:r>
      <w:r>
        <w:rPr>
          <w:rFonts w:hint="eastAsia"/>
          <w:sz w:val="28"/>
          <w:szCs w:val="28"/>
          <w:lang w:val="en-US" w:eastAsia="zh-CN"/>
        </w:rPr>
        <w:t>3</w:t>
      </w:r>
      <w:r>
        <w:rPr>
          <w:rFonts w:hint="eastAsia"/>
          <w:sz w:val="28"/>
          <w:szCs w:val="28"/>
        </w:rPr>
        <w:t>：应急救援专家表</w:t>
      </w:r>
    </w:p>
    <w:p>
      <w:pPr>
        <w:spacing w:line="360" w:lineRule="auto"/>
        <w:ind w:firstLine="560" w:firstLineChars="200"/>
        <w:rPr>
          <w:sz w:val="28"/>
          <w:szCs w:val="28"/>
        </w:rPr>
      </w:pPr>
      <w:r>
        <w:rPr>
          <w:rFonts w:hint="eastAsia"/>
          <w:sz w:val="28"/>
          <w:szCs w:val="28"/>
        </w:rPr>
        <w:t>附件</w:t>
      </w:r>
      <w:r>
        <w:rPr>
          <w:rFonts w:hint="eastAsia"/>
          <w:sz w:val="28"/>
          <w:szCs w:val="28"/>
          <w:lang w:val="en-US" w:eastAsia="zh-CN"/>
        </w:rPr>
        <w:t>4</w:t>
      </w:r>
      <w:r>
        <w:rPr>
          <w:rFonts w:hint="eastAsia"/>
          <w:sz w:val="28"/>
          <w:szCs w:val="28"/>
        </w:rPr>
        <w:t>：社会救援中心及报警电话</w:t>
      </w:r>
    </w:p>
    <w:p>
      <w:pPr>
        <w:spacing w:line="360" w:lineRule="auto"/>
        <w:ind w:firstLine="560" w:firstLineChars="200"/>
        <w:rPr>
          <w:sz w:val="28"/>
          <w:szCs w:val="28"/>
        </w:rPr>
      </w:pPr>
      <w:r>
        <w:rPr>
          <w:rFonts w:hint="eastAsia"/>
          <w:sz w:val="28"/>
          <w:szCs w:val="28"/>
        </w:rPr>
        <w:t>附件</w:t>
      </w:r>
      <w:r>
        <w:rPr>
          <w:rFonts w:hint="eastAsia"/>
          <w:sz w:val="28"/>
          <w:szCs w:val="28"/>
          <w:lang w:val="en-US" w:eastAsia="zh-CN"/>
        </w:rPr>
        <w:t>5</w:t>
      </w:r>
      <w:r>
        <w:rPr>
          <w:rFonts w:hint="eastAsia"/>
          <w:sz w:val="28"/>
          <w:szCs w:val="28"/>
        </w:rPr>
        <w:t>：事故应急救援机构名录</w:t>
      </w: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rPr>
          <w:rFonts w:hint="eastAsia"/>
          <w:b/>
          <w:sz w:val="28"/>
          <w:szCs w:val="28"/>
        </w:rPr>
      </w:pPr>
    </w:p>
    <w:p>
      <w:pPr>
        <w:rPr>
          <w:rFonts w:hint="eastAsia"/>
          <w:b/>
          <w:sz w:val="28"/>
          <w:szCs w:val="28"/>
        </w:rPr>
      </w:pPr>
    </w:p>
    <w:p>
      <w:pPr>
        <w:rPr>
          <w:rFonts w:hint="eastAsia"/>
          <w:b/>
          <w:sz w:val="28"/>
          <w:szCs w:val="28"/>
        </w:rPr>
      </w:pPr>
    </w:p>
    <w:p>
      <w:pPr>
        <w:rPr>
          <w:rFonts w:hint="eastAsia"/>
          <w:b/>
          <w:sz w:val="28"/>
          <w:szCs w:val="28"/>
        </w:rPr>
      </w:pPr>
    </w:p>
    <w:p>
      <w:pPr>
        <w:rPr>
          <w:rFonts w:hint="eastAsia"/>
          <w:b/>
          <w:sz w:val="28"/>
          <w:szCs w:val="28"/>
        </w:rPr>
      </w:pPr>
    </w:p>
    <w:p>
      <w:pPr>
        <w:rPr>
          <w:rFonts w:hint="eastAsia"/>
          <w:b/>
          <w:sz w:val="28"/>
          <w:szCs w:val="28"/>
        </w:rPr>
      </w:pPr>
    </w:p>
    <w:p>
      <w:pPr>
        <w:rPr>
          <w:rFonts w:hint="eastAsia"/>
          <w:b/>
          <w:sz w:val="28"/>
          <w:szCs w:val="28"/>
        </w:rPr>
      </w:pPr>
    </w:p>
    <w:p>
      <w:pPr>
        <w:rPr>
          <w:rFonts w:hint="eastAsia"/>
          <w:b/>
          <w:sz w:val="28"/>
          <w:szCs w:val="28"/>
        </w:rPr>
      </w:pPr>
    </w:p>
    <w:p>
      <w:pPr>
        <w:rPr>
          <w:rFonts w:hint="eastAsia"/>
          <w:b/>
          <w:sz w:val="28"/>
          <w:szCs w:val="28"/>
        </w:rPr>
      </w:pPr>
    </w:p>
    <w:p>
      <w:pPr>
        <w:rPr>
          <w:rFonts w:hint="eastAsia"/>
          <w:b/>
          <w:sz w:val="28"/>
          <w:szCs w:val="28"/>
        </w:rPr>
      </w:pPr>
    </w:p>
    <w:p>
      <w:pPr>
        <w:rPr>
          <w:rFonts w:hint="eastAsia"/>
          <w:b/>
          <w:sz w:val="28"/>
          <w:szCs w:val="28"/>
        </w:rPr>
      </w:pPr>
    </w:p>
    <w:p>
      <w:pPr>
        <w:spacing w:line="360" w:lineRule="auto"/>
        <w:ind w:firstLine="560" w:firstLineChars="200"/>
        <w:outlineLvl w:val="1"/>
        <w:rPr>
          <w:rFonts w:hint="eastAsia"/>
          <w:b/>
          <w:sz w:val="28"/>
          <w:szCs w:val="28"/>
        </w:rPr>
      </w:pPr>
      <w:r>
        <w:rPr>
          <w:rFonts w:hint="eastAsia"/>
          <w:sz w:val="28"/>
          <w:szCs w:val="28"/>
        </w:rPr>
        <w:t>附件</w:t>
      </w:r>
      <w:r>
        <w:rPr>
          <w:rFonts w:hint="eastAsia"/>
          <w:sz w:val="28"/>
          <w:szCs w:val="28"/>
          <w:lang w:val="en-US" w:eastAsia="zh-CN"/>
        </w:rPr>
        <w:t>1</w:t>
      </w:r>
      <w:r>
        <w:rPr>
          <w:rFonts w:hint="eastAsia"/>
          <w:sz w:val="28"/>
          <w:szCs w:val="28"/>
        </w:rPr>
        <w:t>：事故应急预警处置流程</w:t>
      </w:r>
    </w:p>
    <w:p>
      <w:pPr>
        <w:rPr>
          <w:b/>
          <w:sz w:val="28"/>
          <w:szCs w:val="28"/>
        </w:rPr>
      </w:pPr>
      <w:r>
        <w:rPr>
          <w:rFonts w:hint="eastAsia"/>
          <w:b/>
          <w:sz w:val="28"/>
          <w:szCs w:val="28"/>
        </w:rPr>
        <w:t>一、目的</w:t>
      </w:r>
    </w:p>
    <w:p>
      <w:pPr>
        <w:spacing w:line="360" w:lineRule="auto"/>
        <w:ind w:firstLine="560" w:firstLineChars="200"/>
        <w:rPr>
          <w:sz w:val="28"/>
          <w:szCs w:val="28"/>
        </w:rPr>
      </w:pPr>
      <w:r>
        <w:rPr>
          <w:rFonts w:hint="eastAsia"/>
          <w:sz w:val="28"/>
          <w:szCs w:val="28"/>
        </w:rPr>
        <w:t>贯彻落实“安全第一，预防为主，综合治理”的安全生产工作方针。加强对太仓市城厢镇可能发生的生产安全突发事故，及时有效地作出快速反应，最大限度地降低事故危害程度，预防和控制次生灾害的发生，保障人民生命、财产安全，最大限度地减少事故破坏和社会影响，维护社会的安全和稳定。</w:t>
      </w:r>
    </w:p>
    <w:p>
      <w:pPr>
        <w:rPr>
          <w:b/>
          <w:sz w:val="28"/>
          <w:szCs w:val="28"/>
        </w:rPr>
      </w:pPr>
      <w:r>
        <w:rPr>
          <w:rFonts w:hint="eastAsia"/>
          <w:b/>
          <w:sz w:val="28"/>
          <w:szCs w:val="28"/>
        </w:rPr>
        <w:t>二、事故预警等级划分</w:t>
      </w:r>
    </w:p>
    <w:p>
      <w:pPr>
        <w:spacing w:line="360" w:lineRule="auto"/>
        <w:ind w:firstLine="560" w:firstLineChars="200"/>
        <w:rPr>
          <w:sz w:val="28"/>
          <w:szCs w:val="28"/>
        </w:rPr>
      </w:pPr>
      <w:r>
        <w:rPr>
          <w:rFonts w:hint="eastAsia"/>
          <w:sz w:val="28"/>
          <w:szCs w:val="28"/>
        </w:rPr>
        <w:t>按事故灾难的可控性、严重程度和影响范围，将本区域的生产安全事故分为特别重大事故（</w:t>
      </w:r>
      <w:r>
        <w:rPr>
          <w:rFonts w:hint="eastAsia" w:ascii="宋体" w:hAnsi="宋体"/>
          <w:sz w:val="28"/>
          <w:szCs w:val="28"/>
        </w:rPr>
        <w:t>Ⅰ</w:t>
      </w:r>
      <w:r>
        <w:rPr>
          <w:rFonts w:hint="eastAsia"/>
          <w:sz w:val="28"/>
          <w:szCs w:val="28"/>
        </w:rPr>
        <w:t>级）、重大事故（</w:t>
      </w:r>
      <w:r>
        <w:rPr>
          <w:rFonts w:hint="eastAsia" w:ascii="宋体" w:hAnsi="宋体"/>
          <w:sz w:val="28"/>
          <w:szCs w:val="28"/>
        </w:rPr>
        <w:t>Ⅱ</w:t>
      </w:r>
      <w:r>
        <w:rPr>
          <w:rFonts w:hint="eastAsia"/>
          <w:sz w:val="28"/>
          <w:szCs w:val="28"/>
        </w:rPr>
        <w:t>级）、较大事故（</w:t>
      </w:r>
      <w:r>
        <w:rPr>
          <w:rFonts w:hint="eastAsia" w:ascii="宋体" w:hAnsi="宋体"/>
          <w:sz w:val="28"/>
          <w:szCs w:val="28"/>
        </w:rPr>
        <w:t>Ⅲ</w:t>
      </w:r>
      <w:r>
        <w:rPr>
          <w:rFonts w:hint="eastAsia"/>
          <w:sz w:val="28"/>
          <w:szCs w:val="28"/>
        </w:rPr>
        <w:t>级）、一般事故（</w:t>
      </w:r>
      <w:r>
        <w:rPr>
          <w:rFonts w:hint="eastAsia" w:ascii="宋体" w:hAnsi="宋体"/>
          <w:sz w:val="28"/>
          <w:szCs w:val="28"/>
        </w:rPr>
        <w:t>Ⅳ</w:t>
      </w:r>
      <w:r>
        <w:rPr>
          <w:rFonts w:hint="eastAsia"/>
          <w:sz w:val="28"/>
          <w:szCs w:val="28"/>
        </w:rPr>
        <w:t>级、</w:t>
      </w:r>
      <w:r>
        <w:rPr>
          <w:rFonts w:hint="eastAsia" w:ascii="宋体" w:hAnsi="宋体"/>
          <w:sz w:val="28"/>
          <w:szCs w:val="28"/>
        </w:rPr>
        <w:t>Ⅴ级</w:t>
      </w:r>
      <w:r>
        <w:rPr>
          <w:rFonts w:hint="eastAsia"/>
          <w:sz w:val="28"/>
          <w:szCs w:val="28"/>
        </w:rPr>
        <w:t>）四种情形。</w:t>
      </w:r>
    </w:p>
    <w:p>
      <w:pPr>
        <w:spacing w:line="360" w:lineRule="auto"/>
        <w:ind w:firstLine="560" w:firstLineChars="200"/>
        <w:rPr>
          <w:sz w:val="28"/>
          <w:szCs w:val="28"/>
        </w:rPr>
      </w:pPr>
      <w:r>
        <w:rPr>
          <w:rFonts w:hint="eastAsia"/>
          <w:sz w:val="28"/>
          <w:szCs w:val="28"/>
        </w:rPr>
        <w:t>（1）</w:t>
      </w:r>
      <w:r>
        <w:rPr>
          <w:rFonts w:hint="eastAsia" w:ascii="宋体" w:hAnsi="宋体"/>
          <w:sz w:val="28"/>
          <w:szCs w:val="28"/>
        </w:rPr>
        <w:t>Ⅰ</w:t>
      </w:r>
      <w:r>
        <w:rPr>
          <w:rFonts w:hint="eastAsia"/>
          <w:sz w:val="28"/>
          <w:szCs w:val="28"/>
        </w:rPr>
        <w:t>级：在生产、经营过程发生的火灾事故、爆炸事故、易燃易爆或有毒物质泄漏事故，已经严重危及周边社区、居民的生命财产安全，造成或可能造成30人以上死亡、或100人以上中毒、或疏散转移10万人以上、或1亿元以上直接经济损失、或特别重大社会影响，事故事态发展严重，且急待外部力量应急救援等。</w:t>
      </w:r>
    </w:p>
    <w:p>
      <w:pPr>
        <w:spacing w:line="360" w:lineRule="auto"/>
        <w:ind w:firstLine="560" w:firstLineChars="200"/>
        <w:rPr>
          <w:sz w:val="28"/>
          <w:szCs w:val="28"/>
        </w:rPr>
      </w:pPr>
      <w:r>
        <w:rPr>
          <w:rFonts w:hint="eastAsia"/>
          <w:sz w:val="28"/>
          <w:szCs w:val="28"/>
        </w:rPr>
        <w:t>（2）</w:t>
      </w:r>
      <w:r>
        <w:rPr>
          <w:rFonts w:hint="eastAsia" w:ascii="宋体" w:hAnsi="宋体"/>
          <w:sz w:val="28"/>
          <w:szCs w:val="28"/>
        </w:rPr>
        <w:t>Ⅱ</w:t>
      </w:r>
      <w:r>
        <w:rPr>
          <w:rFonts w:hint="eastAsia"/>
          <w:sz w:val="28"/>
          <w:szCs w:val="28"/>
        </w:rPr>
        <w:t>级：在生产、经营过程发生的火灾、爆炸事故、易燃易爆或有毒物质泄漏事故，已经危及周边社区、居民的生命财产安全，造成或可能造成10-29人死亡、或50-100人中毒、或5000-10000万元直接经济损失、或重大社会影响等。</w:t>
      </w:r>
    </w:p>
    <w:p>
      <w:pPr>
        <w:spacing w:line="360" w:lineRule="auto"/>
        <w:ind w:firstLine="560" w:firstLineChars="200"/>
        <w:rPr>
          <w:sz w:val="28"/>
          <w:szCs w:val="28"/>
        </w:rPr>
      </w:pPr>
      <w:r>
        <w:rPr>
          <w:rFonts w:hint="eastAsia"/>
          <w:sz w:val="28"/>
          <w:szCs w:val="28"/>
        </w:rPr>
        <w:t>（3）</w:t>
      </w:r>
      <w:r>
        <w:rPr>
          <w:rFonts w:hint="eastAsia" w:ascii="宋体" w:hAnsi="宋体"/>
          <w:sz w:val="28"/>
          <w:szCs w:val="28"/>
        </w:rPr>
        <w:t>Ⅲ</w:t>
      </w:r>
      <w:r>
        <w:rPr>
          <w:rFonts w:hint="eastAsia"/>
          <w:sz w:val="28"/>
          <w:szCs w:val="28"/>
        </w:rPr>
        <w:t>级：在生产、经营过程发生的火灾、爆炸事故、易燃易爆或有毒物质泄漏事故，已经危及周边社区、居民的生命财产安全，造成或可能造成3-9人死亡、或30-50人中毒、或直接经济损失较大、或较大社会影响等。</w:t>
      </w:r>
    </w:p>
    <w:p>
      <w:pPr>
        <w:spacing w:line="360" w:lineRule="auto"/>
        <w:ind w:firstLine="560" w:firstLineChars="200"/>
        <w:rPr>
          <w:sz w:val="28"/>
          <w:szCs w:val="28"/>
        </w:rPr>
      </w:pPr>
      <w:r>
        <w:rPr>
          <w:rFonts w:hint="eastAsia"/>
          <w:sz w:val="28"/>
          <w:szCs w:val="28"/>
        </w:rPr>
        <w:t>（4）</w:t>
      </w:r>
      <w:r>
        <w:rPr>
          <w:rFonts w:hint="eastAsia" w:ascii="宋体" w:hAnsi="宋体"/>
          <w:sz w:val="28"/>
          <w:szCs w:val="28"/>
        </w:rPr>
        <w:t>Ⅳ</w:t>
      </w:r>
      <w:r>
        <w:rPr>
          <w:rFonts w:hint="eastAsia"/>
          <w:sz w:val="28"/>
          <w:szCs w:val="28"/>
        </w:rPr>
        <w:t>级：在生产、经营过程发生的火灾、爆炸事故、易燃易爆或有毒物质泄漏事故，已经危及周边社区、居民的生命财产安全，造成或可能造成2-3人死亡、或10-30人中毒、或一定社会影响等。</w:t>
      </w:r>
    </w:p>
    <w:p>
      <w:pPr>
        <w:spacing w:line="360" w:lineRule="auto"/>
        <w:ind w:firstLine="560" w:firstLineChars="200"/>
        <w:rPr>
          <w:sz w:val="28"/>
          <w:szCs w:val="28"/>
        </w:rPr>
      </w:pPr>
      <w:r>
        <w:rPr>
          <w:rFonts w:hint="eastAsia"/>
          <w:sz w:val="28"/>
          <w:szCs w:val="28"/>
        </w:rPr>
        <w:t>（5）</w:t>
      </w:r>
      <w:r>
        <w:rPr>
          <w:rFonts w:hint="eastAsia" w:ascii="宋体" w:hAnsi="宋体"/>
          <w:sz w:val="28"/>
          <w:szCs w:val="28"/>
        </w:rPr>
        <w:t>Ⅴ级：</w:t>
      </w:r>
      <w:r>
        <w:rPr>
          <w:rFonts w:hint="eastAsia"/>
          <w:sz w:val="28"/>
          <w:szCs w:val="28"/>
        </w:rPr>
        <w:t>在生产、经营过程发生的火灾、爆炸事故、易燃易爆或有毒物质泄漏事故，已经危及周边社区、居民的生命财产安全，造成或可能造成1人以下死亡、或10人以下中毒、或一定社会影响等。</w:t>
      </w:r>
    </w:p>
    <w:p>
      <w:pPr>
        <w:rPr>
          <w:b/>
        </w:rPr>
      </w:pPr>
      <w:r>
        <w:rPr>
          <w:rFonts w:hint="eastAsia"/>
          <w:b/>
          <w:sz w:val="28"/>
          <w:szCs w:val="28"/>
        </w:rPr>
        <w:t>三、应急响应处置流程</w:t>
      </w:r>
    </w:p>
    <w:p>
      <w:pPr>
        <w:spacing w:line="360" w:lineRule="auto"/>
        <w:jc w:val="center"/>
        <w:rPr>
          <w:b/>
          <w:bCs/>
          <w:sz w:val="24"/>
        </w:rPr>
      </w:pPr>
      <w:r>
        <w:rPr>
          <w:rFonts w:hint="eastAsia"/>
          <w:b/>
          <w:bCs/>
          <w:sz w:val="24"/>
        </w:rPr>
        <w:t>1、分级响应</w:t>
      </w:r>
    </w:p>
    <w:tbl>
      <w:tblPr>
        <w:tblStyle w:val="12"/>
        <w:tblW w:w="906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119"/>
        <w:gridCol w:w="794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35" w:hRule="atLeast"/>
          <w:jc w:val="center"/>
        </w:trPr>
        <w:tc>
          <w:tcPr>
            <w:tcW w:w="1119" w:type="dxa"/>
            <w:vAlign w:val="center"/>
          </w:tcPr>
          <w:p>
            <w:pPr>
              <w:snapToGrid w:val="0"/>
              <w:spacing w:line="360" w:lineRule="auto"/>
              <w:jc w:val="center"/>
              <w:rPr>
                <w:rFonts w:ascii="宋体" w:hAnsi="宋体"/>
                <w:b/>
                <w:bCs/>
                <w:color w:val="000000"/>
                <w:szCs w:val="21"/>
              </w:rPr>
            </w:pPr>
            <w:r>
              <w:rPr>
                <w:rFonts w:hint="eastAsia" w:ascii="宋体" w:hAnsi="宋体"/>
                <w:b/>
                <w:bCs/>
                <w:color w:val="000000"/>
                <w:szCs w:val="21"/>
              </w:rPr>
              <w:t>响应分级</w:t>
            </w:r>
          </w:p>
        </w:tc>
        <w:tc>
          <w:tcPr>
            <w:tcW w:w="7941" w:type="dxa"/>
            <w:vAlign w:val="center"/>
          </w:tcPr>
          <w:p>
            <w:pPr>
              <w:snapToGrid w:val="0"/>
              <w:spacing w:line="360" w:lineRule="auto"/>
              <w:jc w:val="center"/>
              <w:rPr>
                <w:rFonts w:ascii="宋体" w:hAnsi="宋体"/>
                <w:b/>
                <w:bCs/>
                <w:color w:val="000000"/>
                <w:szCs w:val="21"/>
              </w:rPr>
            </w:pPr>
            <w:r>
              <w:rPr>
                <w:rFonts w:hint="eastAsia" w:ascii="宋体" w:hAnsi="宋体"/>
                <w:b/>
                <w:bCs/>
                <w:color w:val="000000"/>
                <w:szCs w:val="21"/>
              </w:rPr>
              <w:t>响应</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69" w:hRule="atLeast"/>
          <w:jc w:val="center"/>
        </w:trPr>
        <w:tc>
          <w:tcPr>
            <w:tcW w:w="1119" w:type="dxa"/>
            <w:vAlign w:val="center"/>
          </w:tcPr>
          <w:p>
            <w:pPr>
              <w:snapToGrid w:val="0"/>
              <w:spacing w:line="360" w:lineRule="auto"/>
              <w:jc w:val="center"/>
              <w:rPr>
                <w:rFonts w:ascii="宋体" w:hAnsi="宋体"/>
                <w:color w:val="000000"/>
                <w:szCs w:val="21"/>
              </w:rPr>
            </w:pPr>
            <w:r>
              <w:rPr>
                <w:rFonts w:hint="eastAsia" w:ascii="宋体" w:hAnsi="宋体"/>
                <w:color w:val="000000"/>
                <w:szCs w:val="21"/>
              </w:rPr>
              <w:t>Ⅰ</w:t>
            </w:r>
          </w:p>
        </w:tc>
        <w:tc>
          <w:tcPr>
            <w:tcW w:w="7941" w:type="dxa"/>
            <w:vAlign w:val="center"/>
          </w:tcPr>
          <w:p>
            <w:pPr>
              <w:pStyle w:val="18"/>
              <w:tabs>
                <w:tab w:val="left" w:pos="3780"/>
                <w:tab w:val="right" w:pos="8306"/>
              </w:tabs>
              <w:spacing w:line="360" w:lineRule="auto"/>
              <w:rPr>
                <w:rFonts w:ascii="宋体" w:hAnsi="宋体" w:cs="宋体"/>
                <w:color w:val="000000"/>
                <w:sz w:val="21"/>
                <w:szCs w:val="21"/>
              </w:rPr>
            </w:pPr>
            <w:r>
              <w:rPr>
                <w:rFonts w:hint="eastAsia" w:ascii="宋体" w:hAnsi="宋体" w:cs="宋体"/>
                <w:color w:val="000000"/>
                <w:sz w:val="21"/>
                <w:szCs w:val="21"/>
              </w:rPr>
              <w:t>①应急响应行动由国家安全生产监督管理总局组织实施；</w:t>
            </w:r>
          </w:p>
          <w:p>
            <w:pPr>
              <w:pStyle w:val="18"/>
              <w:tabs>
                <w:tab w:val="left" w:pos="3780"/>
                <w:tab w:val="right" w:pos="8306"/>
              </w:tabs>
              <w:spacing w:line="360" w:lineRule="auto"/>
              <w:rPr>
                <w:rFonts w:ascii="宋体" w:hAnsi="宋体" w:cs="宋体"/>
                <w:color w:val="000000"/>
                <w:sz w:val="21"/>
                <w:szCs w:val="21"/>
              </w:rPr>
            </w:pPr>
            <w:r>
              <w:rPr>
                <w:rFonts w:hint="eastAsia" w:ascii="宋体" w:hAnsi="宋体" w:cs="宋体"/>
                <w:color w:val="000000"/>
                <w:sz w:val="21"/>
                <w:szCs w:val="21"/>
              </w:rPr>
              <w:t>②江苏省、苏州市、太仓市安全生产监督管理局按相应应急预案全力组织救援。</w:t>
            </w:r>
          </w:p>
          <w:p>
            <w:pPr>
              <w:pStyle w:val="18"/>
              <w:tabs>
                <w:tab w:val="left" w:pos="3780"/>
                <w:tab w:val="right" w:pos="8306"/>
              </w:tabs>
              <w:spacing w:line="360" w:lineRule="auto"/>
              <w:rPr>
                <w:rFonts w:ascii="宋体" w:hAnsi="宋体" w:cs="宋体"/>
                <w:color w:val="000000"/>
                <w:sz w:val="21"/>
                <w:szCs w:val="21"/>
              </w:rPr>
            </w:pPr>
            <w:r>
              <w:rPr>
                <w:rFonts w:hint="eastAsia" w:ascii="宋体" w:hAnsi="宋体" w:cs="宋体"/>
                <w:color w:val="000000"/>
                <w:sz w:val="21"/>
                <w:szCs w:val="21"/>
              </w:rPr>
              <w:t>③事故发生后，城厢镇安委会立即启动预案开展前期救援，其他高级别应急救援预案启动后，立即向其移交指挥权，并听从统一指挥，协助做好应急工作。</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3" w:hRule="atLeast"/>
          <w:jc w:val="center"/>
        </w:trPr>
        <w:tc>
          <w:tcPr>
            <w:tcW w:w="1119" w:type="dxa"/>
            <w:vAlign w:val="center"/>
          </w:tcPr>
          <w:p>
            <w:pPr>
              <w:snapToGrid w:val="0"/>
              <w:spacing w:line="360" w:lineRule="auto"/>
              <w:jc w:val="center"/>
              <w:rPr>
                <w:rFonts w:ascii="宋体" w:hAnsi="宋体"/>
                <w:color w:val="000000"/>
                <w:szCs w:val="21"/>
              </w:rPr>
            </w:pPr>
            <w:r>
              <w:rPr>
                <w:rFonts w:hint="eastAsia" w:ascii="宋体" w:hAnsi="宋体"/>
                <w:color w:val="000000"/>
                <w:szCs w:val="21"/>
              </w:rPr>
              <w:t>Ⅱ</w:t>
            </w:r>
          </w:p>
        </w:tc>
        <w:tc>
          <w:tcPr>
            <w:tcW w:w="7941" w:type="dxa"/>
            <w:vAlign w:val="center"/>
          </w:tcPr>
          <w:p>
            <w:pPr>
              <w:pStyle w:val="18"/>
              <w:tabs>
                <w:tab w:val="left" w:pos="3780"/>
                <w:tab w:val="right" w:pos="8306"/>
              </w:tabs>
              <w:spacing w:line="360" w:lineRule="auto"/>
              <w:rPr>
                <w:rFonts w:ascii="宋体" w:hAnsi="宋体" w:cs="宋体"/>
                <w:color w:val="000000"/>
                <w:sz w:val="21"/>
                <w:szCs w:val="21"/>
              </w:rPr>
            </w:pPr>
            <w:r>
              <w:rPr>
                <w:rFonts w:hint="eastAsia" w:ascii="宋体" w:hAnsi="宋体" w:cs="宋体"/>
                <w:color w:val="000000"/>
                <w:sz w:val="21"/>
                <w:szCs w:val="21"/>
              </w:rPr>
              <w:t>①应急响应行动由江苏省安全生产监督管理局组织实施；</w:t>
            </w:r>
          </w:p>
          <w:p>
            <w:pPr>
              <w:pStyle w:val="18"/>
              <w:tabs>
                <w:tab w:val="left" w:pos="3780"/>
                <w:tab w:val="right" w:pos="8306"/>
              </w:tabs>
              <w:spacing w:line="360" w:lineRule="auto"/>
              <w:rPr>
                <w:rFonts w:ascii="宋体" w:hAnsi="宋体" w:cs="宋体"/>
                <w:color w:val="000000"/>
                <w:sz w:val="21"/>
                <w:szCs w:val="21"/>
              </w:rPr>
            </w:pPr>
            <w:r>
              <w:rPr>
                <w:rFonts w:hint="eastAsia" w:ascii="宋体" w:hAnsi="宋体" w:cs="宋体"/>
                <w:color w:val="000000"/>
                <w:sz w:val="21"/>
                <w:szCs w:val="21"/>
              </w:rPr>
              <w:t>②苏州市、太仓市安全生产监督管理局按相应应急预案全力组织救援。</w:t>
            </w:r>
          </w:p>
          <w:p>
            <w:pPr>
              <w:pStyle w:val="18"/>
              <w:tabs>
                <w:tab w:val="left" w:pos="3780"/>
                <w:tab w:val="right" w:pos="8306"/>
              </w:tabs>
              <w:spacing w:line="360" w:lineRule="auto"/>
              <w:rPr>
                <w:rFonts w:ascii="宋体" w:hAnsi="宋体" w:cs="宋体"/>
                <w:color w:val="000000"/>
                <w:sz w:val="21"/>
                <w:szCs w:val="21"/>
              </w:rPr>
            </w:pPr>
            <w:r>
              <w:rPr>
                <w:rFonts w:hint="eastAsia" w:ascii="宋体" w:hAnsi="宋体" w:cs="宋体"/>
                <w:color w:val="000000"/>
                <w:sz w:val="21"/>
                <w:szCs w:val="21"/>
              </w:rPr>
              <w:t>③事故发生后，城厢镇安委会立即启动预案开展前期救援，其他高级别应急救援预案启动后，立即向其移交指挥权，并听从统一指挥，协助做好应急工作。</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69" w:hRule="atLeast"/>
          <w:jc w:val="center"/>
        </w:trPr>
        <w:tc>
          <w:tcPr>
            <w:tcW w:w="1119" w:type="dxa"/>
            <w:vAlign w:val="center"/>
          </w:tcPr>
          <w:p>
            <w:pPr>
              <w:snapToGrid w:val="0"/>
              <w:spacing w:line="360" w:lineRule="auto"/>
              <w:jc w:val="center"/>
              <w:rPr>
                <w:rFonts w:ascii="宋体" w:hAnsi="宋体"/>
                <w:color w:val="000000"/>
                <w:szCs w:val="21"/>
              </w:rPr>
            </w:pPr>
            <w:r>
              <w:rPr>
                <w:rFonts w:hint="eastAsia" w:ascii="宋体" w:hAnsi="宋体"/>
                <w:color w:val="000000"/>
                <w:szCs w:val="21"/>
              </w:rPr>
              <w:t>Ⅲ</w:t>
            </w:r>
          </w:p>
        </w:tc>
        <w:tc>
          <w:tcPr>
            <w:tcW w:w="7941" w:type="dxa"/>
            <w:vAlign w:val="center"/>
          </w:tcPr>
          <w:p>
            <w:pPr>
              <w:pStyle w:val="18"/>
              <w:tabs>
                <w:tab w:val="left" w:pos="3780"/>
                <w:tab w:val="right" w:pos="8306"/>
              </w:tabs>
              <w:spacing w:line="360" w:lineRule="auto"/>
              <w:rPr>
                <w:rFonts w:ascii="宋体" w:hAnsi="宋体" w:cs="宋体"/>
                <w:color w:val="000000"/>
                <w:sz w:val="21"/>
                <w:szCs w:val="21"/>
              </w:rPr>
            </w:pPr>
            <w:r>
              <w:rPr>
                <w:rFonts w:hint="eastAsia" w:ascii="宋体" w:hAnsi="宋体" w:cs="宋体"/>
                <w:color w:val="000000"/>
                <w:sz w:val="21"/>
                <w:szCs w:val="21"/>
              </w:rPr>
              <w:t>①应急响应行动由苏州市安全生产监督管理局组织实施；</w:t>
            </w:r>
          </w:p>
          <w:p>
            <w:pPr>
              <w:pStyle w:val="18"/>
              <w:tabs>
                <w:tab w:val="left" w:pos="3780"/>
                <w:tab w:val="right" w:pos="8306"/>
              </w:tabs>
              <w:spacing w:line="360" w:lineRule="auto"/>
              <w:rPr>
                <w:rFonts w:ascii="宋体" w:hAnsi="宋体" w:cs="宋体"/>
                <w:color w:val="000000"/>
                <w:sz w:val="21"/>
                <w:szCs w:val="21"/>
              </w:rPr>
            </w:pPr>
            <w:r>
              <w:rPr>
                <w:rFonts w:hint="eastAsia" w:ascii="宋体" w:hAnsi="宋体" w:cs="宋体"/>
                <w:color w:val="000000"/>
                <w:sz w:val="21"/>
                <w:szCs w:val="21"/>
              </w:rPr>
              <w:t>②太仓市安全生产监督管理局按相应应急预案全力组织救援。</w:t>
            </w:r>
          </w:p>
          <w:p>
            <w:pPr>
              <w:pStyle w:val="18"/>
              <w:tabs>
                <w:tab w:val="left" w:pos="3780"/>
                <w:tab w:val="right" w:pos="8306"/>
              </w:tabs>
              <w:spacing w:line="360" w:lineRule="auto"/>
              <w:rPr>
                <w:rFonts w:ascii="宋体" w:hAnsi="宋体" w:cs="宋体"/>
                <w:color w:val="000000"/>
                <w:sz w:val="21"/>
                <w:szCs w:val="21"/>
              </w:rPr>
            </w:pPr>
            <w:r>
              <w:rPr>
                <w:rFonts w:hint="eastAsia" w:ascii="宋体" w:hAnsi="宋体" w:cs="宋体"/>
                <w:color w:val="000000"/>
                <w:sz w:val="21"/>
                <w:szCs w:val="21"/>
              </w:rPr>
              <w:t>③事故发生后，城厢镇安委会立即启动预案开展前期救援，其他高级别应急救援预案启动后，立即向其移交指挥权，并听从统一指挥，协助做好应急工作。</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3" w:hRule="atLeast"/>
          <w:jc w:val="center"/>
        </w:trPr>
        <w:tc>
          <w:tcPr>
            <w:tcW w:w="1119" w:type="dxa"/>
            <w:vAlign w:val="center"/>
          </w:tcPr>
          <w:p>
            <w:pPr>
              <w:snapToGrid w:val="0"/>
              <w:spacing w:line="360" w:lineRule="auto"/>
              <w:jc w:val="center"/>
              <w:rPr>
                <w:rFonts w:ascii="宋体" w:hAnsi="宋体"/>
                <w:color w:val="000000"/>
                <w:szCs w:val="21"/>
              </w:rPr>
            </w:pPr>
            <w:r>
              <w:rPr>
                <w:rFonts w:hint="eastAsia" w:ascii="宋体" w:hAnsi="宋体"/>
                <w:color w:val="000000"/>
                <w:szCs w:val="21"/>
              </w:rPr>
              <w:t>Ⅳ</w:t>
            </w:r>
          </w:p>
        </w:tc>
        <w:tc>
          <w:tcPr>
            <w:tcW w:w="7941" w:type="dxa"/>
            <w:vAlign w:val="center"/>
          </w:tcPr>
          <w:p>
            <w:pPr>
              <w:pStyle w:val="18"/>
              <w:tabs>
                <w:tab w:val="left" w:pos="3780"/>
                <w:tab w:val="right" w:pos="8306"/>
              </w:tabs>
              <w:spacing w:line="360" w:lineRule="auto"/>
              <w:rPr>
                <w:rFonts w:ascii="宋体" w:hAnsi="宋体" w:cs="宋体"/>
                <w:color w:val="000000"/>
                <w:sz w:val="21"/>
                <w:szCs w:val="21"/>
              </w:rPr>
            </w:pPr>
            <w:r>
              <w:rPr>
                <w:rFonts w:hint="eastAsia" w:ascii="宋体" w:hAnsi="宋体" w:cs="宋体"/>
                <w:color w:val="000000"/>
                <w:sz w:val="21"/>
                <w:szCs w:val="21"/>
              </w:rPr>
              <w:t>①应急响应行动由太仓市安全生产监督管理局组织实施；</w:t>
            </w:r>
          </w:p>
          <w:p>
            <w:pPr>
              <w:pStyle w:val="18"/>
              <w:tabs>
                <w:tab w:val="left" w:pos="3780"/>
                <w:tab w:val="right" w:pos="8306"/>
              </w:tabs>
              <w:spacing w:line="360" w:lineRule="auto"/>
              <w:rPr>
                <w:rFonts w:ascii="宋体" w:hAnsi="宋体" w:cs="宋体"/>
                <w:color w:val="000000"/>
                <w:sz w:val="21"/>
                <w:szCs w:val="21"/>
              </w:rPr>
            </w:pPr>
            <w:r>
              <w:rPr>
                <w:rFonts w:hint="eastAsia" w:ascii="宋体" w:hAnsi="宋体" w:cs="宋体"/>
                <w:color w:val="000000"/>
                <w:sz w:val="21"/>
                <w:szCs w:val="21"/>
              </w:rPr>
              <w:t>②事故发生后，城厢镇安委会立即启动预案开展前期救援，太仓市应急救援预案启动后，立即向其移交指挥权，并听从统一指挥，协助做好应急工作。</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8" w:hRule="atLeast"/>
          <w:jc w:val="center"/>
        </w:trPr>
        <w:tc>
          <w:tcPr>
            <w:tcW w:w="1119" w:type="dxa"/>
            <w:vAlign w:val="center"/>
          </w:tcPr>
          <w:p>
            <w:pPr>
              <w:snapToGrid w:val="0"/>
              <w:spacing w:line="360" w:lineRule="auto"/>
              <w:jc w:val="center"/>
              <w:rPr>
                <w:rFonts w:ascii="宋体" w:hAnsi="宋体"/>
                <w:color w:val="000000"/>
                <w:szCs w:val="21"/>
              </w:rPr>
            </w:pPr>
            <w:r>
              <w:rPr>
                <w:rFonts w:hint="eastAsia" w:ascii="宋体" w:hAnsi="宋体"/>
                <w:color w:val="000000"/>
                <w:szCs w:val="21"/>
              </w:rPr>
              <w:t>Ⅴ</w:t>
            </w:r>
          </w:p>
        </w:tc>
        <w:tc>
          <w:tcPr>
            <w:tcW w:w="7941" w:type="dxa"/>
            <w:vAlign w:val="center"/>
          </w:tcPr>
          <w:p>
            <w:pPr>
              <w:pStyle w:val="18"/>
              <w:tabs>
                <w:tab w:val="left" w:pos="3780"/>
                <w:tab w:val="right" w:pos="8306"/>
              </w:tabs>
              <w:spacing w:line="360" w:lineRule="auto"/>
              <w:rPr>
                <w:rFonts w:ascii="宋体" w:hAnsi="宋体" w:cs="宋体"/>
                <w:color w:val="000000"/>
                <w:sz w:val="21"/>
                <w:szCs w:val="21"/>
              </w:rPr>
            </w:pPr>
            <w:r>
              <w:rPr>
                <w:rFonts w:hint="eastAsia" w:ascii="宋体" w:hAnsi="宋体" w:cs="宋体"/>
                <w:color w:val="000000"/>
                <w:sz w:val="21"/>
                <w:szCs w:val="21"/>
              </w:rPr>
              <w:t>①应急响应行动由城厢镇安委会组织实施；</w:t>
            </w:r>
          </w:p>
          <w:p>
            <w:pPr>
              <w:pStyle w:val="18"/>
              <w:tabs>
                <w:tab w:val="left" w:pos="3780"/>
                <w:tab w:val="right" w:pos="8306"/>
              </w:tabs>
              <w:spacing w:line="360" w:lineRule="auto"/>
              <w:rPr>
                <w:rFonts w:ascii="宋体" w:hAnsi="宋体" w:cs="宋体"/>
                <w:color w:val="000000"/>
                <w:sz w:val="21"/>
                <w:szCs w:val="21"/>
              </w:rPr>
            </w:pPr>
            <w:r>
              <w:rPr>
                <w:rFonts w:hint="eastAsia" w:ascii="宋体" w:hAnsi="宋体" w:cs="宋体"/>
                <w:color w:val="000000"/>
                <w:sz w:val="21"/>
                <w:szCs w:val="21"/>
              </w:rPr>
              <w:t>②事发企业按相应应急预案全力组织救援。</w:t>
            </w:r>
          </w:p>
        </w:tc>
      </w:tr>
    </w:tbl>
    <w:p>
      <w:pPr>
        <w:spacing w:line="360" w:lineRule="auto"/>
        <w:jc w:val="center"/>
        <w:rPr>
          <w:b/>
          <w:bCs/>
          <w:sz w:val="24"/>
        </w:rPr>
      </w:pPr>
    </w:p>
    <w:p>
      <w:pPr>
        <w:spacing w:line="360" w:lineRule="auto"/>
        <w:ind w:firstLine="562" w:firstLineChars="200"/>
        <w:outlineLvl w:val="2"/>
        <w:rPr>
          <w:b/>
          <w:sz w:val="28"/>
          <w:szCs w:val="28"/>
        </w:rPr>
      </w:pPr>
      <w:r>
        <w:rPr>
          <w:rFonts w:hint="eastAsia"/>
          <w:b/>
          <w:sz w:val="28"/>
          <w:szCs w:val="28"/>
        </w:rPr>
        <w:t>2、</w:t>
      </w:r>
      <w:r>
        <w:rPr>
          <w:b/>
          <w:sz w:val="28"/>
          <w:szCs w:val="28"/>
        </w:rPr>
        <w:t xml:space="preserve"> </w:t>
      </w:r>
      <w:r>
        <w:rPr>
          <w:rFonts w:hint="eastAsia"/>
          <w:b/>
          <w:sz w:val="28"/>
          <w:szCs w:val="28"/>
        </w:rPr>
        <w:t>响应处置</w:t>
      </w:r>
    </w:p>
    <w:p>
      <w:pPr>
        <w:spacing w:line="360" w:lineRule="auto"/>
        <w:ind w:firstLine="560" w:firstLineChars="200"/>
        <w:rPr>
          <w:sz w:val="28"/>
          <w:szCs w:val="28"/>
        </w:rPr>
      </w:pPr>
      <w:r>
        <w:rPr>
          <w:rFonts w:hint="eastAsia"/>
          <w:sz w:val="28"/>
          <w:szCs w:val="28"/>
        </w:rPr>
        <w:t>（</w:t>
      </w:r>
      <w:r>
        <w:rPr>
          <w:sz w:val="28"/>
          <w:szCs w:val="28"/>
        </w:rPr>
        <w:t>1</w:t>
      </w:r>
      <w:r>
        <w:rPr>
          <w:rFonts w:hint="eastAsia"/>
          <w:sz w:val="28"/>
          <w:szCs w:val="28"/>
        </w:rPr>
        <w:t>）发生生产安全事故单位主要负责人按照本单位制定的应急救援预案，首先迅速开展应急救援，如本级救援不可控应拨打紧急救助电话、并将事件向城厢镇安委会报告；</w:t>
      </w:r>
    </w:p>
    <w:p>
      <w:pPr>
        <w:spacing w:line="360" w:lineRule="auto"/>
        <w:ind w:firstLine="560" w:firstLineChars="200"/>
        <w:rPr>
          <w:sz w:val="28"/>
          <w:szCs w:val="28"/>
        </w:rPr>
      </w:pPr>
      <w:r>
        <w:rPr>
          <w:rFonts w:hint="eastAsia"/>
          <w:sz w:val="28"/>
          <w:szCs w:val="28"/>
        </w:rPr>
        <w:t>（2）接警部门接到事故报告后应立即向城厢镇安委会主要负责人报告，并通知城厢镇生产安全监管部门开展应急处置。</w:t>
      </w:r>
    </w:p>
    <w:p>
      <w:pPr>
        <w:spacing w:line="360" w:lineRule="auto"/>
        <w:ind w:firstLine="560" w:firstLineChars="200"/>
        <w:rPr>
          <w:sz w:val="28"/>
          <w:szCs w:val="28"/>
        </w:rPr>
      </w:pPr>
      <w:r>
        <w:rPr>
          <w:rFonts w:hint="eastAsia"/>
          <w:sz w:val="28"/>
          <w:szCs w:val="28"/>
        </w:rPr>
        <w:t>（3）安委会接警后，应立即进行警情判断、分析，根据事故类型及响应级别，启动《城厢镇生产安全事故应急预案》，向上级应急救援组织发出相关预警通知。城厢镇安委会立即开展应急救援指挥及时掌握应急救援动态，根据情况及时调整部署，有效推进应急处置工作。</w:t>
      </w:r>
    </w:p>
    <w:p>
      <w:pPr>
        <w:spacing w:line="360" w:lineRule="auto"/>
        <w:ind w:firstLine="562" w:firstLineChars="200"/>
        <w:rPr>
          <w:b/>
          <w:sz w:val="28"/>
          <w:szCs w:val="28"/>
        </w:rPr>
      </w:pPr>
      <w:r>
        <w:rPr>
          <w:rFonts w:hint="eastAsia"/>
          <w:b/>
          <w:sz w:val="28"/>
          <w:szCs w:val="28"/>
        </w:rPr>
        <w:t>3、城厢镇安委会应急指挥联络体系</w:t>
      </w:r>
    </w:p>
    <w:p>
      <w:pPr>
        <w:rPr>
          <w:sz w:val="28"/>
          <w:szCs w:val="28"/>
        </w:rPr>
      </w:pPr>
      <w:r>
        <w:rPr>
          <w:rFonts w:hint="eastAsia"/>
          <w:sz w:val="28"/>
          <w:szCs w:val="28"/>
        </w:rPr>
        <w:t>城厢镇安委会主要负责人：</w:t>
      </w:r>
    </w:p>
    <w:p>
      <w:pPr>
        <w:rPr>
          <w:sz w:val="28"/>
          <w:szCs w:val="28"/>
        </w:rPr>
      </w:pPr>
      <w:r>
        <w:rPr>
          <w:rFonts w:hint="eastAsia"/>
          <w:sz w:val="28"/>
          <w:szCs w:val="28"/>
        </w:rPr>
        <w:t>镇党委书记                      毛雅萍    13962612600</w:t>
      </w:r>
    </w:p>
    <w:p>
      <w:pPr>
        <w:rPr>
          <w:sz w:val="28"/>
          <w:szCs w:val="28"/>
        </w:rPr>
      </w:pPr>
      <w:r>
        <w:rPr>
          <w:rFonts w:hint="eastAsia"/>
          <w:sz w:val="28"/>
          <w:szCs w:val="28"/>
        </w:rPr>
        <w:t xml:space="preserve">镇党委副书记、镇长              顾  强    </w:t>
      </w:r>
      <w:r>
        <w:rPr>
          <w:rFonts w:hint="default" w:ascii="Times New Roman" w:hAnsi="Times New Roman" w:cs="Times New Roman"/>
          <w:sz w:val="28"/>
          <w:szCs w:val="28"/>
          <w:lang w:val="en-US" w:eastAsia="zh-CN"/>
        </w:rPr>
        <w:t>13862385268</w:t>
      </w:r>
      <w:r>
        <w:rPr>
          <w:rFonts w:hint="default" w:ascii="Times New Roman" w:hAnsi="Times New Roman" w:cs="Times New Roman"/>
          <w:sz w:val="28"/>
          <w:szCs w:val="28"/>
        </w:rPr>
        <w:t xml:space="preserve"> </w:t>
      </w:r>
    </w:p>
    <w:p>
      <w:pPr>
        <w:rPr>
          <w:sz w:val="28"/>
          <w:szCs w:val="28"/>
        </w:rPr>
      </w:pPr>
    </w:p>
    <w:p>
      <w:pPr>
        <w:rPr>
          <w:sz w:val="28"/>
          <w:szCs w:val="28"/>
        </w:rPr>
      </w:pPr>
      <w:r>
        <w:rPr>
          <w:rFonts w:hint="eastAsia"/>
          <w:sz w:val="28"/>
          <w:szCs w:val="28"/>
        </w:rPr>
        <w:t xml:space="preserve">城厢镇安委会分管领导联络人：  </w:t>
      </w:r>
    </w:p>
    <w:p>
      <w:pPr>
        <w:rPr>
          <w:sz w:val="28"/>
          <w:szCs w:val="28"/>
        </w:rPr>
      </w:pPr>
      <w:r>
        <w:rPr>
          <w:rFonts w:hint="eastAsia"/>
          <w:sz w:val="28"/>
          <w:szCs w:val="28"/>
        </w:rPr>
        <w:t xml:space="preserve">镇党委委员、副镇长              陈  敏   </w:t>
      </w:r>
      <w:r>
        <w:rPr>
          <w:rFonts w:hint="eastAsia"/>
          <w:sz w:val="28"/>
          <w:szCs w:val="28"/>
          <w:lang w:val="en-US" w:eastAsia="zh-CN"/>
        </w:rPr>
        <w:t xml:space="preserve"> </w:t>
      </w:r>
      <w:r>
        <w:rPr>
          <w:rFonts w:hint="eastAsia"/>
          <w:sz w:val="28"/>
          <w:szCs w:val="28"/>
        </w:rPr>
        <w:t xml:space="preserve">13915495379 </w:t>
      </w:r>
    </w:p>
    <w:p>
      <w:pPr>
        <w:rPr>
          <w:sz w:val="28"/>
          <w:szCs w:val="28"/>
        </w:rPr>
      </w:pPr>
    </w:p>
    <w:p>
      <w:pPr>
        <w:rPr>
          <w:sz w:val="28"/>
          <w:szCs w:val="28"/>
        </w:rPr>
      </w:pPr>
      <w:r>
        <w:rPr>
          <w:rFonts w:hint="eastAsia"/>
          <w:sz w:val="28"/>
          <w:szCs w:val="28"/>
        </w:rPr>
        <w:t>城厢镇安委会办公室联络人：</w:t>
      </w:r>
    </w:p>
    <w:p>
      <w:pPr>
        <w:rPr>
          <w:sz w:val="28"/>
          <w:szCs w:val="28"/>
        </w:rPr>
      </w:pPr>
      <w:r>
        <w:rPr>
          <w:rFonts w:hint="eastAsia"/>
          <w:sz w:val="28"/>
          <w:szCs w:val="28"/>
        </w:rPr>
        <w:t>镇安委会办公室主任              王  炜    18915766779</w:t>
      </w:r>
    </w:p>
    <w:p>
      <w:pPr>
        <w:rPr>
          <w:sz w:val="28"/>
          <w:szCs w:val="28"/>
        </w:rPr>
      </w:pPr>
    </w:p>
    <w:p>
      <w:pPr>
        <w:rPr>
          <w:sz w:val="28"/>
          <w:szCs w:val="28"/>
        </w:rPr>
      </w:pPr>
      <w:r>
        <w:rPr>
          <w:rFonts w:hint="eastAsia"/>
          <w:sz w:val="28"/>
          <w:szCs w:val="28"/>
        </w:rPr>
        <w:t>应急救援报警处置联络人：</w:t>
      </w:r>
    </w:p>
    <w:p>
      <w:pPr>
        <w:rPr>
          <w:sz w:val="28"/>
          <w:szCs w:val="28"/>
        </w:rPr>
      </w:pPr>
      <w:r>
        <w:rPr>
          <w:rFonts w:hint="eastAsia"/>
          <w:sz w:val="28"/>
          <w:szCs w:val="28"/>
        </w:rPr>
        <w:t>城西消防应急救援中队 中队长     单进</w:t>
      </w:r>
      <w:r>
        <w:rPr>
          <w:rFonts w:hint="eastAsia"/>
          <w:sz w:val="28"/>
          <w:szCs w:val="28"/>
          <w:lang w:val="en-US" w:eastAsia="zh-CN"/>
        </w:rPr>
        <w:t>锋</w:t>
      </w:r>
      <w:r>
        <w:rPr>
          <w:rFonts w:hint="eastAsia"/>
          <w:sz w:val="28"/>
          <w:szCs w:val="28"/>
        </w:rPr>
        <w:t xml:space="preserve">    15962409007</w:t>
      </w:r>
    </w:p>
    <w:p>
      <w:pPr>
        <w:rPr>
          <w:sz w:val="28"/>
          <w:szCs w:val="28"/>
        </w:rPr>
      </w:pPr>
      <w:r>
        <w:rPr>
          <w:rFonts w:hint="eastAsia"/>
          <w:sz w:val="28"/>
          <w:szCs w:val="28"/>
        </w:rPr>
        <w:t xml:space="preserve">城西派出所   所长               </w:t>
      </w:r>
      <w:r>
        <w:rPr>
          <w:rFonts w:hint="eastAsia"/>
          <w:sz w:val="28"/>
          <w:szCs w:val="28"/>
          <w:lang w:val="en-US" w:eastAsia="zh-CN"/>
        </w:rPr>
        <w:t>何  振</w:t>
      </w:r>
      <w:r>
        <w:rPr>
          <w:rFonts w:hint="eastAsia"/>
          <w:sz w:val="28"/>
          <w:szCs w:val="28"/>
        </w:rPr>
        <w:tab/>
      </w:r>
      <w:r>
        <w:rPr>
          <w:rFonts w:hint="eastAsia"/>
          <w:sz w:val="28"/>
          <w:szCs w:val="28"/>
        </w:rPr>
        <w:tab/>
      </w:r>
      <w:r>
        <w:rPr>
          <w:rFonts w:hint="eastAsia"/>
          <w:sz w:val="28"/>
          <w:szCs w:val="28"/>
        </w:rPr>
        <w:t>13913764362</w:t>
      </w:r>
    </w:p>
    <w:p>
      <w:pPr>
        <w:rPr>
          <w:sz w:val="28"/>
          <w:szCs w:val="28"/>
        </w:rPr>
      </w:pPr>
      <w:r>
        <w:rPr>
          <w:rFonts w:hint="eastAsia"/>
          <w:sz w:val="28"/>
          <w:szCs w:val="28"/>
        </w:rPr>
        <w:t>城中派出所   所长               周  丹</w:t>
      </w:r>
      <w:r>
        <w:rPr>
          <w:rFonts w:hint="eastAsia"/>
          <w:sz w:val="28"/>
          <w:szCs w:val="28"/>
        </w:rPr>
        <w:tab/>
      </w:r>
      <w:r>
        <w:rPr>
          <w:rFonts w:hint="eastAsia"/>
          <w:sz w:val="28"/>
          <w:szCs w:val="28"/>
        </w:rPr>
        <w:tab/>
      </w:r>
      <w:r>
        <w:rPr>
          <w:rFonts w:hint="eastAsia"/>
          <w:sz w:val="28"/>
          <w:szCs w:val="28"/>
        </w:rPr>
        <w:t>13862282210</w:t>
      </w:r>
    </w:p>
    <w:p>
      <w:pPr>
        <w:rPr>
          <w:sz w:val="28"/>
          <w:szCs w:val="28"/>
        </w:rPr>
      </w:pPr>
      <w:r>
        <w:rPr>
          <w:rFonts w:hint="eastAsia"/>
          <w:sz w:val="28"/>
          <w:szCs w:val="28"/>
        </w:rPr>
        <w:t>金仓湖派出所 所长               刘  浩</w:t>
      </w:r>
      <w:r>
        <w:rPr>
          <w:rFonts w:hint="eastAsia"/>
          <w:sz w:val="28"/>
          <w:szCs w:val="28"/>
        </w:rPr>
        <w:tab/>
      </w:r>
      <w:r>
        <w:rPr>
          <w:rFonts w:hint="eastAsia"/>
          <w:sz w:val="28"/>
          <w:szCs w:val="28"/>
        </w:rPr>
        <w:t xml:space="preserve">   13913766227</w:t>
      </w:r>
    </w:p>
    <w:p>
      <w:pPr>
        <w:spacing w:line="360" w:lineRule="auto"/>
        <w:ind w:firstLine="560" w:firstLineChars="200"/>
        <w:rPr>
          <w:sz w:val="28"/>
          <w:szCs w:val="28"/>
        </w:rPr>
        <w:sectPr>
          <w:headerReference r:id="rId12" w:type="first"/>
          <w:footerReference r:id="rId15" w:type="first"/>
          <w:headerReference r:id="rId10" w:type="default"/>
          <w:footerReference r:id="rId13" w:type="default"/>
          <w:headerReference r:id="rId11" w:type="even"/>
          <w:footerReference r:id="rId14" w:type="even"/>
          <w:pgSz w:w="11906" w:h="16838"/>
          <w:pgMar w:top="2098" w:right="1474" w:bottom="1985" w:left="1588" w:header="851" w:footer="992" w:gutter="0"/>
          <w:cols w:space="720" w:num="1"/>
          <w:docGrid w:type="lines" w:linePitch="312" w:charSpace="0"/>
        </w:sectPr>
      </w:pPr>
    </w:p>
    <w:p>
      <w:pPr>
        <w:spacing w:line="360" w:lineRule="auto"/>
        <w:ind w:firstLine="560" w:firstLineChars="200"/>
        <w:outlineLvl w:val="1"/>
        <w:rPr>
          <w:sz w:val="28"/>
          <w:szCs w:val="28"/>
        </w:rPr>
      </w:pPr>
      <w:bookmarkStart w:id="179" w:name="_Toc12737"/>
      <w:bookmarkStart w:id="180" w:name="_Toc26832"/>
      <w:bookmarkStart w:id="181" w:name="_Toc8176"/>
      <w:bookmarkStart w:id="182" w:name="_Toc9800"/>
      <w:r>
        <w:rPr>
          <w:rFonts w:hint="eastAsia"/>
          <w:sz w:val="28"/>
          <w:szCs w:val="28"/>
        </w:rPr>
        <w:t>附件</w:t>
      </w:r>
      <w:r>
        <w:rPr>
          <w:rFonts w:hint="eastAsia"/>
          <w:sz w:val="28"/>
          <w:szCs w:val="28"/>
          <w:lang w:val="en-US" w:eastAsia="zh-CN"/>
        </w:rPr>
        <w:t>2</w:t>
      </w:r>
      <w:r>
        <w:rPr>
          <w:rFonts w:hint="eastAsia"/>
          <w:sz w:val="28"/>
          <w:szCs w:val="28"/>
        </w:rPr>
        <w:t>：事故应急处置措施</w:t>
      </w:r>
      <w:bookmarkEnd w:id="179"/>
      <w:bookmarkEnd w:id="180"/>
      <w:bookmarkEnd w:id="181"/>
      <w:bookmarkEnd w:id="182"/>
    </w:p>
    <w:p>
      <w:pPr>
        <w:pStyle w:val="2"/>
        <w:spacing w:line="360" w:lineRule="auto"/>
        <w:rPr>
          <w:rFonts w:ascii="宋体" w:hAnsi="宋体" w:eastAsia="宋体"/>
          <w:b w:val="0"/>
          <w:bCs w:val="0"/>
        </w:rPr>
      </w:pPr>
      <w:bookmarkStart w:id="183" w:name="_Toc6165"/>
      <w:bookmarkStart w:id="184" w:name="_Toc6985"/>
      <w:r>
        <w:rPr>
          <w:rFonts w:hint="eastAsia" w:ascii="宋体" w:hAnsi="宋体" w:eastAsia="宋体"/>
          <w:b w:val="0"/>
          <w:bCs w:val="0"/>
        </w:rPr>
        <w:t>F</w:t>
      </w:r>
      <w:r>
        <w:rPr>
          <w:rFonts w:hint="eastAsia" w:ascii="宋体" w:hAnsi="宋体" w:eastAsia="宋体"/>
          <w:b w:val="0"/>
          <w:bCs w:val="0"/>
          <w:lang w:val="en-US" w:eastAsia="zh-CN"/>
        </w:rPr>
        <w:t>2</w:t>
      </w:r>
      <w:r>
        <w:rPr>
          <w:rFonts w:hint="eastAsia" w:ascii="宋体" w:hAnsi="宋体" w:eastAsia="宋体"/>
          <w:b w:val="0"/>
          <w:bCs w:val="0"/>
        </w:rPr>
        <w:t>.1危险化学品泄漏事故</w:t>
      </w:r>
      <w:bookmarkEnd w:id="183"/>
      <w:bookmarkEnd w:id="184"/>
    </w:p>
    <w:p>
      <w:pPr>
        <w:spacing w:line="360" w:lineRule="auto"/>
        <w:ind w:firstLine="560" w:firstLineChars="200"/>
        <w:rPr>
          <w:sz w:val="28"/>
          <w:szCs w:val="28"/>
        </w:rPr>
      </w:pPr>
      <w:r>
        <w:rPr>
          <w:rFonts w:hint="eastAsia"/>
          <w:sz w:val="28"/>
          <w:szCs w:val="28"/>
        </w:rPr>
        <w:t>1、发生危险化学品泄漏事故，首先应查明泄漏物质的品名、性质，危化品泄漏的原因、设施等状况，制定相应的抢险措施。</w:t>
      </w:r>
    </w:p>
    <w:p>
      <w:pPr>
        <w:spacing w:line="360" w:lineRule="auto"/>
        <w:ind w:firstLine="560" w:firstLineChars="200"/>
        <w:rPr>
          <w:sz w:val="28"/>
          <w:szCs w:val="28"/>
        </w:rPr>
      </w:pPr>
      <w:r>
        <w:rPr>
          <w:rFonts w:hint="eastAsia"/>
          <w:sz w:val="28"/>
          <w:szCs w:val="28"/>
        </w:rPr>
        <w:t>2、救援人员应当根据危化品的危险特性，配备必要的个人防护用品、器具。易燃易爆物质的泄漏，应配备防静电防护服、工具，严禁火种，切断电源，禁止车辆进入；不得使用手机等通讯设备（防爆通讯设备除外）。有毒物质的泄漏，应配备防毒面具、空气呼吸器，专用防护服。腐蚀性液体的泄漏，应当配备防酸服，防护面具等。</w:t>
      </w:r>
      <w:r>
        <w:rPr>
          <w:sz w:val="28"/>
          <w:szCs w:val="28"/>
        </w:rPr>
        <w:t xml:space="preserve"> </w:t>
      </w:r>
    </w:p>
    <w:p>
      <w:pPr>
        <w:spacing w:line="360" w:lineRule="auto"/>
        <w:ind w:firstLine="560" w:firstLineChars="200"/>
        <w:rPr>
          <w:sz w:val="28"/>
          <w:szCs w:val="28"/>
        </w:rPr>
      </w:pPr>
      <w:r>
        <w:rPr>
          <w:rFonts w:hint="eastAsia"/>
          <w:sz w:val="28"/>
          <w:szCs w:val="28"/>
        </w:rPr>
        <w:t>3、事故现场应设立警戒隔离区，在该区域内除事故抢险人员外，其他人员不得进入。</w:t>
      </w:r>
    </w:p>
    <w:p>
      <w:pPr>
        <w:spacing w:line="360" w:lineRule="auto"/>
        <w:ind w:firstLine="560" w:firstLineChars="200"/>
        <w:rPr>
          <w:sz w:val="28"/>
          <w:szCs w:val="28"/>
        </w:rPr>
      </w:pPr>
      <w:r>
        <w:rPr>
          <w:rFonts w:hint="eastAsia"/>
          <w:sz w:val="28"/>
          <w:szCs w:val="28"/>
        </w:rPr>
        <w:t>（1）如果泄漏物是易燃易爆的，事故中心区应严禁火种、切断电源、禁止车辆进入。根据事故情况和事故发展，确定事故波及区人员的撤离。</w:t>
      </w:r>
    </w:p>
    <w:p>
      <w:pPr>
        <w:spacing w:line="360" w:lineRule="auto"/>
        <w:ind w:firstLine="560" w:firstLineChars="200"/>
        <w:rPr>
          <w:sz w:val="28"/>
          <w:szCs w:val="28"/>
        </w:rPr>
      </w:pPr>
      <w:r>
        <w:rPr>
          <w:rFonts w:hint="eastAsia"/>
          <w:sz w:val="28"/>
          <w:szCs w:val="28"/>
        </w:rPr>
        <w:t>（2）如果泄漏物是有毒的，应使用专用防护服、隔绝式空气面具。立即在事故中心区边界设置警戒线，根据事故情况和事故发展，确定事故波及区人员的撤离。</w:t>
      </w:r>
    </w:p>
    <w:p>
      <w:pPr>
        <w:spacing w:line="360" w:lineRule="auto"/>
        <w:ind w:firstLine="560" w:firstLineChars="200"/>
        <w:rPr>
          <w:sz w:val="28"/>
          <w:szCs w:val="28"/>
        </w:rPr>
      </w:pPr>
      <w:r>
        <w:rPr>
          <w:sz w:val="28"/>
          <w:szCs w:val="28"/>
        </w:rPr>
        <w:t>4</w:t>
      </w:r>
      <w:r>
        <w:rPr>
          <w:rFonts w:hint="eastAsia"/>
          <w:sz w:val="28"/>
          <w:szCs w:val="28"/>
        </w:rPr>
        <w:t>、根据泄漏部位，确定堵漏措施。根据事故发生的部位、物质的性质、泄漏原因等，采取相应的控制措施，采用合适的材料和方法堵漏，切断或控制泄漏源。</w:t>
      </w:r>
    </w:p>
    <w:p>
      <w:pPr>
        <w:spacing w:line="360" w:lineRule="auto"/>
        <w:ind w:firstLine="560" w:firstLineChars="200"/>
        <w:rPr>
          <w:sz w:val="28"/>
          <w:szCs w:val="28"/>
        </w:rPr>
      </w:pPr>
      <w:r>
        <w:rPr>
          <w:rFonts w:hint="eastAsia"/>
          <w:sz w:val="28"/>
          <w:szCs w:val="28"/>
        </w:rPr>
        <w:t>（1）生产过程发生的泄漏，可采取关闭进料阀门，停止作业，改变物料流程，局部循环，转移物料等方式，在切断物料来源后堵漏。</w:t>
      </w:r>
      <w:r>
        <w:rPr>
          <w:sz w:val="28"/>
          <w:szCs w:val="28"/>
        </w:rPr>
        <w:t xml:space="preserve"> </w:t>
      </w:r>
    </w:p>
    <w:p>
      <w:pPr>
        <w:spacing w:line="360" w:lineRule="auto"/>
        <w:ind w:firstLine="560" w:firstLineChars="200"/>
        <w:rPr>
          <w:sz w:val="28"/>
          <w:szCs w:val="28"/>
        </w:rPr>
      </w:pPr>
      <w:r>
        <w:rPr>
          <w:rFonts w:hint="eastAsia"/>
          <w:sz w:val="28"/>
          <w:szCs w:val="28"/>
        </w:rPr>
        <w:t>（2）对储罐等储存设施发生的泄漏，可采取驳卸、倒罐等方法，尽量将发生泄漏的储罐内的物料转移，在此基础上堵漏。</w:t>
      </w:r>
    </w:p>
    <w:p>
      <w:pPr>
        <w:spacing w:line="360" w:lineRule="auto"/>
        <w:ind w:firstLine="560" w:firstLineChars="200"/>
        <w:rPr>
          <w:sz w:val="28"/>
          <w:szCs w:val="28"/>
        </w:rPr>
      </w:pPr>
      <w:r>
        <w:rPr>
          <w:rFonts w:hint="eastAsia"/>
          <w:sz w:val="28"/>
          <w:szCs w:val="28"/>
        </w:rPr>
        <w:t>（3）对压缩气体、液化气体的泄漏，在关闭阀门无效后，可将气体钢瓶推入事故池中。</w:t>
      </w:r>
    </w:p>
    <w:p>
      <w:pPr>
        <w:spacing w:line="360" w:lineRule="auto"/>
        <w:ind w:firstLine="560" w:firstLineChars="200"/>
        <w:rPr>
          <w:sz w:val="28"/>
          <w:szCs w:val="28"/>
        </w:rPr>
      </w:pPr>
      <w:r>
        <w:rPr>
          <w:sz w:val="28"/>
          <w:szCs w:val="28"/>
        </w:rPr>
        <w:t>5</w:t>
      </w:r>
      <w:r>
        <w:rPr>
          <w:rFonts w:hint="eastAsia"/>
          <w:sz w:val="28"/>
          <w:szCs w:val="28"/>
        </w:rPr>
        <w:t>、泄漏物质的处置。</w:t>
      </w:r>
    </w:p>
    <w:p>
      <w:pPr>
        <w:spacing w:line="360" w:lineRule="auto"/>
        <w:ind w:firstLine="560" w:firstLineChars="200"/>
        <w:rPr>
          <w:sz w:val="28"/>
          <w:szCs w:val="28"/>
        </w:rPr>
      </w:pPr>
      <w:r>
        <w:rPr>
          <w:rFonts w:hint="eastAsia"/>
          <w:sz w:val="28"/>
          <w:szCs w:val="28"/>
        </w:rPr>
        <w:t>（1）围堤堵截或安全转移</w:t>
      </w:r>
    </w:p>
    <w:p>
      <w:pPr>
        <w:spacing w:line="360" w:lineRule="auto"/>
        <w:ind w:firstLine="560" w:firstLineChars="200"/>
        <w:rPr>
          <w:sz w:val="28"/>
          <w:szCs w:val="28"/>
        </w:rPr>
      </w:pPr>
      <w:r>
        <w:rPr>
          <w:rFonts w:hint="eastAsia"/>
          <w:sz w:val="28"/>
          <w:szCs w:val="28"/>
        </w:rPr>
        <w:t>储罐区液体泄漏时要关闭防火池（防泄漏池）的雨水阀，防止泄漏物质扩散；在其它区域发生液体泄漏时，要用砂土等筑堤堵截泄漏液体或者引流到安全地点。</w:t>
      </w:r>
    </w:p>
    <w:p>
      <w:pPr>
        <w:spacing w:line="360" w:lineRule="auto"/>
        <w:ind w:firstLine="560" w:firstLineChars="200"/>
        <w:rPr>
          <w:sz w:val="28"/>
          <w:szCs w:val="28"/>
        </w:rPr>
      </w:pPr>
      <w:r>
        <w:rPr>
          <w:rFonts w:hint="eastAsia"/>
          <w:sz w:val="28"/>
          <w:szCs w:val="28"/>
        </w:rPr>
        <w:t>（2）收容（集）</w:t>
      </w:r>
    </w:p>
    <w:p>
      <w:pPr>
        <w:spacing w:line="360" w:lineRule="auto"/>
        <w:ind w:firstLine="560" w:firstLineChars="200"/>
        <w:rPr>
          <w:sz w:val="28"/>
          <w:szCs w:val="28"/>
        </w:rPr>
      </w:pPr>
      <w:r>
        <w:rPr>
          <w:rFonts w:hint="eastAsia"/>
          <w:sz w:val="28"/>
          <w:szCs w:val="28"/>
        </w:rPr>
        <w:t>对于大型液体泄漏，可选择用隔膜泵将泄漏出的物料抽入容器内或槽车内；当泄漏量小时，可用沙子、吸附材料、中和材料等吸收中和。</w:t>
      </w:r>
    </w:p>
    <w:p>
      <w:pPr>
        <w:spacing w:line="360" w:lineRule="auto"/>
        <w:ind w:firstLine="560" w:firstLineChars="200"/>
        <w:rPr>
          <w:sz w:val="28"/>
          <w:szCs w:val="28"/>
        </w:rPr>
      </w:pPr>
      <w:r>
        <w:rPr>
          <w:rFonts w:hint="eastAsia"/>
          <w:sz w:val="28"/>
          <w:szCs w:val="28"/>
        </w:rPr>
        <w:t>（3）稀释与覆盖</w:t>
      </w:r>
    </w:p>
    <w:p>
      <w:pPr>
        <w:spacing w:line="360" w:lineRule="auto"/>
        <w:ind w:firstLine="560" w:firstLineChars="200"/>
        <w:rPr>
          <w:sz w:val="28"/>
          <w:szCs w:val="28"/>
        </w:rPr>
      </w:pPr>
      <w:r>
        <w:rPr>
          <w:rFonts w:hint="eastAsia"/>
          <w:sz w:val="28"/>
          <w:szCs w:val="28"/>
        </w:rPr>
        <w:t>气体的泄漏采取稀释的办法。向有害物蒸气云喷射雾状水，加速气体向高空扩散。对于可燃物，也可以在现场施放大量水蒸汽或氮气，破坏燃烧条件。为降低物料向大气中的蒸发速度，可用泡沫或其他覆盖物品覆盖外泄的物料，在其表面形成覆盖层，抑制其蒸发。</w:t>
      </w:r>
    </w:p>
    <w:p>
      <w:pPr>
        <w:spacing w:line="360" w:lineRule="auto"/>
        <w:ind w:firstLine="560" w:firstLineChars="200"/>
        <w:rPr>
          <w:sz w:val="28"/>
          <w:szCs w:val="28"/>
        </w:rPr>
      </w:pPr>
      <w:r>
        <w:rPr>
          <w:rFonts w:hint="eastAsia" w:ascii="宋体" w:hAnsi="宋体"/>
          <w:sz w:val="28"/>
          <w:szCs w:val="28"/>
        </w:rPr>
        <w:t>（4）</w:t>
      </w:r>
      <w:r>
        <w:rPr>
          <w:rFonts w:hint="eastAsia"/>
          <w:sz w:val="28"/>
          <w:szCs w:val="28"/>
        </w:rPr>
        <w:t>有毒有害泄漏物如流入居民用水内河、长江、农田引起水污染及农作物危害，应及时通知环境监测、海事部门，迅速赶赴事故现场，参加应急救援抢险。</w:t>
      </w:r>
    </w:p>
    <w:p>
      <w:pPr>
        <w:spacing w:line="360" w:lineRule="auto"/>
        <w:ind w:firstLine="560" w:firstLineChars="200"/>
        <w:rPr>
          <w:sz w:val="28"/>
          <w:szCs w:val="28"/>
        </w:rPr>
      </w:pPr>
      <w:r>
        <w:rPr>
          <w:rFonts w:hint="eastAsia" w:ascii="宋体" w:hAnsi="宋体"/>
          <w:sz w:val="28"/>
          <w:szCs w:val="28"/>
        </w:rPr>
        <w:t>（5）</w:t>
      </w:r>
      <w:r>
        <w:rPr>
          <w:rFonts w:hint="eastAsia"/>
          <w:sz w:val="28"/>
          <w:szCs w:val="28"/>
        </w:rPr>
        <w:t>泄漏废物处置，将收集的泄漏物运至废物处理场所处置。用消防水冲洗剩下的少量物料，冲洗水排入污水系统处理。</w:t>
      </w:r>
    </w:p>
    <w:p>
      <w:pPr>
        <w:pStyle w:val="2"/>
        <w:spacing w:line="360" w:lineRule="auto"/>
        <w:rPr>
          <w:rFonts w:ascii="宋体" w:hAnsi="宋体" w:eastAsia="宋体"/>
          <w:b w:val="0"/>
          <w:bCs w:val="0"/>
        </w:rPr>
      </w:pPr>
      <w:bookmarkStart w:id="185" w:name="_Toc31040"/>
      <w:bookmarkStart w:id="186" w:name="_Toc18745"/>
      <w:r>
        <w:rPr>
          <w:rFonts w:hint="eastAsia" w:ascii="宋体" w:hAnsi="宋体" w:eastAsia="宋体"/>
          <w:b w:val="0"/>
          <w:bCs w:val="0"/>
        </w:rPr>
        <w:t>F</w:t>
      </w:r>
      <w:r>
        <w:rPr>
          <w:rFonts w:hint="eastAsia" w:ascii="宋体" w:hAnsi="宋体" w:eastAsia="宋体"/>
          <w:b w:val="0"/>
          <w:bCs w:val="0"/>
          <w:lang w:val="en-US" w:eastAsia="zh-CN"/>
        </w:rPr>
        <w:t>2</w:t>
      </w:r>
      <w:r>
        <w:rPr>
          <w:rFonts w:hint="eastAsia" w:ascii="宋体" w:hAnsi="宋体" w:eastAsia="宋体"/>
          <w:b w:val="0"/>
          <w:bCs w:val="0"/>
        </w:rPr>
        <w:t>.2火灾、爆炸事故</w:t>
      </w:r>
      <w:bookmarkEnd w:id="185"/>
      <w:bookmarkEnd w:id="186"/>
    </w:p>
    <w:p>
      <w:pPr>
        <w:spacing w:line="360" w:lineRule="auto"/>
        <w:ind w:firstLine="560" w:firstLineChars="200"/>
        <w:rPr>
          <w:sz w:val="28"/>
          <w:szCs w:val="28"/>
        </w:rPr>
      </w:pPr>
      <w:r>
        <w:rPr>
          <w:sz w:val="28"/>
          <w:szCs w:val="28"/>
        </w:rPr>
        <w:t>1</w:t>
      </w:r>
      <w:r>
        <w:rPr>
          <w:rFonts w:hint="eastAsia"/>
          <w:sz w:val="28"/>
          <w:szCs w:val="28"/>
        </w:rPr>
        <w:t>、应迅速查明燃烧范围、燃烧物品及其周围物品的品名和主要危险特性、火势蔓延的主要途径，燃烧的危化品及燃烧产物是否有毒。</w:t>
      </w:r>
      <w:r>
        <w:rPr>
          <w:sz w:val="28"/>
          <w:szCs w:val="28"/>
        </w:rPr>
        <w:t xml:space="preserve"> </w:t>
      </w:r>
    </w:p>
    <w:p>
      <w:pPr>
        <w:spacing w:line="360" w:lineRule="auto"/>
        <w:ind w:firstLine="560" w:firstLineChars="200"/>
        <w:rPr>
          <w:sz w:val="28"/>
          <w:szCs w:val="28"/>
        </w:rPr>
      </w:pPr>
      <w:r>
        <w:rPr>
          <w:sz w:val="28"/>
          <w:szCs w:val="28"/>
        </w:rPr>
        <w:t>2</w:t>
      </w:r>
      <w:r>
        <w:rPr>
          <w:rFonts w:hint="eastAsia"/>
          <w:sz w:val="28"/>
          <w:szCs w:val="28"/>
        </w:rPr>
        <w:t>、进行火情侦察、火灾扑救、火场疏散人员应有针对性地采取自我防护措施。如佩戴防护面具，穿戴专用防护服等。扑救人员应占领上风或侧风阵地。</w:t>
      </w:r>
      <w:r>
        <w:rPr>
          <w:sz w:val="28"/>
          <w:szCs w:val="28"/>
        </w:rPr>
        <w:t xml:space="preserve"> </w:t>
      </w:r>
    </w:p>
    <w:p>
      <w:pPr>
        <w:spacing w:line="360" w:lineRule="auto"/>
        <w:ind w:firstLine="560" w:firstLineChars="200"/>
        <w:rPr>
          <w:sz w:val="28"/>
          <w:szCs w:val="28"/>
        </w:rPr>
      </w:pPr>
      <w:r>
        <w:rPr>
          <w:rFonts w:hint="eastAsia"/>
          <w:sz w:val="28"/>
          <w:szCs w:val="28"/>
        </w:rPr>
        <w:t>3、正确选择最适合的灭火剂和灭火方法。火势较大时，应先堵截火势蔓延，控制燃烧范围，然后逐步扑灭火势。</w:t>
      </w:r>
    </w:p>
    <w:p>
      <w:pPr>
        <w:spacing w:line="360" w:lineRule="auto"/>
        <w:ind w:firstLine="560" w:firstLineChars="200"/>
        <w:rPr>
          <w:sz w:val="28"/>
          <w:szCs w:val="28"/>
        </w:rPr>
      </w:pPr>
      <w:r>
        <w:rPr>
          <w:sz w:val="28"/>
          <w:szCs w:val="28"/>
        </w:rPr>
        <w:t>4</w:t>
      </w:r>
      <w:r>
        <w:rPr>
          <w:rFonts w:hint="eastAsia"/>
          <w:sz w:val="28"/>
          <w:szCs w:val="28"/>
        </w:rPr>
        <w:t>、先控制，后消灭。针对危化品火灾的火势发展蔓延快和燃烧面积大的特点，采取统一指挥、堵截火势、防止蔓延、分割包围、重点突破、速战速决的灭火战术。</w:t>
      </w:r>
    </w:p>
    <w:p>
      <w:pPr>
        <w:spacing w:line="360" w:lineRule="auto"/>
        <w:ind w:firstLine="560" w:firstLineChars="200"/>
        <w:rPr>
          <w:sz w:val="28"/>
          <w:szCs w:val="28"/>
        </w:rPr>
      </w:pPr>
      <w:r>
        <w:rPr>
          <w:sz w:val="28"/>
          <w:szCs w:val="28"/>
        </w:rPr>
        <w:t>5</w:t>
      </w:r>
      <w:r>
        <w:rPr>
          <w:rFonts w:hint="eastAsia"/>
          <w:sz w:val="28"/>
          <w:szCs w:val="28"/>
        </w:rPr>
        <w:t>、对有可能发生爆炸、爆裂、喷溅等特别危险需紧急撤退的情况，应按照统一的撤退信号和撤退方法及时撤退。</w:t>
      </w:r>
    </w:p>
    <w:p>
      <w:pPr>
        <w:spacing w:line="360" w:lineRule="auto"/>
        <w:ind w:firstLine="560" w:firstLineChars="200"/>
        <w:rPr>
          <w:sz w:val="28"/>
          <w:szCs w:val="28"/>
        </w:rPr>
      </w:pPr>
      <w:r>
        <w:rPr>
          <w:sz w:val="28"/>
          <w:szCs w:val="28"/>
        </w:rPr>
        <w:t>6</w:t>
      </w:r>
      <w:r>
        <w:rPr>
          <w:rFonts w:hint="eastAsia"/>
          <w:sz w:val="28"/>
          <w:szCs w:val="28"/>
        </w:rPr>
        <w:t>、压缩气体和液化气体火灾事故及处置措施：</w:t>
      </w:r>
    </w:p>
    <w:p>
      <w:pPr>
        <w:spacing w:line="360" w:lineRule="auto"/>
        <w:ind w:firstLine="560" w:firstLineChars="200"/>
        <w:rPr>
          <w:sz w:val="28"/>
          <w:szCs w:val="28"/>
        </w:rPr>
      </w:pPr>
      <w:r>
        <w:rPr>
          <w:rFonts w:hint="eastAsia"/>
          <w:sz w:val="28"/>
          <w:szCs w:val="28"/>
        </w:rPr>
        <w:t>（1）一旦发生压缩气体或液化气体火灾事故，应首先设法找到气源阀门。阀门完好时，只要关闭气体阀门，火势就会自动熄灭。</w:t>
      </w:r>
    </w:p>
    <w:p>
      <w:pPr>
        <w:spacing w:line="360" w:lineRule="auto"/>
        <w:ind w:firstLine="560" w:firstLineChars="200"/>
        <w:rPr>
          <w:sz w:val="28"/>
          <w:szCs w:val="28"/>
        </w:rPr>
      </w:pPr>
      <w:r>
        <w:rPr>
          <w:rFonts w:hint="eastAsia"/>
          <w:sz w:val="28"/>
          <w:szCs w:val="28"/>
        </w:rPr>
        <w:t>（2）扑救气体火灾切忌盲目灭火，即使在扑救周围火势以及冷却过程中不小心把泄漏处的火焰扑灭了，在没有采取堵漏措施的情况下，也必须立即用长点火棒将火点燃，使其恢复稳定燃烧。</w:t>
      </w:r>
    </w:p>
    <w:p>
      <w:pPr>
        <w:spacing w:line="360" w:lineRule="auto"/>
        <w:ind w:firstLine="560" w:firstLineChars="200"/>
        <w:rPr>
          <w:sz w:val="28"/>
          <w:szCs w:val="28"/>
        </w:rPr>
      </w:pPr>
      <w:r>
        <w:rPr>
          <w:rFonts w:hint="eastAsia"/>
          <w:sz w:val="28"/>
          <w:szCs w:val="28"/>
        </w:rPr>
        <w:t>（3）首先应扑灭外围被火源引燃的可燃物火势，切断火势蔓延途径，控制燃烧范围，并积极抢救受伤和被困人员。</w:t>
      </w:r>
    </w:p>
    <w:p>
      <w:pPr>
        <w:spacing w:line="360" w:lineRule="auto"/>
        <w:ind w:firstLine="560" w:firstLineChars="200"/>
        <w:rPr>
          <w:sz w:val="28"/>
          <w:szCs w:val="28"/>
        </w:rPr>
      </w:pPr>
      <w:r>
        <w:rPr>
          <w:rFonts w:hint="eastAsia"/>
          <w:sz w:val="28"/>
          <w:szCs w:val="28"/>
        </w:rPr>
        <w:t>（4）如果火势中有压力容器或有受到火焰辐射热威胁的压力容器，能疏散的应尽量在水枪的掩护下疏散到安全地带，不能疏散的应部署足够的水枪进行冷却保护。为防止容器爆裂伤人，进行冷却的人员应尽量采用低姿射水或利用现场坚实的掩蔽体防护。对卧式贮罐，冷却人员应选择贮罐四侧角作为射水阵地。</w:t>
      </w:r>
    </w:p>
    <w:p>
      <w:pPr>
        <w:spacing w:line="360" w:lineRule="auto"/>
        <w:ind w:firstLine="560" w:firstLineChars="200"/>
        <w:rPr>
          <w:sz w:val="28"/>
          <w:szCs w:val="28"/>
        </w:rPr>
      </w:pPr>
      <w:r>
        <w:rPr>
          <w:rFonts w:hint="eastAsia"/>
          <w:sz w:val="28"/>
          <w:szCs w:val="28"/>
        </w:rPr>
        <w:t>（5）贮罐或管道泄漏关阀无效时，应根据火势大小判断气体压力和泄漏口的大小及其形状，准备好相应的堵漏材料（如软木塞、橡皮塞、气囊塞、粘合剂、弯管工具等）。</w:t>
      </w:r>
    </w:p>
    <w:p>
      <w:pPr>
        <w:spacing w:line="360" w:lineRule="auto"/>
        <w:ind w:firstLine="560" w:firstLineChars="200"/>
        <w:rPr>
          <w:sz w:val="28"/>
          <w:szCs w:val="28"/>
        </w:rPr>
      </w:pPr>
      <w:r>
        <w:rPr>
          <w:rFonts w:hint="eastAsia"/>
          <w:sz w:val="28"/>
          <w:szCs w:val="28"/>
        </w:rPr>
        <w:t>（6）堵漏工作准备就绪后，即可用水扑救火势，也可用干粉、二氧化碳灭火，但仍需用水冷却烧烫的罐或管壁。火扑灭后，应立即用堵漏材料堵漏，同时用雾状水稀释和驱散泄漏出来的气体。</w:t>
      </w:r>
    </w:p>
    <w:p>
      <w:pPr>
        <w:spacing w:line="360" w:lineRule="auto"/>
        <w:ind w:firstLine="560" w:firstLineChars="200"/>
        <w:rPr>
          <w:sz w:val="28"/>
          <w:szCs w:val="28"/>
        </w:rPr>
      </w:pPr>
      <w:r>
        <w:rPr>
          <w:rFonts w:hint="eastAsia"/>
          <w:sz w:val="28"/>
          <w:szCs w:val="28"/>
        </w:rPr>
        <w:t>（7）一般情况下完成了堵漏也就完成了灭火工作，但有时一次堵漏不一定能成功，如果一次堵漏失败，再次堵漏需一定时间，应立即用长点火棒将泄漏处点燃，使其恢复稳定燃烧，以防止较长时间泄漏出来的大量可燃气体与空气混合后形成爆炸性混合物，从而存在发生爆炸的危险，并准备再次灭火堵漏。</w:t>
      </w:r>
    </w:p>
    <w:p>
      <w:pPr>
        <w:spacing w:line="360" w:lineRule="auto"/>
        <w:ind w:firstLine="560" w:firstLineChars="200"/>
        <w:rPr>
          <w:sz w:val="28"/>
          <w:szCs w:val="28"/>
        </w:rPr>
      </w:pPr>
      <w:r>
        <w:rPr>
          <w:rFonts w:hint="eastAsia"/>
          <w:sz w:val="28"/>
          <w:szCs w:val="28"/>
        </w:rPr>
        <w:t>（8）如果确认泄漏口很大</w:t>
      </w:r>
      <w:r>
        <w:rPr>
          <w:sz w:val="28"/>
          <w:szCs w:val="28"/>
        </w:rPr>
        <w:t>,</w:t>
      </w:r>
      <w:r>
        <w:rPr>
          <w:rFonts w:hint="eastAsia"/>
          <w:sz w:val="28"/>
          <w:szCs w:val="28"/>
        </w:rPr>
        <w:t>根本无法堵漏，只需冷却着火容器及其周围容器和可燃物品，控制着火范围，一直到燃气燃尽，火势自动熄灭。</w:t>
      </w:r>
    </w:p>
    <w:p>
      <w:pPr>
        <w:spacing w:line="360" w:lineRule="auto"/>
        <w:ind w:firstLine="560" w:firstLineChars="200"/>
        <w:rPr>
          <w:sz w:val="28"/>
          <w:szCs w:val="28"/>
        </w:rPr>
      </w:pPr>
      <w:r>
        <w:rPr>
          <w:rFonts w:hint="eastAsia"/>
          <w:sz w:val="28"/>
          <w:szCs w:val="28"/>
        </w:rPr>
        <w:t>（9）现场指挥部和应急处置组应密切注意各种危险征兆，遇有火势熄灭后较长时间未能恢复稳定燃烧或受热辐射的容器安全阀火焰变亮耀眼、尖叫、晃动等爆裂征兆时，指挥员必须适时做出准确判断，及时下达撤退命令。现场人员看到或听到事先规定的撤退信号后，应迅速撤退至安全地带。</w:t>
      </w:r>
    </w:p>
    <w:p>
      <w:pPr>
        <w:spacing w:line="360" w:lineRule="auto"/>
        <w:ind w:firstLine="560" w:firstLineChars="200"/>
        <w:rPr>
          <w:sz w:val="28"/>
          <w:szCs w:val="28"/>
        </w:rPr>
      </w:pPr>
      <w:r>
        <w:rPr>
          <w:rFonts w:hint="eastAsia"/>
          <w:sz w:val="28"/>
          <w:szCs w:val="28"/>
        </w:rPr>
        <w:t>（10）气体贮罐或管道阀门处泄漏着火时，在特殊情况下，只要判断阀门还有效，也可违反常规，先扑灭火势，再关闭阀门。一旦发现关闭已无效，一时又无法堵漏时，应迅即点燃，恢复稳定燃烧。</w:t>
      </w:r>
    </w:p>
    <w:p>
      <w:pPr>
        <w:spacing w:line="360" w:lineRule="auto"/>
        <w:ind w:firstLine="560" w:firstLineChars="200"/>
        <w:rPr>
          <w:sz w:val="28"/>
          <w:szCs w:val="28"/>
        </w:rPr>
      </w:pPr>
      <w:r>
        <w:rPr>
          <w:sz w:val="28"/>
          <w:szCs w:val="28"/>
        </w:rPr>
        <w:t>7</w:t>
      </w:r>
      <w:r>
        <w:rPr>
          <w:rFonts w:hint="eastAsia"/>
          <w:sz w:val="28"/>
          <w:szCs w:val="28"/>
        </w:rPr>
        <w:t>、易燃液体火灾事故及处置措施</w:t>
      </w:r>
    </w:p>
    <w:p>
      <w:pPr>
        <w:spacing w:line="360" w:lineRule="auto"/>
        <w:ind w:firstLine="560" w:firstLineChars="200"/>
        <w:rPr>
          <w:sz w:val="28"/>
          <w:szCs w:val="28"/>
        </w:rPr>
      </w:pPr>
      <w:r>
        <w:rPr>
          <w:rFonts w:hint="eastAsia"/>
          <w:sz w:val="28"/>
          <w:szCs w:val="28"/>
        </w:rPr>
        <w:t>（1）首先应切断火势蔓延的途径，冷却和疏散受火势威胁的密闭容器和可燃物，控制燃烧范围，并积极抢救受伤和被困人员。如有液体流淌时，应筑堤（或用围油栏）拦截漂散流淌的易燃液体或挖沟导流。</w:t>
      </w:r>
    </w:p>
    <w:p>
      <w:pPr>
        <w:spacing w:line="360" w:lineRule="auto"/>
        <w:ind w:firstLine="560" w:firstLineChars="200"/>
        <w:rPr>
          <w:sz w:val="28"/>
          <w:szCs w:val="28"/>
        </w:rPr>
      </w:pPr>
      <w:r>
        <w:rPr>
          <w:rFonts w:hint="eastAsia"/>
          <w:sz w:val="28"/>
          <w:szCs w:val="28"/>
        </w:rPr>
        <w:t>（2）及时了解和掌握着火液体的品名、比重、水溶性以及有无毒害、腐蚀、沸溢、喷溅等危险性，以便采取相应的灭火和防护措施。</w:t>
      </w:r>
    </w:p>
    <w:p>
      <w:pPr>
        <w:spacing w:line="360" w:lineRule="auto"/>
        <w:ind w:firstLine="560" w:firstLineChars="200"/>
        <w:rPr>
          <w:sz w:val="28"/>
          <w:szCs w:val="28"/>
        </w:rPr>
      </w:pPr>
      <w:r>
        <w:rPr>
          <w:rFonts w:hint="eastAsia"/>
          <w:sz w:val="28"/>
          <w:szCs w:val="28"/>
        </w:rPr>
        <w:t>（3）对较大的贮罐或流淌火灾，应准确判断着火面积。大面积（</w:t>
      </w:r>
      <w:r>
        <w:rPr>
          <w:sz w:val="28"/>
          <w:szCs w:val="28"/>
        </w:rPr>
        <w:t>&gt;50</w:t>
      </w:r>
      <w:r>
        <w:rPr>
          <w:rFonts w:hint="eastAsia"/>
          <w:sz w:val="28"/>
          <w:szCs w:val="28"/>
        </w:rPr>
        <w:t>㎡）液体火灾则必须根据其相对密度（比重）、水溶性和燃烧面积大小，选择正确的灭火剂扑救。</w:t>
      </w:r>
      <w:r>
        <w:rPr>
          <w:sz w:val="28"/>
          <w:szCs w:val="28"/>
        </w:rPr>
        <w:t xml:space="preserve"> </w:t>
      </w:r>
    </w:p>
    <w:p>
      <w:pPr>
        <w:spacing w:line="360" w:lineRule="auto"/>
        <w:ind w:firstLine="560" w:firstLineChars="200"/>
        <w:rPr>
          <w:sz w:val="28"/>
          <w:szCs w:val="28"/>
        </w:rPr>
      </w:pPr>
      <w:r>
        <w:rPr>
          <w:rFonts w:hint="eastAsia" w:ascii="宋体" w:hAnsi="宋体"/>
          <w:sz w:val="28"/>
          <w:szCs w:val="28"/>
        </w:rPr>
        <w:t>①</w:t>
      </w:r>
      <w:r>
        <w:rPr>
          <w:rFonts w:hint="eastAsia"/>
          <w:sz w:val="28"/>
          <w:szCs w:val="28"/>
        </w:rPr>
        <w:t>比水轻又不溶于水的液体（如汽油、苯等），可用普通蛋白泡沫或轻水泡沫扑灭。用干粉扑救时灭火效果要视燃烧面积大小和燃烧条件而定，最好用水冷却罐壁。</w:t>
      </w:r>
      <w:r>
        <w:rPr>
          <w:sz w:val="28"/>
          <w:szCs w:val="28"/>
        </w:rPr>
        <w:t xml:space="preserve"> </w:t>
      </w:r>
    </w:p>
    <w:p>
      <w:pPr>
        <w:spacing w:line="360" w:lineRule="auto"/>
        <w:ind w:firstLine="560" w:firstLineChars="200"/>
        <w:rPr>
          <w:sz w:val="28"/>
          <w:szCs w:val="28"/>
        </w:rPr>
      </w:pPr>
      <w:r>
        <w:rPr>
          <w:rFonts w:hint="eastAsia" w:ascii="宋体" w:hAnsi="宋体"/>
          <w:sz w:val="28"/>
          <w:szCs w:val="28"/>
        </w:rPr>
        <w:t>②</w:t>
      </w:r>
      <w:r>
        <w:rPr>
          <w:rFonts w:hint="eastAsia"/>
          <w:sz w:val="28"/>
          <w:szCs w:val="28"/>
        </w:rPr>
        <w:t>比水重又不溶于水的液体（如二氯甲烷等）起火时可用水扑救，也可用泡沫。用干粉扑救，灭火效果要视燃烧面积大小和燃烧条件而定。最好用水冷却罐壁，降低燃烧强度。</w:t>
      </w:r>
    </w:p>
    <w:p>
      <w:pPr>
        <w:spacing w:line="360" w:lineRule="auto"/>
        <w:ind w:firstLine="560" w:firstLineChars="200"/>
        <w:rPr>
          <w:sz w:val="28"/>
          <w:szCs w:val="28"/>
        </w:rPr>
      </w:pPr>
      <w:r>
        <w:rPr>
          <w:rFonts w:hint="eastAsia" w:ascii="宋体" w:hAnsi="宋体"/>
          <w:sz w:val="28"/>
          <w:szCs w:val="28"/>
        </w:rPr>
        <w:t>③</w:t>
      </w:r>
      <w:r>
        <w:rPr>
          <w:rFonts w:hint="eastAsia"/>
          <w:sz w:val="28"/>
          <w:szCs w:val="28"/>
        </w:rPr>
        <w:t>具有水溶性的液体（如醇类、酮类等），用抗溶性泡沫扑救，用干粉扑救时，灭火效果要视燃烧面积大小和燃烧条件而定，也需用水冷却罐壁，降低燃烧强度。</w:t>
      </w:r>
    </w:p>
    <w:p>
      <w:pPr>
        <w:spacing w:line="360" w:lineRule="auto"/>
        <w:ind w:firstLine="560" w:firstLineChars="200"/>
        <w:rPr>
          <w:sz w:val="28"/>
          <w:szCs w:val="28"/>
        </w:rPr>
      </w:pPr>
      <w:r>
        <w:rPr>
          <w:rFonts w:hint="eastAsia"/>
          <w:sz w:val="28"/>
          <w:szCs w:val="28"/>
        </w:rPr>
        <w:t>（4）扑救毒害性、腐蚀性或燃烧产物毒害性较强的易燃液体火灾，扑救人员必须佩戴防护面具，采取防护措施。对特殊物品的火灾，应使用专用防护服。考虑到过滤式防毒面具防毒范围的局限性，在扑救毒害品火灾时应尽量使用隔绝式空气面具。</w:t>
      </w:r>
    </w:p>
    <w:p>
      <w:pPr>
        <w:spacing w:line="360" w:lineRule="auto"/>
        <w:ind w:firstLine="560" w:firstLineChars="200"/>
        <w:rPr>
          <w:sz w:val="28"/>
          <w:szCs w:val="28"/>
        </w:rPr>
      </w:pPr>
      <w:r>
        <w:rPr>
          <w:rFonts w:hint="eastAsia"/>
          <w:sz w:val="28"/>
          <w:szCs w:val="28"/>
        </w:rPr>
        <w:t>（5）扑救原油和重油等具有沸溢和喷溅危险的液体火灾，必须注意计算可能发生沸溢、喷溅的时间和观察是否有沸溢、喷溅的征兆。一旦现场指挥发现危险征兆时应迅即作出准确判断，及时下达撤退命令，避免造成人员伤亡和装备损失。扑救人员看到或听到统一撤退信号后，应立即撤至安全地带。</w:t>
      </w:r>
    </w:p>
    <w:p>
      <w:pPr>
        <w:spacing w:line="360" w:lineRule="auto"/>
        <w:ind w:firstLine="560" w:firstLineChars="200"/>
        <w:rPr>
          <w:sz w:val="28"/>
          <w:szCs w:val="28"/>
        </w:rPr>
      </w:pPr>
      <w:r>
        <w:rPr>
          <w:rFonts w:hint="eastAsia"/>
          <w:sz w:val="28"/>
          <w:szCs w:val="28"/>
        </w:rPr>
        <w:t>（6）遇易燃液体管道或贮罐泄漏着火，在切断蔓延方向并把火势限制在一定范围内的同时，对输送管道应设法找到并关闭进、出阀门，如果管道阀门已损坏或是贮罐泄漏，应迅速准备好堵漏材料，然后先用泡沫、干粉、二氧化碳或雾状水等扑灭地上的流淌火焰</w:t>
      </w:r>
      <w:r>
        <w:rPr>
          <w:sz w:val="28"/>
          <w:szCs w:val="28"/>
        </w:rPr>
        <w:t>,</w:t>
      </w:r>
      <w:r>
        <w:rPr>
          <w:rFonts w:hint="eastAsia"/>
          <w:sz w:val="28"/>
          <w:szCs w:val="28"/>
        </w:rPr>
        <w:t>为堵漏扫清障碍，其次再扑灭泄漏口的火焰，并迅速采取堵漏措施。与气体堵漏不同的是，液体一次堵漏失败，可连续堵几次，只要用泡沫覆盖地面，并堵住液体流淌和控制好周围着火源，不必点燃泄漏口的液体。</w:t>
      </w:r>
    </w:p>
    <w:p>
      <w:pPr>
        <w:spacing w:line="360" w:lineRule="auto"/>
        <w:ind w:firstLine="560" w:firstLineChars="200"/>
        <w:rPr>
          <w:sz w:val="28"/>
          <w:szCs w:val="28"/>
        </w:rPr>
      </w:pPr>
      <w:r>
        <w:rPr>
          <w:sz w:val="28"/>
          <w:szCs w:val="28"/>
        </w:rPr>
        <w:t>8</w:t>
      </w:r>
      <w:r>
        <w:rPr>
          <w:rFonts w:hint="eastAsia"/>
          <w:sz w:val="28"/>
          <w:szCs w:val="28"/>
        </w:rPr>
        <w:t>、火灾扑灭后，仍然要派人监护现场、消灭余火。起火单位应当保护现场，接受事故调查，协助公安消防监督部门和上级安全管理部门调查火灾原因，核定火灾损失，查明火灾责任，未经现场指挥部同意，不得擅自清理火灾现场。</w:t>
      </w:r>
    </w:p>
    <w:p>
      <w:pPr>
        <w:pStyle w:val="2"/>
        <w:spacing w:line="360" w:lineRule="auto"/>
        <w:rPr>
          <w:rFonts w:ascii="宋体" w:hAnsi="宋体" w:eastAsia="宋体"/>
          <w:b w:val="0"/>
          <w:bCs w:val="0"/>
        </w:rPr>
      </w:pPr>
      <w:bookmarkStart w:id="187" w:name="_Toc410030976"/>
      <w:bookmarkStart w:id="188" w:name="_Toc29510"/>
      <w:r>
        <w:rPr>
          <w:rFonts w:hint="eastAsia" w:ascii="宋体" w:hAnsi="宋体" w:eastAsia="宋体"/>
          <w:b w:val="0"/>
          <w:bCs w:val="0"/>
        </w:rPr>
        <w:t>F</w:t>
      </w:r>
      <w:r>
        <w:rPr>
          <w:rFonts w:hint="eastAsia" w:ascii="宋体" w:hAnsi="宋体" w:eastAsia="宋体"/>
          <w:b w:val="0"/>
          <w:bCs w:val="0"/>
          <w:lang w:val="en-US" w:eastAsia="zh-CN"/>
        </w:rPr>
        <w:t>2</w:t>
      </w:r>
      <w:r>
        <w:rPr>
          <w:rFonts w:hint="eastAsia" w:ascii="宋体" w:hAnsi="宋体" w:eastAsia="宋体"/>
          <w:b w:val="0"/>
          <w:bCs w:val="0"/>
        </w:rPr>
        <w:t>.3天然气长输管道事故</w:t>
      </w:r>
      <w:bookmarkEnd w:id="187"/>
      <w:bookmarkEnd w:id="188"/>
    </w:p>
    <w:p>
      <w:pPr>
        <w:spacing w:line="360" w:lineRule="auto"/>
        <w:ind w:firstLine="560" w:firstLineChars="200"/>
        <w:rPr>
          <w:sz w:val="28"/>
          <w:szCs w:val="28"/>
        </w:rPr>
      </w:pPr>
      <w:r>
        <w:rPr>
          <w:sz w:val="28"/>
          <w:szCs w:val="28"/>
        </w:rPr>
        <w:t>1</w:t>
      </w:r>
      <w:r>
        <w:rPr>
          <w:rFonts w:hint="eastAsia"/>
          <w:sz w:val="28"/>
          <w:szCs w:val="28"/>
        </w:rPr>
        <w:t>、</w:t>
      </w:r>
      <w:r>
        <w:rPr>
          <w:sz w:val="28"/>
          <w:szCs w:val="28"/>
        </w:rPr>
        <w:t>确认</w:t>
      </w:r>
      <w:r>
        <w:rPr>
          <w:rFonts w:hint="eastAsia"/>
          <w:sz w:val="28"/>
          <w:szCs w:val="28"/>
        </w:rPr>
        <w:t>天然气长输</w:t>
      </w:r>
      <w:r>
        <w:rPr>
          <w:sz w:val="28"/>
          <w:szCs w:val="28"/>
        </w:rPr>
        <w:t>管道泄漏事故后，</w:t>
      </w:r>
      <w:r>
        <w:rPr>
          <w:rFonts w:hint="eastAsia"/>
          <w:sz w:val="28"/>
          <w:szCs w:val="28"/>
        </w:rPr>
        <w:t>应</w:t>
      </w:r>
      <w:r>
        <w:rPr>
          <w:sz w:val="28"/>
          <w:szCs w:val="28"/>
        </w:rPr>
        <w:t>立即通知</w:t>
      </w:r>
      <w:r>
        <w:rPr>
          <w:rFonts w:hint="eastAsia"/>
          <w:sz w:val="28"/>
          <w:szCs w:val="28"/>
        </w:rPr>
        <w:t>应急救援中心</w:t>
      </w:r>
      <w:r>
        <w:rPr>
          <w:sz w:val="28"/>
          <w:szCs w:val="28"/>
        </w:rPr>
        <w:t>，启动事故应急预案。</w:t>
      </w:r>
    </w:p>
    <w:p>
      <w:pPr>
        <w:spacing w:line="360" w:lineRule="auto"/>
        <w:ind w:firstLine="560" w:firstLineChars="200"/>
        <w:rPr>
          <w:sz w:val="28"/>
          <w:szCs w:val="28"/>
        </w:rPr>
      </w:pPr>
      <w:r>
        <w:rPr>
          <w:rFonts w:hint="eastAsia"/>
          <w:sz w:val="28"/>
          <w:szCs w:val="28"/>
        </w:rPr>
        <w:t>2、</w:t>
      </w:r>
      <w:r>
        <w:rPr>
          <w:sz w:val="28"/>
          <w:szCs w:val="28"/>
        </w:rPr>
        <w:t>分析判断事故管段位置，通知</w:t>
      </w:r>
      <w:r>
        <w:rPr>
          <w:rFonts w:hint="eastAsia" w:ascii="宋体" w:hAnsi="宋体"/>
          <w:sz w:val="28"/>
          <w:szCs w:val="28"/>
        </w:rPr>
        <w:t>燃气公司以及临近企业</w:t>
      </w:r>
      <w:r>
        <w:rPr>
          <w:rFonts w:hint="eastAsia"/>
          <w:sz w:val="28"/>
          <w:szCs w:val="28"/>
        </w:rPr>
        <w:t>。</w:t>
      </w:r>
      <w:r>
        <w:rPr>
          <w:sz w:val="28"/>
          <w:szCs w:val="28"/>
        </w:rPr>
        <w:t>关闭事故管段两端阀门，启动相关阀室紧急放空泄压，减少事故段</w:t>
      </w:r>
      <w:r>
        <w:rPr>
          <w:rFonts w:hint="eastAsia"/>
          <w:sz w:val="28"/>
          <w:szCs w:val="28"/>
        </w:rPr>
        <w:t>燃气</w:t>
      </w:r>
      <w:r>
        <w:rPr>
          <w:sz w:val="28"/>
          <w:szCs w:val="28"/>
        </w:rPr>
        <w:t>泄漏量。</w:t>
      </w:r>
    </w:p>
    <w:p>
      <w:pPr>
        <w:spacing w:line="360" w:lineRule="auto"/>
        <w:ind w:firstLine="560" w:firstLineChars="200"/>
        <w:rPr>
          <w:sz w:val="28"/>
          <w:szCs w:val="28"/>
        </w:rPr>
      </w:pPr>
      <w:r>
        <w:rPr>
          <w:rFonts w:hint="eastAsia"/>
          <w:sz w:val="28"/>
          <w:szCs w:val="28"/>
        </w:rPr>
        <w:t>3、</w:t>
      </w:r>
      <w:r>
        <w:rPr>
          <w:sz w:val="28"/>
          <w:szCs w:val="28"/>
        </w:rPr>
        <w:t>封锁</w:t>
      </w:r>
      <w:r>
        <w:rPr>
          <w:rFonts w:hint="eastAsia"/>
          <w:sz w:val="28"/>
          <w:szCs w:val="28"/>
        </w:rPr>
        <w:t>泄漏</w:t>
      </w:r>
      <w:r>
        <w:rPr>
          <w:sz w:val="28"/>
          <w:szCs w:val="28"/>
        </w:rPr>
        <w:t xml:space="preserve">事故现场和危险区域。车辆熄火，迅速撤离、疏散现场人员，设置警示标志，同时设法保护相邻装置、设备，应杜绝火源、切断电源、防止静电火花，并尽量将易燃易爆物品搬离危险区域，防止事态扩大和引发次生事故。 </w:t>
      </w:r>
    </w:p>
    <w:p>
      <w:pPr>
        <w:spacing w:line="360" w:lineRule="auto"/>
        <w:ind w:firstLine="560" w:firstLineChars="200"/>
        <w:rPr>
          <w:sz w:val="28"/>
          <w:szCs w:val="28"/>
        </w:rPr>
      </w:pPr>
      <w:r>
        <w:rPr>
          <w:rFonts w:hint="eastAsia"/>
          <w:sz w:val="28"/>
          <w:szCs w:val="28"/>
        </w:rPr>
        <w:t>4、</w:t>
      </w:r>
      <w:r>
        <w:rPr>
          <w:sz w:val="28"/>
          <w:szCs w:val="28"/>
        </w:rPr>
        <w:t>迅速组织事故发生地周围的群众撤离危险区域，维护好社会治安，同时做好撤离群众的生活安置工作。</w:t>
      </w:r>
    </w:p>
    <w:p>
      <w:pPr>
        <w:spacing w:line="360" w:lineRule="auto"/>
        <w:ind w:firstLine="560" w:firstLineChars="200"/>
        <w:rPr>
          <w:sz w:val="28"/>
          <w:szCs w:val="28"/>
        </w:rPr>
      </w:pPr>
      <w:r>
        <w:rPr>
          <w:rFonts w:hint="eastAsia"/>
          <w:sz w:val="28"/>
          <w:szCs w:val="28"/>
        </w:rPr>
        <w:t>5、</w:t>
      </w:r>
      <w:r>
        <w:rPr>
          <w:sz w:val="28"/>
          <w:szCs w:val="28"/>
        </w:rPr>
        <w:t>事故现场如有人员出现伤亡，立即调集相关（外伤、烧伤等方面）的医疗专家、医疗设备进行现场医疗救治，适时进行转移治疗。</w:t>
      </w:r>
    </w:p>
    <w:p>
      <w:pPr>
        <w:spacing w:line="360" w:lineRule="auto"/>
        <w:ind w:firstLine="560" w:firstLineChars="200"/>
        <w:rPr>
          <w:sz w:val="28"/>
          <w:szCs w:val="28"/>
        </w:rPr>
      </w:pPr>
      <w:r>
        <w:rPr>
          <w:rFonts w:hint="eastAsia"/>
          <w:sz w:val="28"/>
          <w:szCs w:val="28"/>
        </w:rPr>
        <w:t>6、</w:t>
      </w:r>
      <w:r>
        <w:rPr>
          <w:sz w:val="28"/>
          <w:szCs w:val="28"/>
        </w:rPr>
        <w:t>设置警戒线和划定安全区域，对事故现场和周边地区进行可燃气体分析和气象预报。</w:t>
      </w:r>
    </w:p>
    <w:p>
      <w:pPr>
        <w:spacing w:line="360" w:lineRule="auto"/>
        <w:ind w:firstLine="560" w:firstLineChars="200"/>
        <w:rPr>
          <w:sz w:val="28"/>
          <w:szCs w:val="28"/>
        </w:rPr>
      </w:pPr>
      <w:r>
        <w:rPr>
          <w:rFonts w:hint="eastAsia"/>
          <w:sz w:val="28"/>
          <w:szCs w:val="28"/>
        </w:rPr>
        <w:t>7、</w:t>
      </w:r>
      <w:r>
        <w:rPr>
          <w:sz w:val="28"/>
          <w:szCs w:val="28"/>
        </w:rPr>
        <w:t>及时制定事故的抢修维修方案（灭火、堵漏等），并组织实施。</w:t>
      </w:r>
    </w:p>
    <w:p>
      <w:pPr>
        <w:spacing w:line="360" w:lineRule="auto"/>
        <w:ind w:firstLine="560" w:firstLineChars="200"/>
        <w:rPr>
          <w:sz w:val="28"/>
          <w:szCs w:val="28"/>
        </w:rPr>
      </w:pPr>
      <w:r>
        <w:rPr>
          <w:rFonts w:hint="eastAsia"/>
          <w:sz w:val="28"/>
          <w:szCs w:val="28"/>
        </w:rPr>
        <w:t>8、</w:t>
      </w:r>
      <w:r>
        <w:rPr>
          <w:sz w:val="28"/>
          <w:szCs w:val="28"/>
        </w:rPr>
        <w:t>现场救援人员必须做好人身安全防护，避免烧伤、中毒、噪音等人身伤害。</w:t>
      </w:r>
    </w:p>
    <w:p>
      <w:pPr>
        <w:spacing w:line="360" w:lineRule="auto"/>
        <w:ind w:firstLine="560" w:firstLineChars="200"/>
        <w:rPr>
          <w:sz w:val="28"/>
          <w:szCs w:val="28"/>
        </w:rPr>
      </w:pPr>
      <w:r>
        <w:rPr>
          <w:rFonts w:hint="eastAsia"/>
          <w:sz w:val="28"/>
          <w:szCs w:val="28"/>
        </w:rPr>
        <w:t>9、</w:t>
      </w:r>
      <w:r>
        <w:rPr>
          <w:sz w:val="28"/>
          <w:szCs w:val="28"/>
        </w:rPr>
        <w:t>根据现场提供的情况，根据管道泄漏的特点（腐蚀穿孔、应力开裂、爆管或开裂），制定停输或不停输的抢修方案。</w:t>
      </w:r>
    </w:p>
    <w:p>
      <w:pPr>
        <w:spacing w:line="360" w:lineRule="auto"/>
        <w:ind w:firstLine="560" w:firstLineChars="200"/>
        <w:rPr>
          <w:sz w:val="28"/>
          <w:szCs w:val="28"/>
        </w:rPr>
      </w:pPr>
      <w:r>
        <w:rPr>
          <w:sz w:val="28"/>
          <w:szCs w:val="28"/>
        </w:rPr>
        <w:fldChar w:fldCharType="begin"/>
      </w:r>
      <w:r>
        <w:rPr>
          <w:sz w:val="28"/>
          <w:szCs w:val="28"/>
        </w:rPr>
        <w:instrText xml:space="preserve"> </w:instrText>
      </w:r>
      <w:r>
        <w:rPr>
          <w:rFonts w:hint="eastAsia"/>
          <w:sz w:val="28"/>
          <w:szCs w:val="28"/>
        </w:rPr>
        <w:instrText xml:space="preserve">= 1 \* GB3</w:instrText>
      </w:r>
      <w:r>
        <w:rPr>
          <w:sz w:val="28"/>
          <w:szCs w:val="28"/>
        </w:rPr>
        <w:instrText xml:space="preserve"> </w:instrText>
      </w:r>
      <w:r>
        <w:rPr>
          <w:sz w:val="28"/>
          <w:szCs w:val="28"/>
        </w:rPr>
        <w:fldChar w:fldCharType="separate"/>
      </w:r>
      <w:r>
        <w:rPr>
          <w:rFonts w:hint="eastAsia"/>
          <w:sz w:val="28"/>
          <w:szCs w:val="28"/>
        </w:rPr>
        <w:t>①</w:t>
      </w:r>
      <w:r>
        <w:rPr>
          <w:sz w:val="28"/>
          <w:szCs w:val="28"/>
        </w:rPr>
        <w:fldChar w:fldCharType="end"/>
      </w:r>
      <w:r>
        <w:rPr>
          <w:sz w:val="28"/>
          <w:szCs w:val="28"/>
        </w:rPr>
        <w:t>当管线穿孔时，管道压力较低，在能够确保施工人员安全的情况下，可直接使用抢修卡具进行封堵和补强焊接。当管线压力较高，施工人员无法进行操作时，管线应作降压处理，直至满足操作条件，再执行上述过程。焊接前用测厚仪测量管线壁厚，避开腐蚀点。焊接时，使用低氢焊条、直流反接、控制好焊接电流及焊接速度。</w:t>
      </w:r>
    </w:p>
    <w:p>
      <w:pPr>
        <w:spacing w:line="360" w:lineRule="auto"/>
        <w:ind w:firstLine="560" w:firstLineChars="200"/>
        <w:rPr>
          <w:sz w:val="28"/>
          <w:szCs w:val="28"/>
        </w:rPr>
      </w:pPr>
      <w:r>
        <w:rPr>
          <w:sz w:val="28"/>
          <w:szCs w:val="28"/>
        </w:rPr>
        <w:fldChar w:fldCharType="begin"/>
      </w:r>
      <w:r>
        <w:rPr>
          <w:sz w:val="28"/>
          <w:szCs w:val="28"/>
        </w:rPr>
        <w:instrText xml:space="preserve"> </w:instrText>
      </w:r>
      <w:r>
        <w:rPr>
          <w:rFonts w:hint="eastAsia"/>
          <w:sz w:val="28"/>
          <w:szCs w:val="28"/>
        </w:rPr>
        <w:instrText xml:space="preserve">= 2 \* GB3</w:instrText>
      </w:r>
      <w:r>
        <w:rPr>
          <w:sz w:val="28"/>
          <w:szCs w:val="28"/>
        </w:rPr>
        <w:instrText xml:space="preserve"> </w:instrText>
      </w:r>
      <w:r>
        <w:rPr>
          <w:sz w:val="28"/>
          <w:szCs w:val="28"/>
        </w:rPr>
        <w:fldChar w:fldCharType="separate"/>
      </w:r>
      <w:r>
        <w:rPr>
          <w:rFonts w:hint="eastAsia"/>
          <w:sz w:val="28"/>
          <w:szCs w:val="28"/>
        </w:rPr>
        <w:t>②</w:t>
      </w:r>
      <w:r>
        <w:rPr>
          <w:sz w:val="28"/>
          <w:szCs w:val="28"/>
        </w:rPr>
        <w:fldChar w:fldCharType="end"/>
      </w:r>
      <w:r>
        <w:rPr>
          <w:sz w:val="28"/>
          <w:szCs w:val="28"/>
        </w:rPr>
        <w:t>当管线开裂或爆管时，可先将管道压力降低后，用机械卡具对管线进行临时抢修，后根据现场及输气的要求，采用停输或不停输封堵的方法进行换管。</w:t>
      </w:r>
    </w:p>
    <w:p>
      <w:pPr>
        <w:spacing w:line="360" w:lineRule="auto"/>
        <w:ind w:firstLine="560" w:firstLineChars="200"/>
        <w:rPr>
          <w:sz w:val="28"/>
          <w:szCs w:val="28"/>
        </w:rPr>
      </w:pPr>
      <w:r>
        <w:rPr>
          <w:rFonts w:hint="eastAsia"/>
          <w:sz w:val="28"/>
          <w:szCs w:val="28"/>
        </w:rPr>
        <w:t>10、</w:t>
      </w:r>
      <w:r>
        <w:rPr>
          <w:sz w:val="28"/>
          <w:szCs w:val="28"/>
        </w:rPr>
        <w:t>动火前清理现场易燃物并用气体检测仪检测周围环境，确认安全方可动火。若施工现场</w:t>
      </w:r>
      <w:r>
        <w:rPr>
          <w:rFonts w:hint="eastAsia"/>
          <w:sz w:val="28"/>
          <w:szCs w:val="28"/>
        </w:rPr>
        <w:t>天然气</w:t>
      </w:r>
      <w:r>
        <w:rPr>
          <w:sz w:val="28"/>
          <w:szCs w:val="28"/>
        </w:rPr>
        <w:t>含量过高，将采用强制通风的方法控制空气中</w:t>
      </w:r>
      <w:r>
        <w:rPr>
          <w:rFonts w:hint="eastAsia"/>
          <w:sz w:val="28"/>
          <w:szCs w:val="28"/>
        </w:rPr>
        <w:t>天然气</w:t>
      </w:r>
      <w:r>
        <w:rPr>
          <w:sz w:val="28"/>
          <w:szCs w:val="28"/>
        </w:rPr>
        <w:t>含量。动火期间按规定间隔定时抽查，并间插不定时检查。动火必须在指定范围内进行，不得擅自扩大动火范围。</w:t>
      </w:r>
    </w:p>
    <w:p>
      <w:pPr>
        <w:spacing w:line="360" w:lineRule="auto"/>
        <w:ind w:firstLine="560" w:firstLineChars="200"/>
        <w:rPr>
          <w:sz w:val="28"/>
          <w:szCs w:val="28"/>
        </w:rPr>
      </w:pPr>
      <w:r>
        <w:rPr>
          <w:rFonts w:hint="eastAsia"/>
          <w:sz w:val="28"/>
          <w:szCs w:val="28"/>
        </w:rPr>
        <w:t>天然气长输管道</w:t>
      </w:r>
      <w:r>
        <w:rPr>
          <w:sz w:val="28"/>
          <w:szCs w:val="28"/>
        </w:rPr>
        <w:t>抢修</w:t>
      </w:r>
      <w:bookmarkStart w:id="189" w:name="OLE_LINK1"/>
      <w:bookmarkStart w:id="190" w:name="OLE_LINK2"/>
      <w:r>
        <w:rPr>
          <w:sz w:val="28"/>
          <w:szCs w:val="28"/>
        </w:rPr>
        <w:t>实施程序图</w:t>
      </w:r>
      <w:bookmarkEnd w:id="189"/>
      <w:bookmarkEnd w:id="190"/>
      <w:r>
        <w:rPr>
          <w:sz w:val="28"/>
          <w:szCs w:val="28"/>
        </w:rPr>
        <w:t>见图</w:t>
      </w:r>
      <w:r>
        <w:rPr>
          <w:rFonts w:hint="eastAsia"/>
          <w:sz w:val="28"/>
          <w:szCs w:val="28"/>
        </w:rPr>
        <w:t>F2.3</w:t>
      </w:r>
      <w:r>
        <w:rPr>
          <w:sz w:val="28"/>
          <w:szCs w:val="28"/>
        </w:rPr>
        <w:t>。</w:t>
      </w:r>
    </w:p>
    <w:p>
      <w:pPr>
        <w:spacing w:line="360" w:lineRule="auto"/>
        <w:ind w:firstLine="560" w:firstLineChars="200"/>
        <w:rPr>
          <w:sz w:val="28"/>
          <w:szCs w:val="28"/>
        </w:rPr>
      </w:pPr>
      <w:r>
        <w:rPr>
          <w:sz w:val="28"/>
        </w:rPr>
        <mc:AlternateContent>
          <mc:Choice Requires="wpg">
            <w:drawing>
              <wp:anchor distT="0" distB="0" distL="114300" distR="114300" simplePos="0" relativeHeight="251664384" behindDoc="0" locked="0" layoutInCell="1" allowOverlap="1">
                <wp:simplePos x="0" y="0"/>
                <wp:positionH relativeFrom="column">
                  <wp:posOffset>190500</wp:posOffset>
                </wp:positionH>
                <wp:positionV relativeFrom="paragraph">
                  <wp:posOffset>184785</wp:posOffset>
                </wp:positionV>
                <wp:extent cx="5372100" cy="6968490"/>
                <wp:effectExtent l="4445" t="4445" r="14605" b="0"/>
                <wp:wrapNone/>
                <wp:docPr id="68" name="组合 10"/>
                <wp:cNvGraphicFramePr/>
                <a:graphic xmlns:a="http://schemas.openxmlformats.org/drawingml/2006/main">
                  <a:graphicData uri="http://schemas.microsoft.com/office/word/2010/wordprocessingGroup">
                    <wpg:wgp>
                      <wpg:cNvGrpSpPr/>
                      <wpg:grpSpPr>
                        <a:xfrm>
                          <a:off x="0" y="0"/>
                          <a:ext cx="5372100" cy="6968490"/>
                          <a:chOff x="3945" y="631616"/>
                          <a:chExt cx="8460" cy="10974"/>
                        </a:xfrm>
                        <a:effectLst/>
                      </wpg:grpSpPr>
                      <wps:wsp>
                        <wps:cNvPr id="27" name="文本框 27"/>
                        <wps:cNvSpPr txBox="1"/>
                        <wps:spPr>
                          <a:xfrm>
                            <a:off x="5865" y="641966"/>
                            <a:ext cx="4500" cy="624"/>
                          </a:xfrm>
                          <a:prstGeom prst="rect">
                            <a:avLst/>
                          </a:prstGeom>
                          <a:noFill/>
                          <a:ln w="9525">
                            <a:noFill/>
                          </a:ln>
                          <a:effectLst/>
                        </wps:spPr>
                        <wps:txbx>
                          <w:txbxContent>
                            <w:p>
                              <w:pPr>
                                <w:spacing w:line="360" w:lineRule="auto"/>
                                <w:jc w:val="center"/>
                                <w:rPr>
                                  <w:sz w:val="24"/>
                                </w:rPr>
                              </w:pPr>
                              <w:r>
                                <w:rPr>
                                  <w:sz w:val="24"/>
                                </w:rPr>
                                <w:t>图</w:t>
                              </w:r>
                              <w:r>
                                <w:rPr>
                                  <w:rFonts w:hint="eastAsia"/>
                                  <w:sz w:val="24"/>
                                </w:rPr>
                                <w:t>F2.3  氢气长输管道</w:t>
                              </w:r>
                              <w:r>
                                <w:rPr>
                                  <w:sz w:val="24"/>
                                </w:rPr>
                                <w:t>抢修实施程序图</w:t>
                              </w:r>
                            </w:p>
                            <w:p/>
                          </w:txbxContent>
                        </wps:txbx>
                        <wps:bodyPr upright="1"/>
                      </wps:wsp>
                      <wps:wsp>
                        <wps:cNvPr id="28" name="文本框 28"/>
                        <wps:cNvSpPr txBox="1"/>
                        <wps:spPr>
                          <a:xfrm>
                            <a:off x="7080" y="631616"/>
                            <a:ext cx="2160" cy="468"/>
                          </a:xfrm>
                          <a:prstGeom prst="rect">
                            <a:avLst/>
                          </a:prstGeom>
                          <a:noFill/>
                          <a:ln w="9525" cap="flat" cmpd="sng">
                            <a:solidFill>
                              <a:srgbClr val="000000"/>
                            </a:solidFill>
                            <a:prstDash val="solid"/>
                            <a:miter/>
                            <a:headEnd type="none" w="med" len="med"/>
                            <a:tailEnd type="none" w="med" len="med"/>
                          </a:ln>
                          <a:effectLst/>
                        </wps:spPr>
                        <wps:txbx>
                          <w:txbxContent>
                            <w:p>
                              <w:pPr>
                                <w:jc w:val="center"/>
                              </w:pPr>
                              <w:r>
                                <w:rPr>
                                  <w:rFonts w:hint="eastAsia"/>
                                </w:rPr>
                                <w:t>抢修队伍到达现场</w:t>
                              </w:r>
                            </w:p>
                          </w:txbxContent>
                        </wps:txbx>
                        <wps:bodyPr upright="1"/>
                      </wps:wsp>
                      <wps:wsp>
                        <wps:cNvPr id="29" name="直接连接符 29"/>
                        <wps:cNvCnPr/>
                        <wps:spPr>
                          <a:xfrm>
                            <a:off x="8160" y="632084"/>
                            <a:ext cx="0" cy="362"/>
                          </a:xfrm>
                          <a:prstGeom prst="line">
                            <a:avLst/>
                          </a:prstGeom>
                          <a:ln w="9525" cap="flat" cmpd="sng">
                            <a:solidFill>
                              <a:srgbClr val="000000"/>
                            </a:solidFill>
                            <a:prstDash val="solid"/>
                            <a:headEnd type="none" w="med" len="med"/>
                            <a:tailEnd type="triangle" w="med" len="med"/>
                          </a:ln>
                          <a:effectLst/>
                        </wps:spPr>
                        <wps:bodyPr upright="1"/>
                      </wps:wsp>
                      <wps:wsp>
                        <wps:cNvPr id="30" name="文本框 30"/>
                        <wps:cNvSpPr txBox="1"/>
                        <wps:spPr>
                          <a:xfrm>
                            <a:off x="6900" y="632417"/>
                            <a:ext cx="2520" cy="468"/>
                          </a:xfrm>
                          <a:prstGeom prst="rect">
                            <a:avLst/>
                          </a:prstGeom>
                          <a:noFill/>
                          <a:ln w="9525" cap="flat" cmpd="sng">
                            <a:solidFill>
                              <a:srgbClr val="000000"/>
                            </a:solidFill>
                            <a:prstDash val="solid"/>
                            <a:miter/>
                            <a:headEnd type="none" w="med" len="med"/>
                            <a:tailEnd type="none" w="med" len="med"/>
                          </a:ln>
                          <a:effectLst/>
                        </wps:spPr>
                        <wps:txbx>
                          <w:txbxContent>
                            <w:p>
                              <w:pPr>
                                <w:jc w:val="center"/>
                              </w:pPr>
                              <w:r>
                                <w:rPr>
                                  <w:rFonts w:hint="eastAsia"/>
                                </w:rPr>
                                <w:t>准确判断出事故位置</w:t>
                              </w:r>
                            </w:p>
                          </w:txbxContent>
                        </wps:txbx>
                        <wps:bodyPr upright="1"/>
                      </wps:wsp>
                      <wps:wsp>
                        <wps:cNvPr id="31" name="流程图: 决策 31"/>
                        <wps:cNvSpPr/>
                        <wps:spPr>
                          <a:xfrm>
                            <a:off x="6630" y="633248"/>
                            <a:ext cx="3060" cy="936"/>
                          </a:xfrm>
                          <a:prstGeom prst="flowChartDecision">
                            <a:avLst/>
                          </a:prstGeom>
                          <a:noFill/>
                          <a:ln w="9525" cap="flat" cmpd="sng">
                            <a:solidFill>
                              <a:srgbClr val="000000"/>
                            </a:solidFill>
                            <a:prstDash val="solid"/>
                            <a:miter/>
                            <a:headEnd type="none" w="med" len="med"/>
                            <a:tailEnd type="none" w="med" len="med"/>
                          </a:ln>
                          <a:effectLst/>
                        </wps:spPr>
                        <wps:txbx>
                          <w:txbxContent>
                            <w:p>
                              <w:r>
                                <w:rPr>
                                  <w:rFonts w:hint="eastAsia"/>
                                </w:rPr>
                                <w:t>判断事故性质</w:t>
                              </w:r>
                            </w:p>
                          </w:txbxContent>
                        </wps:txbx>
                        <wps:bodyPr upright="1"/>
                      </wps:wsp>
                      <wps:wsp>
                        <wps:cNvPr id="32" name="直接连接符 32"/>
                        <wps:cNvCnPr/>
                        <wps:spPr>
                          <a:xfrm>
                            <a:off x="5400" y="633716"/>
                            <a:ext cx="1260" cy="0"/>
                          </a:xfrm>
                          <a:prstGeom prst="line">
                            <a:avLst/>
                          </a:prstGeom>
                          <a:ln w="9525" cap="flat" cmpd="sng">
                            <a:solidFill>
                              <a:srgbClr val="000000"/>
                            </a:solidFill>
                            <a:prstDash val="solid"/>
                            <a:headEnd type="none" w="med" len="med"/>
                            <a:tailEnd type="none" w="med" len="med"/>
                          </a:ln>
                          <a:effectLst/>
                        </wps:spPr>
                        <wps:bodyPr upright="1"/>
                      </wps:wsp>
                      <wps:wsp>
                        <wps:cNvPr id="33" name="文本框 33"/>
                        <wps:cNvSpPr txBox="1"/>
                        <wps:spPr>
                          <a:xfrm>
                            <a:off x="4500" y="634184"/>
                            <a:ext cx="1800" cy="468"/>
                          </a:xfrm>
                          <a:prstGeom prst="rect">
                            <a:avLst/>
                          </a:prstGeom>
                          <a:noFill/>
                          <a:ln w="9525" cap="flat" cmpd="sng">
                            <a:solidFill>
                              <a:srgbClr val="000000"/>
                            </a:solidFill>
                            <a:prstDash val="solid"/>
                            <a:miter/>
                            <a:headEnd type="none" w="med" len="med"/>
                            <a:tailEnd type="none" w="med" len="med"/>
                          </a:ln>
                          <a:effectLst/>
                        </wps:spPr>
                        <wps:txbx>
                          <w:txbxContent>
                            <w:p>
                              <w:pPr>
                                <w:jc w:val="center"/>
                              </w:pPr>
                              <w:r>
                                <w:rPr>
                                  <w:rFonts w:hint="eastAsia"/>
                                </w:rPr>
                                <w:t>开挖作业坑</w:t>
                              </w:r>
                            </w:p>
                          </w:txbxContent>
                        </wps:txbx>
                        <wps:bodyPr upright="1"/>
                      </wps:wsp>
                      <wps:wsp>
                        <wps:cNvPr id="34" name="文本框 34"/>
                        <wps:cNvSpPr txBox="1"/>
                        <wps:spPr>
                          <a:xfrm>
                            <a:off x="4485" y="635015"/>
                            <a:ext cx="1800" cy="468"/>
                          </a:xfrm>
                          <a:prstGeom prst="rect">
                            <a:avLst/>
                          </a:prstGeom>
                          <a:noFill/>
                          <a:ln w="9525" cap="flat" cmpd="sng">
                            <a:solidFill>
                              <a:srgbClr val="000000"/>
                            </a:solidFill>
                            <a:prstDash val="solid"/>
                            <a:miter/>
                            <a:headEnd type="none" w="med" len="med"/>
                            <a:tailEnd type="none" w="med" len="med"/>
                          </a:ln>
                          <a:effectLst/>
                        </wps:spPr>
                        <wps:txbx>
                          <w:txbxContent>
                            <w:p>
                              <w:pPr>
                                <w:jc w:val="center"/>
                              </w:pPr>
                              <w:r>
                                <w:rPr>
                                  <w:rFonts w:hint="eastAsia"/>
                                </w:rPr>
                                <w:t>确定准确漏点</w:t>
                              </w:r>
                            </w:p>
                          </w:txbxContent>
                        </wps:txbx>
                        <wps:bodyPr upright="1"/>
                      </wps:wsp>
                      <wps:wsp>
                        <wps:cNvPr id="35" name="文本框 35"/>
                        <wps:cNvSpPr txBox="1"/>
                        <wps:spPr>
                          <a:xfrm>
                            <a:off x="4500" y="635846"/>
                            <a:ext cx="1800" cy="468"/>
                          </a:xfrm>
                          <a:prstGeom prst="rect">
                            <a:avLst/>
                          </a:prstGeom>
                          <a:noFill/>
                          <a:ln w="9525" cap="flat" cmpd="sng">
                            <a:solidFill>
                              <a:srgbClr val="000000"/>
                            </a:solidFill>
                            <a:prstDash val="solid"/>
                            <a:miter/>
                            <a:headEnd type="none" w="med" len="med"/>
                            <a:tailEnd type="none" w="med" len="med"/>
                          </a:ln>
                          <a:effectLst/>
                        </wps:spPr>
                        <wps:txbx>
                          <w:txbxContent>
                            <w:p>
                              <w:pPr>
                                <w:jc w:val="center"/>
                              </w:pPr>
                              <w:r>
                                <w:rPr>
                                  <w:rFonts w:hint="eastAsia"/>
                                </w:rPr>
                                <w:t>剥离防腐层</w:t>
                              </w:r>
                            </w:p>
                          </w:txbxContent>
                        </wps:txbx>
                        <wps:bodyPr upright="1"/>
                      </wps:wsp>
                      <wps:wsp>
                        <wps:cNvPr id="36" name="文本框 36"/>
                        <wps:cNvSpPr txBox="1"/>
                        <wps:spPr>
                          <a:xfrm>
                            <a:off x="3945" y="636662"/>
                            <a:ext cx="2880" cy="468"/>
                          </a:xfrm>
                          <a:prstGeom prst="rect">
                            <a:avLst/>
                          </a:prstGeom>
                          <a:noFill/>
                          <a:ln w="9525" cap="flat" cmpd="sng">
                            <a:solidFill>
                              <a:srgbClr val="000000"/>
                            </a:solidFill>
                            <a:prstDash val="solid"/>
                            <a:miter/>
                            <a:headEnd type="none" w="med" len="med"/>
                            <a:tailEnd type="none" w="med" len="med"/>
                          </a:ln>
                          <a:effectLst/>
                        </wps:spPr>
                        <wps:txbx>
                          <w:txbxContent>
                            <w:p>
                              <w:pPr>
                                <w:jc w:val="center"/>
                              </w:pPr>
                              <w:r>
                                <w:rPr>
                                  <w:rFonts w:hint="eastAsia"/>
                                </w:rPr>
                                <w:t>作临时抢修处理、恢复输送</w:t>
                              </w:r>
                            </w:p>
                          </w:txbxContent>
                        </wps:txbx>
                        <wps:bodyPr upright="1"/>
                      </wps:wsp>
                      <wps:wsp>
                        <wps:cNvPr id="37" name="文本框 37"/>
                        <wps:cNvSpPr txBox="1"/>
                        <wps:spPr>
                          <a:xfrm>
                            <a:off x="4140" y="637508"/>
                            <a:ext cx="2520" cy="468"/>
                          </a:xfrm>
                          <a:prstGeom prst="rect">
                            <a:avLst/>
                          </a:prstGeom>
                          <a:noFill/>
                          <a:ln w="9525" cap="flat" cmpd="sng">
                            <a:solidFill>
                              <a:srgbClr val="000000"/>
                            </a:solidFill>
                            <a:prstDash val="solid"/>
                            <a:miter/>
                            <a:headEnd type="none" w="med" len="med"/>
                            <a:tailEnd type="none" w="med" len="med"/>
                          </a:ln>
                          <a:effectLst/>
                        </wps:spPr>
                        <wps:txbx>
                          <w:txbxContent>
                            <w:p>
                              <w:pPr>
                                <w:jc w:val="center"/>
                              </w:pPr>
                              <w:r>
                                <w:rPr>
                                  <w:rFonts w:hint="eastAsia"/>
                                </w:rPr>
                                <w:t>停与不停输开孔、封堵</w:t>
                              </w:r>
                            </w:p>
                          </w:txbxContent>
                        </wps:txbx>
                        <wps:bodyPr upright="1"/>
                      </wps:wsp>
                      <wps:wsp>
                        <wps:cNvPr id="38" name="文本框 38"/>
                        <wps:cNvSpPr txBox="1"/>
                        <wps:spPr>
                          <a:xfrm>
                            <a:off x="4485" y="638339"/>
                            <a:ext cx="1800" cy="468"/>
                          </a:xfrm>
                          <a:prstGeom prst="rect">
                            <a:avLst/>
                          </a:prstGeom>
                          <a:noFill/>
                          <a:ln w="9525" cap="flat" cmpd="sng">
                            <a:solidFill>
                              <a:srgbClr val="000000"/>
                            </a:solidFill>
                            <a:prstDash val="solid"/>
                            <a:miter/>
                            <a:headEnd type="none" w="med" len="med"/>
                            <a:tailEnd type="none" w="med" len="med"/>
                          </a:ln>
                          <a:effectLst/>
                        </wps:spPr>
                        <wps:txbx>
                          <w:txbxContent>
                            <w:p>
                              <w:pPr>
                                <w:jc w:val="center"/>
                              </w:pPr>
                              <w:r>
                                <w:rPr>
                                  <w:rFonts w:hint="eastAsia"/>
                                </w:rPr>
                                <w:t>切除事故段</w:t>
                              </w:r>
                            </w:p>
                          </w:txbxContent>
                        </wps:txbx>
                        <wps:bodyPr upright="1"/>
                      </wps:wsp>
                      <wps:wsp>
                        <wps:cNvPr id="39" name="文本框 39"/>
                        <wps:cNvSpPr txBox="1"/>
                        <wps:spPr>
                          <a:xfrm>
                            <a:off x="4485" y="639170"/>
                            <a:ext cx="1800" cy="468"/>
                          </a:xfrm>
                          <a:prstGeom prst="rect">
                            <a:avLst/>
                          </a:prstGeom>
                          <a:noFill/>
                          <a:ln w="9525" cap="flat" cmpd="sng">
                            <a:solidFill>
                              <a:srgbClr val="000000"/>
                            </a:solidFill>
                            <a:prstDash val="solid"/>
                            <a:miter/>
                            <a:headEnd type="none" w="med" len="med"/>
                            <a:tailEnd type="none" w="med" len="med"/>
                          </a:ln>
                          <a:effectLst/>
                        </wps:spPr>
                        <wps:txbx>
                          <w:txbxContent>
                            <w:p>
                              <w:pPr>
                                <w:jc w:val="center"/>
                              </w:pPr>
                              <w:r>
                                <w:rPr>
                                  <w:rFonts w:hint="eastAsia"/>
                                </w:rPr>
                                <w:t>焊接新管段</w:t>
                              </w:r>
                            </w:p>
                          </w:txbxContent>
                        </wps:txbx>
                        <wps:bodyPr upright="1"/>
                      </wps:wsp>
                      <wps:wsp>
                        <wps:cNvPr id="40" name="直接连接符 40"/>
                        <wps:cNvCnPr/>
                        <wps:spPr>
                          <a:xfrm>
                            <a:off x="5400" y="640001"/>
                            <a:ext cx="5580" cy="0"/>
                          </a:xfrm>
                          <a:prstGeom prst="line">
                            <a:avLst/>
                          </a:prstGeom>
                          <a:ln w="9525" cap="flat" cmpd="sng">
                            <a:solidFill>
                              <a:srgbClr val="000000"/>
                            </a:solidFill>
                            <a:prstDash val="solid"/>
                            <a:headEnd type="none" w="med" len="med"/>
                            <a:tailEnd type="none" w="med" len="med"/>
                          </a:ln>
                          <a:effectLst/>
                        </wps:spPr>
                        <wps:bodyPr upright="1"/>
                      </wps:wsp>
                      <wps:wsp>
                        <wps:cNvPr id="41" name="直接连接符 41"/>
                        <wps:cNvCnPr/>
                        <wps:spPr>
                          <a:xfrm>
                            <a:off x="9705" y="633716"/>
                            <a:ext cx="1260" cy="0"/>
                          </a:xfrm>
                          <a:prstGeom prst="line">
                            <a:avLst/>
                          </a:prstGeom>
                          <a:ln w="9525" cap="flat" cmpd="sng">
                            <a:solidFill>
                              <a:srgbClr val="000000"/>
                            </a:solidFill>
                            <a:prstDash val="solid"/>
                            <a:headEnd type="none" w="med" len="med"/>
                            <a:tailEnd type="none" w="med" len="med"/>
                          </a:ln>
                          <a:effectLst/>
                        </wps:spPr>
                        <wps:bodyPr upright="1"/>
                      </wps:wsp>
                      <wps:wsp>
                        <wps:cNvPr id="42" name="文本框 42"/>
                        <wps:cNvSpPr txBox="1"/>
                        <wps:spPr>
                          <a:xfrm>
                            <a:off x="10065" y="634184"/>
                            <a:ext cx="1800" cy="468"/>
                          </a:xfrm>
                          <a:prstGeom prst="rect">
                            <a:avLst/>
                          </a:prstGeom>
                          <a:noFill/>
                          <a:ln w="9525" cap="flat" cmpd="sng">
                            <a:solidFill>
                              <a:srgbClr val="000000"/>
                            </a:solidFill>
                            <a:prstDash val="solid"/>
                            <a:miter/>
                            <a:headEnd type="none" w="med" len="med"/>
                            <a:tailEnd type="none" w="med" len="med"/>
                          </a:ln>
                          <a:effectLst/>
                        </wps:spPr>
                        <wps:txbx>
                          <w:txbxContent>
                            <w:p>
                              <w:pPr>
                                <w:jc w:val="center"/>
                              </w:pPr>
                              <w:r>
                                <w:rPr>
                                  <w:rFonts w:hint="eastAsia"/>
                                </w:rPr>
                                <w:t>开挖作业坑</w:t>
                              </w:r>
                            </w:p>
                          </w:txbxContent>
                        </wps:txbx>
                        <wps:bodyPr upright="1"/>
                      </wps:wsp>
                      <wps:wsp>
                        <wps:cNvPr id="43" name="文本框 43"/>
                        <wps:cNvSpPr txBox="1"/>
                        <wps:spPr>
                          <a:xfrm>
                            <a:off x="10065" y="635030"/>
                            <a:ext cx="1800" cy="468"/>
                          </a:xfrm>
                          <a:prstGeom prst="rect">
                            <a:avLst/>
                          </a:prstGeom>
                          <a:noFill/>
                          <a:ln w="9525" cap="flat" cmpd="sng">
                            <a:solidFill>
                              <a:srgbClr val="000000"/>
                            </a:solidFill>
                            <a:prstDash val="solid"/>
                            <a:miter/>
                            <a:headEnd type="none" w="med" len="med"/>
                            <a:tailEnd type="none" w="med" len="med"/>
                          </a:ln>
                          <a:effectLst/>
                        </wps:spPr>
                        <wps:txbx>
                          <w:txbxContent>
                            <w:p>
                              <w:pPr>
                                <w:jc w:val="center"/>
                              </w:pPr>
                              <w:r>
                                <w:rPr>
                                  <w:rFonts w:hint="eastAsia"/>
                                </w:rPr>
                                <w:t>确定准确漏点</w:t>
                              </w:r>
                            </w:p>
                          </w:txbxContent>
                        </wps:txbx>
                        <wps:bodyPr upright="1"/>
                      </wps:wsp>
                      <wps:wsp>
                        <wps:cNvPr id="44" name="文本框 44"/>
                        <wps:cNvSpPr txBox="1"/>
                        <wps:spPr>
                          <a:xfrm>
                            <a:off x="10065" y="635861"/>
                            <a:ext cx="1800" cy="468"/>
                          </a:xfrm>
                          <a:prstGeom prst="rect">
                            <a:avLst/>
                          </a:prstGeom>
                          <a:noFill/>
                          <a:ln w="9525" cap="flat" cmpd="sng">
                            <a:solidFill>
                              <a:srgbClr val="000000"/>
                            </a:solidFill>
                            <a:prstDash val="solid"/>
                            <a:miter/>
                            <a:headEnd type="none" w="med" len="med"/>
                            <a:tailEnd type="none" w="med" len="med"/>
                          </a:ln>
                          <a:effectLst/>
                        </wps:spPr>
                        <wps:txbx>
                          <w:txbxContent>
                            <w:p>
                              <w:pPr>
                                <w:jc w:val="center"/>
                              </w:pPr>
                              <w:r>
                                <w:rPr>
                                  <w:rFonts w:hint="eastAsia"/>
                                </w:rPr>
                                <w:t>剥离防腐层</w:t>
                              </w:r>
                            </w:p>
                          </w:txbxContent>
                        </wps:txbx>
                        <wps:bodyPr upright="1"/>
                      </wps:wsp>
                      <wps:wsp>
                        <wps:cNvPr id="45" name="文本框 45"/>
                        <wps:cNvSpPr txBox="1"/>
                        <wps:spPr>
                          <a:xfrm>
                            <a:off x="9525" y="636662"/>
                            <a:ext cx="2880" cy="468"/>
                          </a:xfrm>
                          <a:prstGeom prst="rect">
                            <a:avLst/>
                          </a:prstGeom>
                          <a:noFill/>
                          <a:ln w="9525" cap="flat" cmpd="sng">
                            <a:solidFill>
                              <a:srgbClr val="000000"/>
                            </a:solidFill>
                            <a:prstDash val="solid"/>
                            <a:miter/>
                            <a:headEnd type="none" w="med" len="med"/>
                            <a:tailEnd type="none" w="med" len="med"/>
                          </a:ln>
                          <a:effectLst/>
                        </wps:spPr>
                        <wps:txbx>
                          <w:txbxContent>
                            <w:p>
                              <w:pPr>
                                <w:jc w:val="center"/>
                              </w:pPr>
                              <w:r>
                                <w:rPr>
                                  <w:rFonts w:hint="eastAsia"/>
                                </w:rPr>
                                <w:t>抢修处理</w:t>
                              </w:r>
                            </w:p>
                          </w:txbxContent>
                        </wps:txbx>
                        <wps:bodyPr upright="1"/>
                      </wps:wsp>
                      <wps:wsp>
                        <wps:cNvPr id="46" name="文本框 46"/>
                        <wps:cNvSpPr txBox="1"/>
                        <wps:spPr>
                          <a:xfrm>
                            <a:off x="9705" y="637508"/>
                            <a:ext cx="2520" cy="780"/>
                          </a:xfrm>
                          <a:prstGeom prst="rect">
                            <a:avLst/>
                          </a:prstGeom>
                          <a:noFill/>
                          <a:ln w="9525" cap="flat" cmpd="sng">
                            <a:solidFill>
                              <a:srgbClr val="000000"/>
                            </a:solidFill>
                            <a:prstDash val="solid"/>
                            <a:miter/>
                            <a:headEnd type="none" w="med" len="med"/>
                            <a:tailEnd type="none" w="med" len="med"/>
                          </a:ln>
                          <a:effectLst/>
                        </wps:spPr>
                        <wps:txbx>
                          <w:txbxContent>
                            <w:p>
                              <w:pPr>
                                <w:jc w:val="center"/>
                              </w:pPr>
                              <w:r>
                                <w:rPr>
                                  <w:rFonts w:hint="eastAsia"/>
                                </w:rPr>
                                <w:t>采用卡具处理并进行补强焊接后恢复输送</w:t>
                              </w:r>
                            </w:p>
                          </w:txbxContent>
                        </wps:txbx>
                        <wps:bodyPr upright="1"/>
                      </wps:wsp>
                      <wps:wsp>
                        <wps:cNvPr id="47" name="直接连接符 47"/>
                        <wps:cNvCnPr/>
                        <wps:spPr>
                          <a:xfrm flipH="1">
                            <a:off x="6690" y="637769"/>
                            <a:ext cx="3015" cy="0"/>
                          </a:xfrm>
                          <a:prstGeom prst="line">
                            <a:avLst/>
                          </a:prstGeom>
                          <a:ln w="9525" cap="flat" cmpd="sng">
                            <a:solidFill>
                              <a:srgbClr val="000000"/>
                            </a:solidFill>
                            <a:prstDash val="solid"/>
                            <a:headEnd type="none" w="med" len="med"/>
                            <a:tailEnd type="triangle" w="med" len="med"/>
                          </a:ln>
                          <a:effectLst/>
                        </wps:spPr>
                        <wps:bodyPr upright="1"/>
                      </wps:wsp>
                      <wps:wsp>
                        <wps:cNvPr id="48" name="文本框 48"/>
                        <wps:cNvSpPr txBox="1"/>
                        <wps:spPr>
                          <a:xfrm>
                            <a:off x="6945" y="637799"/>
                            <a:ext cx="2520" cy="468"/>
                          </a:xfrm>
                          <a:prstGeom prst="rect">
                            <a:avLst/>
                          </a:prstGeom>
                          <a:noFill/>
                          <a:ln w="9525">
                            <a:noFill/>
                          </a:ln>
                          <a:effectLst/>
                        </wps:spPr>
                        <wps:txbx>
                          <w:txbxContent>
                            <w:p>
                              <w:pPr>
                                <w:jc w:val="center"/>
                              </w:pPr>
                              <w:r>
                                <w:rPr>
                                  <w:rFonts w:hint="eastAsia"/>
                                </w:rPr>
                                <w:t>腐蚀严重</w:t>
                              </w:r>
                            </w:p>
                          </w:txbxContent>
                        </wps:txbx>
                        <wps:bodyPr upright="1"/>
                      </wps:wsp>
                      <wps:wsp>
                        <wps:cNvPr id="49" name="文本框 49"/>
                        <wps:cNvSpPr txBox="1"/>
                        <wps:spPr>
                          <a:xfrm>
                            <a:off x="7200" y="640463"/>
                            <a:ext cx="2160" cy="468"/>
                          </a:xfrm>
                          <a:prstGeom prst="rect">
                            <a:avLst/>
                          </a:prstGeom>
                          <a:noFill/>
                          <a:ln w="9525" cap="flat" cmpd="sng">
                            <a:solidFill>
                              <a:srgbClr val="000000"/>
                            </a:solidFill>
                            <a:prstDash val="solid"/>
                            <a:miter/>
                            <a:headEnd type="none" w="med" len="med"/>
                            <a:tailEnd type="none" w="med" len="med"/>
                          </a:ln>
                          <a:effectLst/>
                        </wps:spPr>
                        <wps:txbx>
                          <w:txbxContent>
                            <w:p>
                              <w:pPr>
                                <w:jc w:val="center"/>
                              </w:pPr>
                              <w:r>
                                <w:rPr>
                                  <w:rFonts w:hint="eastAsia"/>
                                </w:rPr>
                                <w:t>防腐层修复和回填</w:t>
                              </w:r>
                            </w:p>
                          </w:txbxContent>
                        </wps:txbx>
                        <wps:bodyPr upright="1"/>
                      </wps:wsp>
                      <wps:wsp>
                        <wps:cNvPr id="50" name="文本框 50"/>
                        <wps:cNvSpPr txBox="1"/>
                        <wps:spPr>
                          <a:xfrm>
                            <a:off x="7365" y="641354"/>
                            <a:ext cx="1800" cy="468"/>
                          </a:xfrm>
                          <a:prstGeom prst="rect">
                            <a:avLst/>
                          </a:prstGeom>
                          <a:noFill/>
                          <a:ln w="9525" cap="flat" cmpd="sng">
                            <a:solidFill>
                              <a:srgbClr val="000000"/>
                            </a:solidFill>
                            <a:prstDash val="solid"/>
                            <a:miter/>
                            <a:headEnd type="none" w="med" len="med"/>
                            <a:tailEnd type="none" w="med" len="med"/>
                          </a:ln>
                          <a:effectLst/>
                        </wps:spPr>
                        <wps:txbx>
                          <w:txbxContent>
                            <w:p>
                              <w:pPr>
                                <w:jc w:val="center"/>
                              </w:pPr>
                              <w:r>
                                <w:rPr>
                                  <w:rFonts w:hint="eastAsia"/>
                                </w:rPr>
                                <w:t>使用单位签收</w:t>
                              </w:r>
                            </w:p>
                          </w:txbxContent>
                        </wps:txbx>
                        <wps:bodyPr upright="1"/>
                      </wps:wsp>
                      <wps:wsp>
                        <wps:cNvPr id="51" name="直接连接符 51"/>
                        <wps:cNvCnPr/>
                        <wps:spPr>
                          <a:xfrm>
                            <a:off x="5400" y="633716"/>
                            <a:ext cx="0" cy="468"/>
                          </a:xfrm>
                          <a:prstGeom prst="line">
                            <a:avLst/>
                          </a:prstGeom>
                          <a:ln w="9525" cap="flat" cmpd="sng">
                            <a:solidFill>
                              <a:srgbClr val="000000"/>
                            </a:solidFill>
                            <a:prstDash val="solid"/>
                            <a:headEnd type="none" w="med" len="med"/>
                            <a:tailEnd type="triangle" w="med" len="med"/>
                          </a:ln>
                          <a:effectLst/>
                        </wps:spPr>
                        <wps:bodyPr upright="1"/>
                      </wps:wsp>
                      <wps:wsp>
                        <wps:cNvPr id="52" name="直接连接符 52"/>
                        <wps:cNvCnPr/>
                        <wps:spPr>
                          <a:xfrm>
                            <a:off x="10965" y="633716"/>
                            <a:ext cx="0" cy="468"/>
                          </a:xfrm>
                          <a:prstGeom prst="line">
                            <a:avLst/>
                          </a:prstGeom>
                          <a:ln w="9525" cap="flat" cmpd="sng">
                            <a:solidFill>
                              <a:srgbClr val="000000"/>
                            </a:solidFill>
                            <a:prstDash val="solid"/>
                            <a:headEnd type="none" w="med" len="med"/>
                            <a:tailEnd type="triangle" w="med" len="med"/>
                          </a:ln>
                          <a:effectLst/>
                        </wps:spPr>
                        <wps:bodyPr upright="1"/>
                      </wps:wsp>
                      <wps:wsp>
                        <wps:cNvPr id="53" name="直接连接符 53"/>
                        <wps:cNvCnPr/>
                        <wps:spPr>
                          <a:xfrm>
                            <a:off x="5400" y="634652"/>
                            <a:ext cx="0" cy="374"/>
                          </a:xfrm>
                          <a:prstGeom prst="line">
                            <a:avLst/>
                          </a:prstGeom>
                          <a:ln w="9525" cap="flat" cmpd="sng">
                            <a:solidFill>
                              <a:srgbClr val="000000"/>
                            </a:solidFill>
                            <a:prstDash val="solid"/>
                            <a:headEnd type="none" w="med" len="med"/>
                            <a:tailEnd type="triangle" w="med" len="med"/>
                          </a:ln>
                          <a:effectLst/>
                        </wps:spPr>
                        <wps:bodyPr upright="1"/>
                      </wps:wsp>
                      <wps:wsp>
                        <wps:cNvPr id="54" name="直接连接符 54"/>
                        <wps:cNvCnPr/>
                        <wps:spPr>
                          <a:xfrm>
                            <a:off x="10965" y="638288"/>
                            <a:ext cx="0" cy="1713"/>
                          </a:xfrm>
                          <a:prstGeom prst="line">
                            <a:avLst/>
                          </a:prstGeom>
                          <a:ln w="9525" cap="flat" cmpd="sng">
                            <a:solidFill>
                              <a:srgbClr val="000000"/>
                            </a:solidFill>
                            <a:prstDash val="solid"/>
                            <a:headEnd type="none" w="med" len="med"/>
                            <a:tailEnd type="triangle" w="med" len="med"/>
                          </a:ln>
                          <a:effectLst/>
                        </wps:spPr>
                        <wps:bodyPr upright="1"/>
                      </wps:wsp>
                      <wps:wsp>
                        <wps:cNvPr id="55" name="直接连接符 55"/>
                        <wps:cNvCnPr/>
                        <wps:spPr>
                          <a:xfrm>
                            <a:off x="8280" y="640001"/>
                            <a:ext cx="0" cy="468"/>
                          </a:xfrm>
                          <a:prstGeom prst="line">
                            <a:avLst/>
                          </a:prstGeom>
                          <a:ln w="9525" cap="flat" cmpd="sng">
                            <a:solidFill>
                              <a:srgbClr val="000000"/>
                            </a:solidFill>
                            <a:prstDash val="solid"/>
                            <a:headEnd type="none" w="med" len="med"/>
                            <a:tailEnd type="triangle" w="med" len="med"/>
                          </a:ln>
                          <a:effectLst/>
                        </wps:spPr>
                        <wps:bodyPr upright="1"/>
                      </wps:wsp>
                      <wps:wsp>
                        <wps:cNvPr id="56" name="直接连接符 56"/>
                        <wps:cNvCnPr/>
                        <wps:spPr>
                          <a:xfrm>
                            <a:off x="8160" y="632885"/>
                            <a:ext cx="0" cy="362"/>
                          </a:xfrm>
                          <a:prstGeom prst="line">
                            <a:avLst/>
                          </a:prstGeom>
                          <a:ln w="9525" cap="flat" cmpd="sng">
                            <a:solidFill>
                              <a:srgbClr val="000000"/>
                            </a:solidFill>
                            <a:prstDash val="solid"/>
                            <a:headEnd type="none" w="med" len="med"/>
                            <a:tailEnd type="triangle" w="med" len="med"/>
                          </a:ln>
                          <a:effectLst/>
                        </wps:spPr>
                        <wps:bodyPr upright="1"/>
                      </wps:wsp>
                      <wps:wsp>
                        <wps:cNvPr id="57" name="直接连接符 57"/>
                        <wps:cNvCnPr/>
                        <wps:spPr>
                          <a:xfrm>
                            <a:off x="5400" y="635483"/>
                            <a:ext cx="0" cy="374"/>
                          </a:xfrm>
                          <a:prstGeom prst="line">
                            <a:avLst/>
                          </a:prstGeom>
                          <a:ln w="9525" cap="flat" cmpd="sng">
                            <a:solidFill>
                              <a:srgbClr val="000000"/>
                            </a:solidFill>
                            <a:prstDash val="solid"/>
                            <a:headEnd type="none" w="med" len="med"/>
                            <a:tailEnd type="triangle" w="med" len="med"/>
                          </a:ln>
                          <a:effectLst/>
                        </wps:spPr>
                        <wps:bodyPr upright="1"/>
                      </wps:wsp>
                      <wps:wsp>
                        <wps:cNvPr id="58" name="直接连接符 58"/>
                        <wps:cNvCnPr/>
                        <wps:spPr>
                          <a:xfrm>
                            <a:off x="5400" y="636314"/>
                            <a:ext cx="0" cy="374"/>
                          </a:xfrm>
                          <a:prstGeom prst="line">
                            <a:avLst/>
                          </a:prstGeom>
                          <a:ln w="9525" cap="flat" cmpd="sng">
                            <a:solidFill>
                              <a:srgbClr val="000000"/>
                            </a:solidFill>
                            <a:prstDash val="solid"/>
                            <a:headEnd type="none" w="med" len="med"/>
                            <a:tailEnd type="triangle" w="med" len="med"/>
                          </a:ln>
                          <a:effectLst/>
                        </wps:spPr>
                        <wps:bodyPr upright="1"/>
                      </wps:wsp>
                      <wps:wsp>
                        <wps:cNvPr id="59" name="直接连接符 59"/>
                        <wps:cNvCnPr/>
                        <wps:spPr>
                          <a:xfrm>
                            <a:off x="5400" y="637130"/>
                            <a:ext cx="0" cy="374"/>
                          </a:xfrm>
                          <a:prstGeom prst="line">
                            <a:avLst/>
                          </a:prstGeom>
                          <a:ln w="9525" cap="flat" cmpd="sng">
                            <a:solidFill>
                              <a:srgbClr val="000000"/>
                            </a:solidFill>
                            <a:prstDash val="solid"/>
                            <a:headEnd type="none" w="med" len="med"/>
                            <a:tailEnd type="triangle" w="med" len="med"/>
                          </a:ln>
                          <a:effectLst/>
                        </wps:spPr>
                        <wps:bodyPr upright="1"/>
                      </wps:wsp>
                      <wps:wsp>
                        <wps:cNvPr id="60" name="直接连接符 60"/>
                        <wps:cNvCnPr/>
                        <wps:spPr>
                          <a:xfrm>
                            <a:off x="5400" y="637968"/>
                            <a:ext cx="0" cy="374"/>
                          </a:xfrm>
                          <a:prstGeom prst="line">
                            <a:avLst/>
                          </a:prstGeom>
                          <a:ln w="9525" cap="flat" cmpd="sng">
                            <a:solidFill>
                              <a:srgbClr val="000000"/>
                            </a:solidFill>
                            <a:prstDash val="solid"/>
                            <a:headEnd type="none" w="med" len="med"/>
                            <a:tailEnd type="triangle" w="med" len="med"/>
                          </a:ln>
                          <a:effectLst/>
                        </wps:spPr>
                        <wps:bodyPr upright="1"/>
                      </wps:wsp>
                      <wps:wsp>
                        <wps:cNvPr id="61" name="直接连接符 61"/>
                        <wps:cNvCnPr/>
                        <wps:spPr>
                          <a:xfrm>
                            <a:off x="10965" y="635498"/>
                            <a:ext cx="0" cy="374"/>
                          </a:xfrm>
                          <a:prstGeom prst="line">
                            <a:avLst/>
                          </a:prstGeom>
                          <a:ln w="9525" cap="flat" cmpd="sng">
                            <a:solidFill>
                              <a:srgbClr val="000000"/>
                            </a:solidFill>
                            <a:prstDash val="solid"/>
                            <a:headEnd type="none" w="med" len="med"/>
                            <a:tailEnd type="triangle" w="med" len="med"/>
                          </a:ln>
                          <a:effectLst/>
                        </wps:spPr>
                        <wps:bodyPr upright="1"/>
                      </wps:wsp>
                      <wps:wsp>
                        <wps:cNvPr id="62" name="直接连接符 62"/>
                        <wps:cNvCnPr/>
                        <wps:spPr>
                          <a:xfrm>
                            <a:off x="10965" y="636329"/>
                            <a:ext cx="0" cy="374"/>
                          </a:xfrm>
                          <a:prstGeom prst="line">
                            <a:avLst/>
                          </a:prstGeom>
                          <a:ln w="9525" cap="flat" cmpd="sng">
                            <a:solidFill>
                              <a:srgbClr val="000000"/>
                            </a:solidFill>
                            <a:prstDash val="solid"/>
                            <a:headEnd type="none" w="med" len="med"/>
                            <a:tailEnd type="triangle" w="med" len="med"/>
                          </a:ln>
                          <a:effectLst/>
                        </wps:spPr>
                        <wps:bodyPr upright="1"/>
                      </wps:wsp>
                      <wps:wsp>
                        <wps:cNvPr id="63" name="直接连接符 63"/>
                        <wps:cNvCnPr/>
                        <wps:spPr>
                          <a:xfrm>
                            <a:off x="10965" y="637160"/>
                            <a:ext cx="0" cy="374"/>
                          </a:xfrm>
                          <a:prstGeom prst="line">
                            <a:avLst/>
                          </a:prstGeom>
                          <a:ln w="9525" cap="flat" cmpd="sng">
                            <a:solidFill>
                              <a:srgbClr val="000000"/>
                            </a:solidFill>
                            <a:prstDash val="solid"/>
                            <a:headEnd type="none" w="med" len="med"/>
                            <a:tailEnd type="triangle" w="med" len="med"/>
                          </a:ln>
                          <a:effectLst/>
                        </wps:spPr>
                        <wps:bodyPr upright="1"/>
                      </wps:wsp>
                      <wps:wsp>
                        <wps:cNvPr id="64" name="直接连接符 64"/>
                        <wps:cNvCnPr/>
                        <wps:spPr>
                          <a:xfrm>
                            <a:off x="5400" y="638807"/>
                            <a:ext cx="0" cy="374"/>
                          </a:xfrm>
                          <a:prstGeom prst="line">
                            <a:avLst/>
                          </a:prstGeom>
                          <a:ln w="9525" cap="flat" cmpd="sng">
                            <a:solidFill>
                              <a:srgbClr val="000000"/>
                            </a:solidFill>
                            <a:prstDash val="solid"/>
                            <a:headEnd type="none" w="med" len="med"/>
                            <a:tailEnd type="triangle" w="med" len="med"/>
                          </a:ln>
                          <a:effectLst/>
                        </wps:spPr>
                        <wps:bodyPr upright="1"/>
                      </wps:wsp>
                      <wps:wsp>
                        <wps:cNvPr id="65" name="直接连接符 65"/>
                        <wps:cNvCnPr/>
                        <wps:spPr>
                          <a:xfrm>
                            <a:off x="5400" y="639653"/>
                            <a:ext cx="0" cy="374"/>
                          </a:xfrm>
                          <a:prstGeom prst="line">
                            <a:avLst/>
                          </a:prstGeom>
                          <a:ln w="9525" cap="flat" cmpd="sng">
                            <a:solidFill>
                              <a:srgbClr val="000000"/>
                            </a:solidFill>
                            <a:prstDash val="solid"/>
                            <a:headEnd type="none" w="med" len="med"/>
                            <a:tailEnd type="triangle" w="med" len="med"/>
                          </a:ln>
                          <a:effectLst/>
                        </wps:spPr>
                        <wps:bodyPr upright="1"/>
                      </wps:wsp>
                      <wps:wsp>
                        <wps:cNvPr id="66" name="直接连接符 66"/>
                        <wps:cNvCnPr/>
                        <wps:spPr>
                          <a:xfrm>
                            <a:off x="10965" y="634652"/>
                            <a:ext cx="0" cy="374"/>
                          </a:xfrm>
                          <a:prstGeom prst="line">
                            <a:avLst/>
                          </a:prstGeom>
                          <a:ln w="9525" cap="flat" cmpd="sng">
                            <a:solidFill>
                              <a:srgbClr val="000000"/>
                            </a:solidFill>
                            <a:prstDash val="solid"/>
                            <a:headEnd type="none" w="med" len="med"/>
                            <a:tailEnd type="triangle" w="med" len="med"/>
                          </a:ln>
                          <a:effectLst/>
                        </wps:spPr>
                        <wps:bodyPr upright="1"/>
                      </wps:wsp>
                      <wps:wsp>
                        <wps:cNvPr id="67" name="直接连接符 67"/>
                        <wps:cNvCnPr/>
                        <wps:spPr>
                          <a:xfrm>
                            <a:off x="8280" y="640922"/>
                            <a:ext cx="0" cy="468"/>
                          </a:xfrm>
                          <a:prstGeom prst="line">
                            <a:avLst/>
                          </a:prstGeom>
                          <a:ln w="9525" cap="flat" cmpd="sng">
                            <a:solidFill>
                              <a:srgbClr val="000000"/>
                            </a:solidFill>
                            <a:prstDash val="solid"/>
                            <a:headEnd type="none" w="med" len="med"/>
                            <a:tailEnd type="triangle" w="med" len="med"/>
                          </a:ln>
                          <a:effectLst/>
                        </wps:spPr>
                        <wps:bodyPr upright="1"/>
                      </wps:wsp>
                    </wpg:wgp>
                  </a:graphicData>
                </a:graphic>
              </wp:anchor>
            </w:drawing>
          </mc:Choice>
          <mc:Fallback>
            <w:pict>
              <v:group id="组合 10" o:spid="_x0000_s1026" o:spt="203" style="position:absolute;left:0pt;margin-left:15pt;margin-top:14.55pt;height:548.7pt;width:423pt;z-index:251664384;mso-width-relative:page;mso-height-relative:page;" coordorigin="3945,631616" coordsize="8460,10974" o:gfxdata="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">
                <o:lock v:ext="edit" aspectratio="f"/>
                <v:shape id="_x0000_s1026" o:spid="_x0000_s1026" o:spt="202" type="#_x0000_t202" style="position:absolute;left:5865;top:641966;height:624;width:4500;" filled="f" stroked="f" coordsize="21600,21600" o:gfxdata="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NtQ/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spacing w:line="360" w:lineRule="auto"/>
                          <w:jc w:val="center"/>
                          <w:rPr>
                            <w:sz w:val="24"/>
                          </w:rPr>
                        </w:pPr>
                        <w:r>
                          <w:rPr>
                            <w:sz w:val="24"/>
                          </w:rPr>
                          <w:t>图</w:t>
                        </w:r>
                        <w:r>
                          <w:rPr>
                            <w:rFonts w:hint="eastAsia"/>
                            <w:sz w:val="24"/>
                          </w:rPr>
                          <w:t>F2.3  氢气长输管道</w:t>
                        </w:r>
                        <w:r>
                          <w:rPr>
                            <w:sz w:val="24"/>
                          </w:rPr>
                          <w:t>抢修实施程序图</w:t>
                        </w:r>
                      </w:p>
                      <w:p/>
                    </w:txbxContent>
                  </v:textbox>
                </v:shape>
                <v:shape id="_x0000_s1026" o:spid="_x0000_s1026" o:spt="202" type="#_x0000_t202" style="position:absolute;left:7080;top:631616;height:468;width:2160;" filled="f" stroked="t" coordsize="21600,21600" o:gfxdata="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mWuO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textbox>
                    <w:txbxContent>
                      <w:p>
                        <w:pPr>
                          <w:jc w:val="center"/>
                        </w:pPr>
                        <w:r>
                          <w:rPr>
                            <w:rFonts w:hint="eastAsia"/>
                          </w:rPr>
                          <w:t>抢修队伍到达现场</w:t>
                        </w:r>
                      </w:p>
                    </w:txbxContent>
                  </v:textbox>
                </v:shape>
                <v:line id="_x0000_s1026" o:spid="_x0000_s1026" o:spt="20" style="position:absolute;left:8160;top:632084;height:362;width:0;" filled="f" stroked="t" coordsize="21600,21600" o:gfxdata="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b/n4u/&#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_x0000_s1026" o:spid="_x0000_s1026" o:spt="202" type="#_x0000_t202" style="position:absolute;left:6900;top:632417;height:468;width:2520;" filled="f" stroked="t" coordsize="21600,21600" o:gfxdata="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NvFV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textbox>
                    <w:txbxContent>
                      <w:p>
                        <w:pPr>
                          <w:jc w:val="center"/>
                        </w:pPr>
                        <w:r>
                          <w:rPr>
                            <w:rFonts w:hint="eastAsia"/>
                          </w:rPr>
                          <w:t>准确判断出事故位置</w:t>
                        </w:r>
                      </w:p>
                    </w:txbxContent>
                  </v:textbox>
                </v:shape>
                <v:shape id="_x0000_s1026" o:spid="_x0000_s1026" o:spt="110" type="#_x0000_t110" style="position:absolute;left:6630;top:633248;height:936;width:3060;" filled="f" stroked="t" coordsize="21600,21600" o:gfxdata="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nwb8S/&#10;AAAA2wAAAA8AAAAAAAAAAQAgAAAAIgAAAGRycy9kb3ducmV2LnhtbFBLAQIUABQAAAAIAIdO4kAz&#10;LwWeOwAAADkAAAAQAAAAAAAAAAEAIAAAAA4BAABkcnMvc2hhcGV4bWwueG1sUEsFBgAAAAAGAAYA&#10;WwEAALgDAAAAAA==&#10;">
                  <v:fill on="f" focussize="0,0"/>
                  <v:stroke color="#000000" joinstyle="miter"/>
                  <v:imagedata o:title=""/>
                  <o:lock v:ext="edit" aspectratio="f"/>
                  <v:textbox>
                    <w:txbxContent>
                      <w:p>
                        <w:r>
                          <w:rPr>
                            <w:rFonts w:hint="eastAsia"/>
                          </w:rPr>
                          <w:t>判断事故性质</w:t>
                        </w:r>
                      </w:p>
                    </w:txbxContent>
                  </v:textbox>
                </v:shape>
                <v:line id="_x0000_s1026" o:spid="_x0000_s1026" o:spt="20" style="position:absolute;left:5400;top:633716;height:0;width:1260;" filled="f" stroked="t" coordsize="21600,21600" o:gfxdata="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MXtyS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shape id="_x0000_s1026" o:spid="_x0000_s1026" o:spt="202" type="#_x0000_t202" style="position:absolute;left:4500;top:634184;height:468;width:1800;" filled="f" stroked="t" coordsize="21600,21600" o:gfxdata="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ORvIr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pPr>
                          <w:jc w:val="center"/>
                        </w:pPr>
                        <w:r>
                          <w:rPr>
                            <w:rFonts w:hint="eastAsia"/>
                          </w:rPr>
                          <w:t>开挖作业坑</w:t>
                        </w:r>
                      </w:p>
                    </w:txbxContent>
                  </v:textbox>
                </v:shape>
                <v:shape id="_x0000_s1026" o:spid="_x0000_s1026" o:spt="202" type="#_x0000_t202" style="position:absolute;left:4485;top:635015;height:468;width:1800;" filled="f" stroked="t" coordsize="21600,21600" o:gfxdata="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w33Vr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pPr>
                          <w:jc w:val="center"/>
                        </w:pPr>
                        <w:r>
                          <w:rPr>
                            <w:rFonts w:hint="eastAsia"/>
                          </w:rPr>
                          <w:t>确定准确漏点</w:t>
                        </w:r>
                      </w:p>
                    </w:txbxContent>
                  </v:textbox>
                </v:shape>
                <v:shape id="_x0000_s1026" o:spid="_x0000_s1026" o:spt="202" type="#_x0000_t202" style="position:absolute;left:4500;top:635846;height:468;width:1800;" filled="f" stroked="t" coordsize="21600,21600" o:gfxdata="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EFSzb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pPr>
                          <w:jc w:val="center"/>
                        </w:pPr>
                        <w:r>
                          <w:rPr>
                            <w:rFonts w:hint="eastAsia"/>
                          </w:rPr>
                          <w:t>剥离防腐层</w:t>
                        </w:r>
                      </w:p>
                    </w:txbxContent>
                  </v:textbox>
                </v:shape>
                <v:shape id="_x0000_s1026" o:spid="_x0000_s1026" o:spt="202" type="#_x0000_t202" style="position:absolute;left:3945;top:636662;height:468;width:2880;" filled="f" stroked="t" coordsize="21600,21600" o:gfxdata="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k8y6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textbox>
                    <w:txbxContent>
                      <w:p>
                        <w:pPr>
                          <w:jc w:val="center"/>
                        </w:pPr>
                        <w:r>
                          <w:rPr>
                            <w:rFonts w:hint="eastAsia"/>
                          </w:rPr>
                          <w:t>作临时抢修处理、恢复输送</w:t>
                        </w:r>
                      </w:p>
                    </w:txbxContent>
                  </v:textbox>
                </v:shape>
                <v:shape id="_x0000_s1026" o:spid="_x0000_s1026" o:spt="202" type="#_x0000_t202" style="position:absolute;left:4140;top:637508;height:468;width:2520;" filled="f" stroked="t" coordsize="21600,21600" o:gfxdata="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99pIb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pPr>
                          <w:jc w:val="center"/>
                        </w:pPr>
                        <w:r>
                          <w:rPr>
                            <w:rFonts w:hint="eastAsia"/>
                          </w:rPr>
                          <w:t>停与不停输开孔、封堵</w:t>
                        </w:r>
                      </w:p>
                    </w:txbxContent>
                  </v:textbox>
                </v:shape>
                <v:shape id="_x0000_s1026" o:spid="_x0000_s1026" o:spt="202" type="#_x0000_t202" style="position:absolute;left:4485;top:638339;height:468;width:1800;" filled="f" stroked="t" coordsize="21600,21600" o:gfxdata="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QP1T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textbox>
                    <w:txbxContent>
                      <w:p>
                        <w:pPr>
                          <w:jc w:val="center"/>
                        </w:pPr>
                        <w:r>
                          <w:rPr>
                            <w:rFonts w:hint="eastAsia"/>
                          </w:rPr>
                          <w:t>切除事故段</w:t>
                        </w:r>
                      </w:p>
                    </w:txbxContent>
                  </v:textbox>
                </v:shape>
                <v:shape id="_x0000_s1026" o:spid="_x0000_s1026" o:spt="202" type="#_x0000_t202" style="position:absolute;left:4485;top:639170;height:468;width:1800;" filled="f" stroked="t" coordsize="21600,21600" o:gfxdata="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QxYyL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pPr>
                          <w:jc w:val="center"/>
                        </w:pPr>
                        <w:r>
                          <w:rPr>
                            <w:rFonts w:hint="eastAsia"/>
                          </w:rPr>
                          <w:t>焊接新管段</w:t>
                        </w:r>
                      </w:p>
                    </w:txbxContent>
                  </v:textbox>
                </v:shape>
                <v:line id="_x0000_s1026" o:spid="_x0000_s1026" o:spt="20" style="position:absolute;left:5400;top:640001;height:0;width:5580;" filled="f" stroked="t" coordsize="21600,21600" o:gfxdata="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0j/+1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_x0000_s1026" o:spid="_x0000_s1026" o:spt="20" style="position:absolute;left:9705;top:633716;height:0;width:1260;" filled="f" stroked="t" coordsize="21600,21600" o:gfxdata="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w1ou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shape id="_x0000_s1026" o:spid="_x0000_s1026" o:spt="202" type="#_x0000_t202" style="position:absolute;left:10065;top:634184;height:468;width:1800;" filled="f" stroked="t" coordsize="21600,21600" o:gfxdata="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665xL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pPr>
                          <w:jc w:val="center"/>
                        </w:pPr>
                        <w:r>
                          <w:rPr>
                            <w:rFonts w:hint="eastAsia"/>
                          </w:rPr>
                          <w:t>开挖作业坑</w:t>
                        </w:r>
                      </w:p>
                    </w:txbxContent>
                  </v:textbox>
                </v:shape>
                <v:shape id="_x0000_s1026" o:spid="_x0000_s1026" o:spt="202" type="#_x0000_t202" style="position:absolute;left:10065;top:635030;height:468;width:1800;" filled="f" stroked="t" coordsize="21600,21600" o:gfxdata="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OIcX7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pPr>
                          <w:jc w:val="center"/>
                        </w:pPr>
                        <w:r>
                          <w:rPr>
                            <w:rFonts w:hint="eastAsia"/>
                          </w:rPr>
                          <w:t>确定准确漏点</w:t>
                        </w:r>
                      </w:p>
                    </w:txbxContent>
                  </v:textbox>
                </v:shape>
                <v:shape id="_x0000_s1026" o:spid="_x0000_s1026" o:spt="202" type="#_x0000_t202" style="position:absolute;left:10065;top:635861;height:468;width:1800;" filled="f" stroked="t" coordsize="21600,21600" o:gfxdata="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wuEK7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pPr>
                          <w:jc w:val="center"/>
                        </w:pPr>
                        <w:r>
                          <w:rPr>
                            <w:rFonts w:hint="eastAsia"/>
                          </w:rPr>
                          <w:t>剥离防腐层</w:t>
                        </w:r>
                      </w:p>
                    </w:txbxContent>
                  </v:textbox>
                </v:shape>
                <v:shape id="_x0000_s1026" o:spid="_x0000_s1026" o:spt="202" type="#_x0000_t202" style="position:absolute;left:9525;top:636662;height:468;width:2880;" filled="f" stroked="t" coordsize="21600,21600" o:gfxdata="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chsL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pPr>
                          <w:jc w:val="center"/>
                        </w:pPr>
                        <w:r>
                          <w:rPr>
                            <w:rFonts w:hint="eastAsia"/>
                          </w:rPr>
                          <w:t>抢修处理</w:t>
                        </w:r>
                      </w:p>
                    </w:txbxContent>
                  </v:textbox>
                </v:shape>
                <v:shape id="_x0000_s1026" o:spid="_x0000_s1026" o:spt="202" type="#_x0000_t202" style="position:absolute;left:9705;top:637508;height:780;width:2520;" filled="f" stroked="t" coordsize="21600,21600" o:gfxdata="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JW/x7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pPr>
                          <w:jc w:val="center"/>
                        </w:pPr>
                        <w:r>
                          <w:rPr>
                            <w:rFonts w:hint="eastAsia"/>
                          </w:rPr>
                          <w:t>采用卡具处理并进行补强焊接后恢复输送</w:t>
                        </w:r>
                      </w:p>
                    </w:txbxContent>
                  </v:textbox>
                </v:shape>
                <v:line id="_x0000_s1026" o:spid="_x0000_s1026" o:spt="20" style="position:absolute;left:6690;top:637769;flip:x;height:0;width:3015;" filled="f" stroked="t" coordsize="21600,21600" o:gfxdata="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8obR6/&#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_x0000_s1026" o:spid="_x0000_s1026" o:spt="202" type="#_x0000_t202" style="position:absolute;left:6945;top:637799;height:468;width:2520;" filled="f" stroked="f" coordsize="21600,21600" o:gfxdata="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nal7b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pPr>
                          <w:jc w:val="center"/>
                        </w:pPr>
                        <w:r>
                          <w:rPr>
                            <w:rFonts w:hint="eastAsia"/>
                          </w:rPr>
                          <w:t>腐蚀严重</w:t>
                        </w:r>
                      </w:p>
                    </w:txbxContent>
                  </v:textbox>
                </v:shape>
                <v:shape id="_x0000_s1026" o:spid="_x0000_s1026" o:spt="202" type="#_x0000_t202" style="position:absolute;left:7200;top:640463;height:468;width:2160;" filled="f" stroked="t" coordsize="21600,21600" o:gfxdata="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Qortb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pPr>
                          <w:jc w:val="center"/>
                        </w:pPr>
                        <w:r>
                          <w:rPr>
                            <w:rFonts w:hint="eastAsia"/>
                          </w:rPr>
                          <w:t>防腐层修复和回填</w:t>
                        </w:r>
                      </w:p>
                    </w:txbxContent>
                  </v:textbox>
                </v:shape>
                <v:shape id="_x0000_s1026" o:spid="_x0000_s1026" o:spt="202" type="#_x0000_t202" style="position:absolute;left:7365;top:641354;height:468;width:1800;" filled="f" stroked="t" coordsize="21600,21600" o:gfxdata="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ekU9b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pPr>
                          <w:jc w:val="center"/>
                        </w:pPr>
                        <w:r>
                          <w:rPr>
                            <w:rFonts w:hint="eastAsia"/>
                          </w:rPr>
                          <w:t>使用单位签收</w:t>
                        </w:r>
                      </w:p>
                    </w:txbxContent>
                  </v:textbox>
                </v:shape>
                <v:line id="_x0000_s1026" o:spid="_x0000_s1026" o:spt="20" style="position:absolute;left:5400;top:633716;height:468;width:0;" filled="f" stroked="t" coordsize="21600,21600" o:gfxdata="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I/g8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_x0000_s1026" o:spid="_x0000_s1026" o:spt="20" style="position:absolute;left:10965;top:633716;height:468;width:0;" filled="f" stroked="t" coordsize="21600,21600" o:gfxdata="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Bdfoe/&#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5400;top:634652;height:374;width: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10965;top:638288;height:1713;width:0;" filled="f" stroked="t" coordsize="21600,21600" o:gfxdata="UEsDBAoAAAAAAIdO4kAAAAAAAAAAAAAAAAAEAAAAZHJzL1BLAwQUAAAACACHTuJAgPhDaL8AAADb&#10;AAAADwAAAGRycy9kb3ducmV2LnhtbEWPT2vCQBTE7wW/w/KE3uom0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D4Q2i/&#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8280;top:640001;height:468;width: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_x0000_s1026" o:spid="_x0000_s1026" o:spt="20" style="position:absolute;left:8160;top:632885;height:362;width:0;" filled="f" stroked="t" coordsize="21600,21600" o:gfxdata="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9meIS/&#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5400;top:635483;height:374;width: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5400;top:636314;height:374;width:0;" filled="f" stroked="t" coordsize="21600,21600" o:gfxdata="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bVJbb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_x0000_s1026" o:spid="_x0000_s1026" o:spt="20" style="position:absolute;left:5400;top:637130;height:374;width:0;" filled="f" stroked="t" coordsize="21600,21600" o:gfxdata="UEsDBAoAAAAAAIdO4kAAAAAAAAAAAAAAAAAEAAAAZHJzL1BLAwQUAAAACACHTuJAbvns9r8AAADb&#10;AAAADwAAAGRycy9kb3ducmV2LnhtbEWPT2vCQBTE7wW/w/KE3uomQkuM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757Pa/&#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5400;top:637968;height:374;width:0;" filled="f" stroked="t" coordsize="21600,21600" o:gfxdata="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a+P1r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_x0000_s1026" o:spid="_x0000_s1026" o:spt="20" style="position:absolute;left:10965;top:635498;height:374;width:0;" filled="f" stroked="t" coordsize="21600,21600" o:gfxdata="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4ypN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_x0000_s1026" o:spid="_x0000_s1026" o:spt="20" style="position:absolute;left:10965;top:636329;height:374;width:0;" filled="f" stroked="t" coordsize="21600,21600" o:gfxdata="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jG0Or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_x0000_s1026" o:spid="_x0000_s1026" o:spt="20" style="position:absolute;left:10965;top:637160;height:374;width:0;" filled="f" stroked="t" coordsize="21600,21600" o:gfxdata="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F9EaG/&#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5400;top:638807;height:374;width:0;" filled="f" stroked="t" coordsize="21600,21600" o:gfxdata="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6UidW/&#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5400;top:639653;height:374;width:0;" filled="f" stroked="t" coordsize="21600,21600" o:gfxdata="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HYLE6/&#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10965;top:634652;height:374;width:0;" filled="f" stroked="t" coordsize="21600,21600" o:gfxdata="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EKsjm/&#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8280;top:640922;height:468;width:0;" filled="f" stroked="t" coordsize="21600,21600" o:gfxdata="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kYXor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group>
            </w:pict>
          </mc:Fallback>
        </mc:AlternateContent>
      </w: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r>
        <w:rPr>
          <w:rFonts w:hint="eastAsia"/>
          <w:sz w:val="28"/>
          <w:szCs w:val="28"/>
        </w:rPr>
        <w:t>11、</w:t>
      </w:r>
      <w:r>
        <w:rPr>
          <w:sz w:val="28"/>
          <w:szCs w:val="28"/>
        </w:rPr>
        <w:t>应急抢险的其他工作</w:t>
      </w:r>
    </w:p>
    <w:p>
      <w:pPr>
        <w:spacing w:line="360" w:lineRule="auto"/>
        <w:ind w:firstLine="560" w:firstLineChars="200"/>
        <w:rPr>
          <w:sz w:val="28"/>
          <w:szCs w:val="28"/>
        </w:rPr>
      </w:pPr>
      <w:r>
        <w:rPr>
          <w:rFonts w:hint="eastAsia" w:ascii="宋体" w:hAnsi="宋体"/>
          <w:sz w:val="28"/>
          <w:szCs w:val="28"/>
        </w:rPr>
        <w:t>①</w:t>
      </w:r>
      <w:r>
        <w:rPr>
          <w:sz w:val="28"/>
          <w:szCs w:val="28"/>
        </w:rPr>
        <w:t>严格保护事故现场，采取拍照、摄像、绘图、采样等方法记录事故现场原貌，妥善保护事故现场物证。</w:t>
      </w:r>
    </w:p>
    <w:p>
      <w:pPr>
        <w:spacing w:line="360" w:lineRule="auto"/>
        <w:ind w:firstLine="560" w:firstLineChars="200"/>
        <w:rPr>
          <w:sz w:val="28"/>
          <w:szCs w:val="28"/>
        </w:rPr>
      </w:pPr>
      <w:r>
        <w:rPr>
          <w:rFonts w:hint="eastAsia" w:ascii="宋体" w:hAnsi="宋体"/>
          <w:sz w:val="28"/>
          <w:szCs w:val="28"/>
        </w:rPr>
        <w:t>②</w:t>
      </w:r>
      <w:r>
        <w:rPr>
          <w:sz w:val="28"/>
          <w:szCs w:val="28"/>
        </w:rPr>
        <w:t>抢险人员应佩带职责标志；抢险现场应根据</w:t>
      </w:r>
      <w:r>
        <w:rPr>
          <w:rFonts w:hint="eastAsia"/>
          <w:sz w:val="28"/>
          <w:szCs w:val="28"/>
        </w:rPr>
        <w:t>天然气</w:t>
      </w:r>
      <w:r>
        <w:rPr>
          <w:sz w:val="28"/>
          <w:szCs w:val="28"/>
        </w:rPr>
        <w:t>泄漏程度确定警戒区并设立警示标志，并随时监测周围环境的</w:t>
      </w:r>
      <w:r>
        <w:rPr>
          <w:rFonts w:hint="eastAsia"/>
          <w:sz w:val="28"/>
          <w:szCs w:val="28"/>
        </w:rPr>
        <w:t>天然气</w:t>
      </w:r>
      <w:r>
        <w:rPr>
          <w:sz w:val="28"/>
          <w:szCs w:val="28"/>
        </w:rPr>
        <w:t>浓度，无关人员不应入内；在警戒区内应交通管制。</w:t>
      </w:r>
    </w:p>
    <w:p>
      <w:pPr>
        <w:spacing w:line="360" w:lineRule="auto"/>
        <w:ind w:firstLine="560" w:firstLineChars="200"/>
        <w:rPr>
          <w:sz w:val="28"/>
          <w:szCs w:val="28"/>
        </w:rPr>
      </w:pPr>
      <w:r>
        <w:rPr>
          <w:rFonts w:hint="eastAsia" w:ascii="宋体" w:hAnsi="宋体"/>
          <w:sz w:val="28"/>
          <w:szCs w:val="28"/>
        </w:rPr>
        <w:t>③</w:t>
      </w:r>
      <w:r>
        <w:rPr>
          <w:sz w:val="28"/>
          <w:szCs w:val="28"/>
        </w:rPr>
        <w:t>操作人员进入警戒区前应按规定穿戴防静电服、鞋及防护用具，并严禁在作业区内穿脱和摘戴。作业现场应有专人监护，不应单独操作。</w:t>
      </w:r>
    </w:p>
    <w:p>
      <w:pPr>
        <w:spacing w:line="360" w:lineRule="auto"/>
        <w:ind w:firstLine="560" w:firstLineChars="200"/>
        <w:rPr>
          <w:sz w:val="28"/>
          <w:szCs w:val="28"/>
        </w:rPr>
      </w:pPr>
      <w:r>
        <w:rPr>
          <w:rFonts w:hint="eastAsia" w:ascii="宋体" w:hAnsi="宋体"/>
          <w:sz w:val="28"/>
          <w:szCs w:val="28"/>
        </w:rPr>
        <w:t>④</w:t>
      </w:r>
      <w:r>
        <w:rPr>
          <w:sz w:val="28"/>
          <w:szCs w:val="28"/>
        </w:rPr>
        <w:t>警戒区内应无烟火；不得使用手机等通信工具及非防爆型的机电设备及仪器、仪表等；夜间抢险现场照明须采用安全照明灯。所有车辆必须佩带防火帽，除抢险车辆外其他车辆一律不许进入现场。</w:t>
      </w:r>
    </w:p>
    <w:p>
      <w:pPr>
        <w:spacing w:line="360" w:lineRule="auto"/>
        <w:ind w:firstLine="560" w:firstLineChars="200"/>
        <w:rPr>
          <w:sz w:val="28"/>
          <w:szCs w:val="28"/>
        </w:rPr>
      </w:pPr>
      <w:r>
        <w:rPr>
          <w:rFonts w:hint="eastAsia" w:ascii="宋体" w:hAnsi="宋体"/>
          <w:sz w:val="28"/>
          <w:szCs w:val="28"/>
        </w:rPr>
        <w:t>⑤</w:t>
      </w:r>
      <w:r>
        <w:rPr>
          <w:sz w:val="28"/>
          <w:szCs w:val="28"/>
        </w:rPr>
        <w:t>应对作业点进行检测。当</w:t>
      </w:r>
      <w:r>
        <w:rPr>
          <w:rFonts w:hint="eastAsia"/>
          <w:sz w:val="28"/>
          <w:szCs w:val="28"/>
        </w:rPr>
        <w:t>天然气</w:t>
      </w:r>
      <w:r>
        <w:rPr>
          <w:sz w:val="28"/>
          <w:szCs w:val="28"/>
        </w:rPr>
        <w:t>浓度在爆炸极限范围以内时，应强制通风，降低浓度后方可作业。作业现场应保证人员疏散通道及消防通道畅通，灭火器材到位，并且有专人负责。</w:t>
      </w:r>
    </w:p>
    <w:p>
      <w:pPr>
        <w:spacing w:line="360" w:lineRule="auto"/>
        <w:ind w:firstLine="560" w:firstLineChars="200"/>
        <w:rPr>
          <w:sz w:val="28"/>
          <w:szCs w:val="28"/>
        </w:rPr>
      </w:pPr>
      <w:r>
        <w:rPr>
          <w:rFonts w:hint="eastAsia" w:ascii="宋体" w:hAnsi="宋体"/>
          <w:sz w:val="28"/>
          <w:szCs w:val="28"/>
        </w:rPr>
        <w:t>⑥</w:t>
      </w:r>
      <w:r>
        <w:rPr>
          <w:sz w:val="28"/>
          <w:szCs w:val="28"/>
        </w:rPr>
        <w:t>开挖时须派专人密切关注地下管网情况，防止机械开挖时破坏管线和其他管线、电缆等。</w:t>
      </w:r>
    </w:p>
    <w:p>
      <w:pPr>
        <w:pStyle w:val="2"/>
        <w:spacing w:line="360" w:lineRule="auto"/>
        <w:rPr>
          <w:rFonts w:ascii="宋体" w:hAnsi="宋体" w:eastAsia="宋体"/>
          <w:b w:val="0"/>
          <w:bCs w:val="0"/>
        </w:rPr>
      </w:pPr>
      <w:bookmarkStart w:id="191" w:name="_Toc2813"/>
      <w:bookmarkStart w:id="192" w:name="_Toc16181"/>
      <w:r>
        <w:rPr>
          <w:rFonts w:hint="eastAsia" w:ascii="宋体" w:hAnsi="宋体" w:eastAsia="宋体"/>
          <w:b w:val="0"/>
          <w:bCs w:val="0"/>
        </w:rPr>
        <w:t>F</w:t>
      </w:r>
      <w:r>
        <w:rPr>
          <w:rFonts w:hint="eastAsia" w:ascii="宋体" w:hAnsi="宋体" w:eastAsia="宋体"/>
          <w:b w:val="0"/>
          <w:bCs w:val="0"/>
          <w:lang w:val="en-US" w:eastAsia="zh-CN"/>
        </w:rPr>
        <w:t>2</w:t>
      </w:r>
      <w:r>
        <w:rPr>
          <w:rFonts w:hint="eastAsia" w:ascii="宋体" w:hAnsi="宋体" w:eastAsia="宋体"/>
          <w:b w:val="0"/>
          <w:bCs w:val="0"/>
        </w:rPr>
        <w:t>.4机械伤害事故</w:t>
      </w:r>
      <w:bookmarkEnd w:id="191"/>
      <w:bookmarkEnd w:id="192"/>
    </w:p>
    <w:p>
      <w:pPr>
        <w:pStyle w:val="19"/>
        <w:shd w:val="clear" w:color="auto" w:fill="FFFFFF"/>
        <w:spacing w:before="0" w:beforeAutospacing="0" w:after="0" w:afterAutospacing="0"/>
        <w:ind w:firstLine="560" w:firstLineChars="200"/>
        <w:rPr>
          <w:sz w:val="28"/>
          <w:szCs w:val="28"/>
        </w:rPr>
      </w:pPr>
      <w:r>
        <w:rPr>
          <w:rFonts w:hint="eastAsia"/>
          <w:sz w:val="28"/>
          <w:szCs w:val="28"/>
        </w:rPr>
        <w:t>1、接到事故报警后，立即组织应急救援小组至事故现场。</w:t>
      </w:r>
    </w:p>
    <w:p>
      <w:pPr>
        <w:pStyle w:val="19"/>
        <w:shd w:val="clear" w:color="auto" w:fill="FFFFFF"/>
        <w:spacing w:before="0" w:beforeAutospacing="0" w:after="0" w:afterAutospacing="0"/>
        <w:ind w:firstLine="560" w:firstLineChars="200"/>
        <w:rPr>
          <w:sz w:val="28"/>
          <w:szCs w:val="28"/>
        </w:rPr>
      </w:pPr>
      <w:r>
        <w:rPr>
          <w:rFonts w:hint="eastAsia"/>
          <w:sz w:val="28"/>
          <w:szCs w:val="28"/>
        </w:rPr>
        <w:t>2、必须立即停止运转的机械、切断设备动力。</w:t>
      </w:r>
    </w:p>
    <w:p>
      <w:pPr>
        <w:spacing w:line="360" w:lineRule="auto"/>
        <w:ind w:firstLine="560" w:firstLineChars="200"/>
        <w:rPr>
          <w:sz w:val="28"/>
          <w:szCs w:val="28"/>
        </w:rPr>
      </w:pPr>
      <w:r>
        <w:rPr>
          <w:rFonts w:hint="eastAsia"/>
          <w:sz w:val="28"/>
          <w:szCs w:val="28"/>
        </w:rPr>
        <w:t>3、疏散无关人员，防止火灾爆炸等其他事故的发生。</w:t>
      </w:r>
    </w:p>
    <w:p>
      <w:pPr>
        <w:spacing w:line="360" w:lineRule="auto"/>
        <w:ind w:firstLine="560" w:firstLineChars="200"/>
        <w:rPr>
          <w:sz w:val="28"/>
          <w:szCs w:val="28"/>
        </w:rPr>
      </w:pPr>
      <w:r>
        <w:rPr>
          <w:rFonts w:hint="eastAsia"/>
          <w:sz w:val="28"/>
          <w:szCs w:val="28"/>
        </w:rPr>
        <w:t>4、设立警戒线，保护事故现场。</w:t>
      </w:r>
    </w:p>
    <w:p>
      <w:pPr>
        <w:pStyle w:val="19"/>
        <w:shd w:val="clear" w:color="auto" w:fill="FFFFFF"/>
        <w:spacing w:before="0" w:beforeAutospacing="0" w:after="0" w:afterAutospacing="0"/>
        <w:ind w:firstLine="560" w:firstLineChars="200"/>
        <w:rPr>
          <w:sz w:val="28"/>
          <w:szCs w:val="28"/>
        </w:rPr>
      </w:pPr>
      <w:r>
        <w:rPr>
          <w:rFonts w:hint="eastAsia"/>
          <w:sz w:val="28"/>
          <w:szCs w:val="28"/>
        </w:rPr>
        <w:t>5、通知医疗救护人员紧急救护。如人员重伤，应立即打“120”等社会急救电话。报警时，应注意说明受伤者的受伤部位和受伤情况，发生事件的区域或场所，以便让救护人员事先做好急救的准备。</w:t>
      </w:r>
    </w:p>
    <w:p>
      <w:pPr>
        <w:pStyle w:val="19"/>
        <w:widowControl w:val="0"/>
        <w:shd w:val="clear" w:color="auto" w:fill="FFFFFF"/>
        <w:spacing w:before="0" w:beforeAutospacing="0" w:after="0" w:afterAutospacing="0" w:line="360" w:lineRule="auto"/>
        <w:ind w:firstLine="560" w:firstLineChars="200"/>
        <w:rPr>
          <w:sz w:val="28"/>
          <w:szCs w:val="28"/>
        </w:rPr>
      </w:pPr>
      <w:r>
        <w:rPr>
          <w:rFonts w:hint="eastAsia"/>
          <w:sz w:val="28"/>
          <w:szCs w:val="28"/>
        </w:rPr>
        <w:t>6、由医疗救人员进行现场包扎、止血等措施，防止受伤人员流血过多造成死亡事故发生。创伤出血者迅速包扎止血，轻伤者送往医院救治，重伤者应等待120到场处理后送医。</w:t>
      </w:r>
    </w:p>
    <w:p>
      <w:pPr>
        <w:pStyle w:val="19"/>
        <w:widowControl w:val="0"/>
        <w:shd w:val="clear" w:color="auto" w:fill="FFFFFF"/>
        <w:spacing w:before="0" w:beforeAutospacing="0" w:after="0" w:afterAutospacing="0" w:line="360" w:lineRule="auto"/>
        <w:ind w:firstLine="560" w:firstLineChars="200"/>
        <w:rPr>
          <w:sz w:val="28"/>
          <w:szCs w:val="28"/>
        </w:rPr>
      </w:pPr>
      <w:r>
        <w:rPr>
          <w:rFonts w:hint="eastAsia"/>
          <w:sz w:val="28"/>
          <w:szCs w:val="28"/>
        </w:rPr>
        <w:t>7、发生断手、断指等严重情况时，对伤者伤口要进行包扎止血、止痛、进行半握拳状的功能固定。对断手、断指应用消毒或清洁敷料包好，忌将断指浸入酒精等消毒液中，以防细胞变质。将包好的断手、断指放在无泄漏的塑料袋内，扎紧好袋口，在袋周围放在冰块，或用冰棍代替，速随伤者送医院抢救。</w:t>
      </w:r>
    </w:p>
    <w:p>
      <w:pPr>
        <w:pStyle w:val="19"/>
        <w:widowControl w:val="0"/>
        <w:shd w:val="clear" w:color="auto" w:fill="FFFFFF"/>
        <w:spacing w:before="0" w:beforeAutospacing="0" w:after="0" w:afterAutospacing="0" w:line="360" w:lineRule="auto"/>
        <w:ind w:firstLine="560" w:firstLineChars="200"/>
        <w:rPr>
          <w:sz w:val="28"/>
          <w:szCs w:val="28"/>
        </w:rPr>
      </w:pPr>
      <w:r>
        <w:rPr>
          <w:rFonts w:hint="eastAsia"/>
          <w:sz w:val="28"/>
          <w:szCs w:val="28"/>
        </w:rPr>
        <w:t>8、肢体卷入设备内，必须立即切断电源，如果肢体仍被卡在设备内，不可用倒转设备的方法取出肢体，妥善的方法是拆除设备部件，无法拆除时拨打当地119请求社会救援。</w:t>
      </w:r>
    </w:p>
    <w:p>
      <w:pPr>
        <w:pStyle w:val="19"/>
        <w:widowControl w:val="0"/>
        <w:shd w:val="clear" w:color="auto" w:fill="FFFFFF"/>
        <w:spacing w:before="0" w:beforeAutospacing="0" w:after="0" w:afterAutospacing="0" w:line="360" w:lineRule="auto"/>
        <w:ind w:firstLine="560" w:firstLineChars="200"/>
        <w:rPr>
          <w:sz w:val="28"/>
          <w:szCs w:val="28"/>
        </w:rPr>
      </w:pPr>
      <w:r>
        <w:rPr>
          <w:rFonts w:hint="eastAsia"/>
          <w:sz w:val="28"/>
          <w:szCs w:val="28"/>
        </w:rPr>
        <w:t>9、发生头皮撕裂伤可采取以下急救措施：及时对伤者进行抢救，采取止痛及其他对症措施；用生理盐水冲洗有伤部位，涂红汞后用消毒大纱布块、消毒棉花紧紧包扎，压迫止血；使用抗菌素，注射抗破伤风血清，预防伤口感染；送医院进一步治疗。</w:t>
      </w:r>
      <w:r>
        <w:rPr>
          <w:sz w:val="28"/>
          <w:szCs w:val="28"/>
        </w:rPr>
        <w:t> </w:t>
      </w:r>
    </w:p>
    <w:p>
      <w:pPr>
        <w:pStyle w:val="19"/>
        <w:widowControl w:val="0"/>
        <w:shd w:val="clear" w:color="auto" w:fill="FFFFFF"/>
        <w:spacing w:before="0" w:beforeAutospacing="0" w:after="0" w:afterAutospacing="0" w:line="360" w:lineRule="auto"/>
        <w:ind w:firstLine="560" w:firstLineChars="200"/>
        <w:rPr>
          <w:sz w:val="28"/>
          <w:szCs w:val="28"/>
        </w:rPr>
      </w:pPr>
      <w:r>
        <w:rPr>
          <w:rFonts w:hint="eastAsia"/>
          <w:sz w:val="28"/>
          <w:szCs w:val="28"/>
        </w:rPr>
        <w:t>10、受伤人员出现肢体骨折时，应尽量保持受伤的体位，由现场医务人员对伤肢进行固定，并在其指导下采用正确的方式进行抬运，防止因救助方法不当导致伤情进一步加重。</w:t>
      </w:r>
    </w:p>
    <w:p>
      <w:pPr>
        <w:pStyle w:val="19"/>
        <w:widowControl w:val="0"/>
        <w:shd w:val="clear" w:color="auto" w:fill="FFFFFF"/>
        <w:spacing w:before="0" w:beforeAutospacing="0" w:after="0" w:afterAutospacing="0" w:line="360" w:lineRule="auto"/>
        <w:ind w:firstLine="560" w:firstLineChars="200"/>
        <w:rPr>
          <w:sz w:val="28"/>
          <w:szCs w:val="28"/>
        </w:rPr>
      </w:pPr>
      <w:r>
        <w:rPr>
          <w:rFonts w:hint="eastAsia"/>
          <w:sz w:val="28"/>
          <w:szCs w:val="28"/>
        </w:rPr>
        <w:t>11、受伤人员出现呼吸、心跳停止症状后，必须立即进行心脏按压或人工呼吸。</w:t>
      </w:r>
      <w:r>
        <w:rPr>
          <w:sz w:val="28"/>
          <w:szCs w:val="28"/>
        </w:rPr>
        <w:t> </w:t>
      </w:r>
    </w:p>
    <w:p>
      <w:pPr>
        <w:pStyle w:val="19"/>
        <w:shd w:val="clear" w:color="auto" w:fill="FFFFFF"/>
        <w:spacing w:before="0" w:beforeAutospacing="0" w:after="0" w:afterAutospacing="0"/>
        <w:ind w:firstLine="560" w:firstLineChars="200"/>
        <w:rPr>
          <w:sz w:val="28"/>
          <w:szCs w:val="28"/>
        </w:rPr>
      </w:pPr>
      <w:r>
        <w:rPr>
          <w:rFonts w:hint="eastAsia"/>
          <w:sz w:val="28"/>
          <w:szCs w:val="28"/>
        </w:rPr>
        <w:t>12、在做好事故紧急救助的同时，应注意保护事故现场，对相关信息和证据进行收集和整理，做好事故调查的准备工作。</w:t>
      </w:r>
    </w:p>
    <w:p>
      <w:pPr>
        <w:pStyle w:val="2"/>
        <w:spacing w:line="360" w:lineRule="auto"/>
        <w:rPr>
          <w:rFonts w:ascii="宋体" w:hAnsi="宋体" w:eastAsia="宋体"/>
          <w:b w:val="0"/>
          <w:bCs w:val="0"/>
        </w:rPr>
      </w:pPr>
      <w:bookmarkStart w:id="193" w:name="_Toc3091"/>
      <w:r>
        <w:rPr>
          <w:rFonts w:hint="eastAsia" w:ascii="宋体" w:hAnsi="宋体" w:eastAsia="宋体"/>
          <w:b w:val="0"/>
          <w:bCs w:val="0"/>
        </w:rPr>
        <w:t>F</w:t>
      </w:r>
      <w:r>
        <w:rPr>
          <w:rFonts w:hint="eastAsia" w:ascii="宋体" w:hAnsi="宋体" w:eastAsia="宋体"/>
          <w:b w:val="0"/>
          <w:bCs w:val="0"/>
          <w:lang w:val="en-US" w:eastAsia="zh-CN"/>
        </w:rPr>
        <w:t>2</w:t>
      </w:r>
      <w:r>
        <w:rPr>
          <w:rFonts w:hint="eastAsia" w:ascii="宋体" w:hAnsi="宋体" w:eastAsia="宋体"/>
          <w:b w:val="0"/>
          <w:bCs w:val="0"/>
        </w:rPr>
        <w:t>.5物体打击事故</w:t>
      </w:r>
      <w:bookmarkEnd w:id="193"/>
    </w:p>
    <w:p>
      <w:pPr>
        <w:pStyle w:val="19"/>
        <w:shd w:val="clear" w:color="auto" w:fill="FFFFFF"/>
        <w:spacing w:before="0" w:beforeAutospacing="0" w:after="0" w:afterAutospacing="0"/>
        <w:ind w:firstLine="560" w:firstLineChars="200"/>
        <w:rPr>
          <w:sz w:val="28"/>
          <w:szCs w:val="28"/>
        </w:rPr>
      </w:pPr>
      <w:r>
        <w:rPr>
          <w:rFonts w:hint="eastAsia"/>
          <w:sz w:val="28"/>
          <w:szCs w:val="28"/>
        </w:rPr>
        <w:t>1、接到事故报警后，立即组织应急救援小组至事故现场。</w:t>
      </w:r>
    </w:p>
    <w:p>
      <w:pPr>
        <w:pStyle w:val="19"/>
        <w:shd w:val="clear" w:color="auto" w:fill="FFFFFF"/>
        <w:spacing w:before="0" w:beforeAutospacing="0" w:after="0" w:afterAutospacing="0"/>
        <w:ind w:firstLine="560" w:firstLineChars="200"/>
        <w:rPr>
          <w:sz w:val="28"/>
          <w:szCs w:val="28"/>
        </w:rPr>
      </w:pPr>
      <w:r>
        <w:rPr>
          <w:rFonts w:hint="eastAsia"/>
          <w:sz w:val="28"/>
          <w:szCs w:val="28"/>
        </w:rPr>
        <w:t>2、疏散无关人员，设立警戒线，保护事故现场。</w:t>
      </w:r>
    </w:p>
    <w:p>
      <w:pPr>
        <w:spacing w:line="360" w:lineRule="auto"/>
        <w:ind w:firstLine="560" w:firstLineChars="200"/>
        <w:rPr>
          <w:sz w:val="28"/>
          <w:szCs w:val="28"/>
        </w:rPr>
      </w:pPr>
      <w:r>
        <w:rPr>
          <w:rFonts w:hint="eastAsia"/>
          <w:sz w:val="28"/>
          <w:szCs w:val="28"/>
        </w:rPr>
        <w:t>3、通知医疗救护人员紧急救护。如人员重伤，应立即打“120”等社会急救电话。报警时，应注意说明受伤者的受伤部位和受伤情况，发生事件的区域或场所，以便让救护人员事先做好急救的准备。</w:t>
      </w:r>
    </w:p>
    <w:p>
      <w:pPr>
        <w:spacing w:line="360" w:lineRule="auto"/>
        <w:ind w:firstLine="560" w:firstLineChars="200"/>
        <w:rPr>
          <w:sz w:val="28"/>
          <w:szCs w:val="28"/>
        </w:rPr>
      </w:pPr>
      <w:r>
        <w:rPr>
          <w:rFonts w:hint="eastAsia"/>
          <w:sz w:val="28"/>
          <w:szCs w:val="28"/>
        </w:rPr>
        <w:t>4、对于较浅的伤口，可用干净衣物或纱布爆炸止血，动脉创伤出血，还应在出血位置的上方动脉搏动处用手指压迫或用止血胶管（或布带）在伤口近心端进行绑扎。</w:t>
      </w:r>
    </w:p>
    <w:p>
      <w:pPr>
        <w:pStyle w:val="19"/>
        <w:shd w:val="clear" w:color="auto" w:fill="FFFFFF"/>
        <w:spacing w:before="0" w:beforeAutospacing="0" w:after="0" w:afterAutospacing="0"/>
        <w:ind w:firstLine="560" w:firstLineChars="200"/>
        <w:rPr>
          <w:sz w:val="28"/>
          <w:szCs w:val="28"/>
        </w:rPr>
      </w:pPr>
      <w:r>
        <w:rPr>
          <w:rFonts w:hint="eastAsia"/>
          <w:sz w:val="28"/>
          <w:szCs w:val="28"/>
        </w:rPr>
        <w:t>5、较深创伤大出血，在现场做好应急止血加压包扎后，应立即准备救护车，送往医院进行救治，在止血的同时，还应密切注视伤员的神志、脉搏、呼吸等体征情况。</w:t>
      </w:r>
    </w:p>
    <w:p>
      <w:pPr>
        <w:spacing w:line="360" w:lineRule="auto"/>
        <w:ind w:firstLine="560" w:firstLineChars="200"/>
        <w:rPr>
          <w:sz w:val="28"/>
          <w:szCs w:val="28"/>
        </w:rPr>
      </w:pPr>
      <w:r>
        <w:rPr>
          <w:rFonts w:hint="eastAsia"/>
          <w:sz w:val="28"/>
          <w:szCs w:val="28"/>
        </w:rPr>
        <w:t>6、对怀疑或确认有骨折的人员，应询问其自我感觉情况及疼痛部位；对于昏迷者，要注意观察其体位有无改变，切勿随意搬动伤员。应先在骨折部位用木板条或竹板片于骨折位置的上下关节处做临时固定，使断端不再移位或刺伤肌肉、神经或血管，然后呼叫120等待救援。如有骨折断端外露在皮肤外的，用干净的纱布覆盖好伤口，固定好骨折上下关节部位，然后呼叫120等待救援。</w:t>
      </w:r>
    </w:p>
    <w:p>
      <w:pPr>
        <w:spacing w:line="360" w:lineRule="auto"/>
        <w:ind w:firstLine="560" w:firstLineChars="200"/>
        <w:rPr>
          <w:sz w:val="28"/>
          <w:szCs w:val="28"/>
        </w:rPr>
      </w:pPr>
      <w:r>
        <w:rPr>
          <w:rFonts w:hint="eastAsia"/>
          <w:sz w:val="28"/>
          <w:szCs w:val="28"/>
        </w:rPr>
        <w:t>7、对于怀疑有脊椎骨折的伤员，搬运时应用夹板或硬纸皮垫在伤员身下，以免受伤的脊椎移位、断裂造成截瘫，如伤员不在危险区域，暂无生命危险的，最好等待120医疗急救人员进行搬运。</w:t>
      </w:r>
    </w:p>
    <w:p>
      <w:pPr>
        <w:spacing w:line="360" w:lineRule="auto"/>
        <w:ind w:firstLine="560" w:firstLineChars="200"/>
        <w:rPr>
          <w:sz w:val="28"/>
          <w:szCs w:val="28"/>
        </w:rPr>
      </w:pPr>
      <w:r>
        <w:rPr>
          <w:rFonts w:hint="eastAsia"/>
          <w:sz w:val="28"/>
          <w:szCs w:val="28"/>
        </w:rPr>
        <w:t>8、如怀疑有颅脑损伤的，首先必须维持呼吸道通畅，昏迷伤员应侧卧位或仰卧偏头，以防舌根下坠或分泌物、呕吐物吸入气管，发生气道阻塞；对烦躁不安者可因地制宜的予以手足约束，以防止伤及开放伤口，积极组织送往医院救治。</w:t>
      </w:r>
    </w:p>
    <w:p>
      <w:pPr>
        <w:spacing w:line="360" w:lineRule="auto"/>
        <w:ind w:firstLine="560" w:firstLineChars="200"/>
        <w:rPr>
          <w:sz w:val="28"/>
          <w:szCs w:val="28"/>
        </w:rPr>
      </w:pPr>
      <w:r>
        <w:rPr>
          <w:rFonts w:hint="eastAsia"/>
          <w:sz w:val="28"/>
          <w:szCs w:val="28"/>
        </w:rPr>
        <w:t>9、如受伤人员呼吸和心跳均停止时，应立即按心肺复苏法支持生命的三项基本措施，进行就地抢救。步骤为：通畅气道—口对口（鼻）人工呼吸—胸外接压；在抢救过程中，要每隔数分钟判定一次，每次判定时间均不得超过5</w:t>
      </w:r>
      <w:r>
        <w:rPr>
          <w:rFonts w:hint="eastAsia" w:ascii="宋体" w:hAnsi="宋体" w:cs="宋体"/>
          <w:sz w:val="28"/>
          <w:szCs w:val="28"/>
        </w:rPr>
        <w:t>～</w:t>
      </w:r>
      <w:r>
        <w:rPr>
          <w:rFonts w:hint="eastAsia"/>
          <w:sz w:val="28"/>
          <w:szCs w:val="28"/>
        </w:rPr>
        <w:t>7秒；在医务人员未接替抢救前，现场抢救人员不得放弃现场救治。</w:t>
      </w:r>
    </w:p>
    <w:p>
      <w:pPr>
        <w:pStyle w:val="2"/>
        <w:spacing w:line="360" w:lineRule="auto"/>
        <w:rPr>
          <w:rFonts w:ascii="宋体" w:hAnsi="宋体" w:eastAsia="宋体"/>
          <w:b w:val="0"/>
          <w:bCs w:val="0"/>
        </w:rPr>
      </w:pPr>
      <w:bookmarkStart w:id="194" w:name="_Toc9897"/>
      <w:r>
        <w:rPr>
          <w:rFonts w:hint="eastAsia" w:ascii="宋体" w:hAnsi="宋体" w:eastAsia="宋体"/>
          <w:b w:val="0"/>
          <w:bCs w:val="0"/>
        </w:rPr>
        <w:t>F</w:t>
      </w:r>
      <w:r>
        <w:rPr>
          <w:rFonts w:hint="eastAsia" w:ascii="宋体" w:hAnsi="宋体" w:eastAsia="宋体"/>
          <w:b w:val="0"/>
          <w:bCs w:val="0"/>
          <w:lang w:val="en-US" w:eastAsia="zh-CN"/>
        </w:rPr>
        <w:t>2</w:t>
      </w:r>
      <w:r>
        <w:rPr>
          <w:rFonts w:hint="eastAsia" w:ascii="宋体" w:hAnsi="宋体" w:eastAsia="宋体"/>
          <w:b w:val="0"/>
          <w:bCs w:val="0"/>
        </w:rPr>
        <w:t>.6起重伤害事故</w:t>
      </w:r>
      <w:bookmarkEnd w:id="194"/>
    </w:p>
    <w:p>
      <w:pPr>
        <w:pStyle w:val="19"/>
        <w:shd w:val="clear" w:color="auto" w:fill="FFFFFF"/>
        <w:spacing w:before="0" w:beforeAutospacing="0" w:after="0" w:afterAutospacing="0"/>
        <w:ind w:firstLine="560" w:firstLineChars="200"/>
        <w:rPr>
          <w:sz w:val="28"/>
          <w:szCs w:val="28"/>
        </w:rPr>
      </w:pPr>
      <w:r>
        <w:rPr>
          <w:rFonts w:hint="eastAsia"/>
          <w:sz w:val="28"/>
          <w:szCs w:val="28"/>
        </w:rPr>
        <w:t>1、接到事故报警后，立即组织应急救援小组至事故现场。</w:t>
      </w:r>
    </w:p>
    <w:p>
      <w:pPr>
        <w:pStyle w:val="19"/>
        <w:shd w:val="clear" w:color="auto" w:fill="FFFFFF"/>
        <w:spacing w:before="0" w:beforeAutospacing="0" w:after="0" w:afterAutospacing="0"/>
        <w:ind w:firstLine="560" w:firstLineChars="200"/>
        <w:rPr>
          <w:sz w:val="28"/>
          <w:szCs w:val="28"/>
        </w:rPr>
      </w:pPr>
      <w:r>
        <w:rPr>
          <w:rFonts w:hint="eastAsia"/>
          <w:sz w:val="28"/>
          <w:szCs w:val="28"/>
        </w:rPr>
        <w:t>2、疏散无关人员，设立警戒线，保护事故现场。</w:t>
      </w:r>
    </w:p>
    <w:p>
      <w:pPr>
        <w:spacing w:line="360" w:lineRule="auto"/>
        <w:ind w:firstLine="560" w:firstLineChars="200"/>
        <w:rPr>
          <w:sz w:val="28"/>
          <w:szCs w:val="28"/>
        </w:rPr>
      </w:pPr>
      <w:r>
        <w:rPr>
          <w:rFonts w:hint="eastAsia"/>
          <w:sz w:val="28"/>
          <w:szCs w:val="28"/>
        </w:rPr>
        <w:t>3、事故救援</w:t>
      </w:r>
    </w:p>
    <w:p>
      <w:pPr>
        <w:pStyle w:val="17"/>
        <w:spacing w:line="360" w:lineRule="auto"/>
        <w:ind w:firstLine="562"/>
        <w:rPr>
          <w:b/>
          <w:bCs/>
          <w:sz w:val="28"/>
          <w:szCs w:val="28"/>
        </w:rPr>
      </w:pPr>
      <w:bookmarkStart w:id="195" w:name="_Toc256064439"/>
      <w:r>
        <w:rPr>
          <w:rFonts w:hint="eastAsia"/>
          <w:b/>
          <w:bCs/>
          <w:sz w:val="28"/>
          <w:szCs w:val="28"/>
        </w:rPr>
        <w:t>（1）一般伤口的处置措施</w:t>
      </w:r>
      <w:bookmarkEnd w:id="195"/>
    </w:p>
    <w:p>
      <w:pPr>
        <w:pStyle w:val="17"/>
        <w:spacing w:line="360" w:lineRule="auto"/>
        <w:ind w:firstLine="560"/>
        <w:rPr>
          <w:sz w:val="28"/>
          <w:szCs w:val="28"/>
        </w:rPr>
      </w:pPr>
      <w:r>
        <w:rPr>
          <w:rFonts w:hint="eastAsia" w:hAnsi="宋体" w:cs="宋体"/>
          <w:sz w:val="28"/>
          <w:szCs w:val="28"/>
        </w:rPr>
        <w:t>①</w:t>
      </w:r>
      <w:r>
        <w:rPr>
          <w:sz w:val="28"/>
          <w:szCs w:val="28"/>
        </w:rPr>
        <w:t>伤口不深的外出血症状，先用双氧水将创口的污物进行清冼，再用酒精消毒（无双氧水、酒精等消毒液时可用瓶装水冲洗伤口污物），伤口清洗干净后用</w:t>
      </w:r>
      <w:r>
        <w:rPr>
          <w:rFonts w:hint="eastAsia"/>
          <w:sz w:val="28"/>
          <w:szCs w:val="28"/>
        </w:rPr>
        <w:t>砂布</w:t>
      </w:r>
      <w:r>
        <w:rPr>
          <w:sz w:val="28"/>
          <w:szCs w:val="28"/>
        </w:rPr>
        <w:t>包扎止血。出血较严重者用多层</w:t>
      </w:r>
      <w:r>
        <w:rPr>
          <w:rFonts w:hint="eastAsia"/>
          <w:sz w:val="28"/>
          <w:szCs w:val="28"/>
        </w:rPr>
        <w:t>砂布</w:t>
      </w:r>
      <w:r>
        <w:rPr>
          <w:sz w:val="28"/>
          <w:szCs w:val="28"/>
        </w:rPr>
        <w:t>加压包扎止血</w:t>
      </w:r>
      <w:r>
        <w:rPr>
          <w:rFonts w:hint="eastAsia"/>
          <w:sz w:val="28"/>
          <w:szCs w:val="28"/>
        </w:rPr>
        <w:t>，然后立即送往医务室进行进一步救治</w:t>
      </w:r>
      <w:r>
        <w:rPr>
          <w:sz w:val="28"/>
          <w:szCs w:val="28"/>
        </w:rPr>
        <w:t>。</w:t>
      </w:r>
    </w:p>
    <w:p>
      <w:pPr>
        <w:pStyle w:val="17"/>
        <w:spacing w:line="360" w:lineRule="auto"/>
        <w:ind w:firstLine="560"/>
        <w:rPr>
          <w:sz w:val="28"/>
          <w:szCs w:val="28"/>
        </w:rPr>
      </w:pPr>
      <w:r>
        <w:rPr>
          <w:rFonts w:hint="eastAsia" w:hAnsi="宋体" w:cs="宋体"/>
          <w:sz w:val="28"/>
          <w:szCs w:val="28"/>
        </w:rPr>
        <w:t>②</w:t>
      </w:r>
      <w:r>
        <w:rPr>
          <w:sz w:val="28"/>
          <w:szCs w:val="28"/>
        </w:rPr>
        <w:t>一般的小动脉出血，用多层敷料加压包扎即可止血。较大的动脉创伤出血，还应在出血位置的上方动脉搏动处用手指压迫或用止血胶管</w:t>
      </w:r>
      <w:r>
        <w:rPr>
          <w:rFonts w:hint="eastAsia"/>
          <w:sz w:val="28"/>
          <w:szCs w:val="28"/>
        </w:rPr>
        <w:t>（或布带）</w:t>
      </w:r>
      <w:r>
        <w:rPr>
          <w:sz w:val="28"/>
          <w:szCs w:val="28"/>
        </w:rPr>
        <w:t>在伤口近心端进行绑扎，加强止血效果。</w:t>
      </w:r>
    </w:p>
    <w:p>
      <w:pPr>
        <w:pStyle w:val="17"/>
        <w:spacing w:line="360" w:lineRule="auto"/>
        <w:ind w:firstLine="560"/>
        <w:rPr>
          <w:sz w:val="28"/>
          <w:szCs w:val="28"/>
        </w:rPr>
      </w:pPr>
      <w:r>
        <w:rPr>
          <w:rFonts w:hint="eastAsia" w:hAnsi="宋体" w:cs="宋体"/>
          <w:sz w:val="28"/>
          <w:szCs w:val="28"/>
        </w:rPr>
        <w:t>③</w:t>
      </w:r>
      <w:r>
        <w:rPr>
          <w:sz w:val="28"/>
          <w:szCs w:val="28"/>
        </w:rPr>
        <w:t>大的动脉及</w:t>
      </w:r>
      <w:r>
        <w:rPr>
          <w:rFonts w:hint="eastAsia"/>
          <w:sz w:val="28"/>
          <w:szCs w:val="28"/>
        </w:rPr>
        <w:t>较</w:t>
      </w:r>
      <w:r>
        <w:rPr>
          <w:sz w:val="28"/>
          <w:szCs w:val="28"/>
        </w:rPr>
        <w:t>深创伤大出血，在现场做好应急止血加压包扎后，</w:t>
      </w:r>
      <w:r>
        <w:rPr>
          <w:rFonts w:hint="eastAsia"/>
          <w:sz w:val="28"/>
          <w:szCs w:val="28"/>
        </w:rPr>
        <w:t>应立即拨打120求救</w:t>
      </w:r>
      <w:r>
        <w:rPr>
          <w:sz w:val="28"/>
          <w:szCs w:val="28"/>
        </w:rPr>
        <w:t>，</w:t>
      </w:r>
      <w:r>
        <w:rPr>
          <w:rFonts w:hint="eastAsia"/>
          <w:sz w:val="28"/>
          <w:szCs w:val="28"/>
        </w:rPr>
        <w:t>送往医院进行救治，</w:t>
      </w:r>
      <w:r>
        <w:rPr>
          <w:sz w:val="28"/>
          <w:szCs w:val="28"/>
        </w:rPr>
        <w:t>以免贻误救治时机。</w:t>
      </w:r>
    </w:p>
    <w:p>
      <w:pPr>
        <w:pStyle w:val="17"/>
        <w:spacing w:line="360" w:lineRule="auto"/>
        <w:ind w:firstLine="560"/>
        <w:rPr>
          <w:sz w:val="28"/>
          <w:szCs w:val="28"/>
        </w:rPr>
      </w:pPr>
      <w:r>
        <w:rPr>
          <w:rFonts w:hint="eastAsia" w:hAnsi="宋体" w:cs="宋体"/>
          <w:sz w:val="28"/>
          <w:szCs w:val="28"/>
        </w:rPr>
        <w:t>④</w:t>
      </w:r>
      <w:r>
        <w:rPr>
          <w:sz w:val="28"/>
          <w:szCs w:val="28"/>
        </w:rPr>
        <w:t>对出血较严重的伤员，在止血的同时，还应密切注视伤员的神志、皮肤温度、脉搏、呼吸等体征情况，以判断伤员是否进入休克状态。</w:t>
      </w:r>
    </w:p>
    <w:p>
      <w:pPr>
        <w:pStyle w:val="17"/>
        <w:spacing w:line="360" w:lineRule="auto"/>
        <w:ind w:firstLine="562"/>
        <w:rPr>
          <w:b/>
          <w:bCs/>
          <w:sz w:val="28"/>
          <w:szCs w:val="28"/>
        </w:rPr>
      </w:pPr>
      <w:bookmarkStart w:id="196" w:name="_Toc256064440"/>
      <w:r>
        <w:rPr>
          <w:rFonts w:hint="eastAsia"/>
          <w:b/>
          <w:bCs/>
          <w:sz w:val="28"/>
          <w:szCs w:val="28"/>
        </w:rPr>
        <w:t>（2）骨折伤亡的处置措施</w:t>
      </w:r>
    </w:p>
    <w:bookmarkEnd w:id="196"/>
    <w:p>
      <w:pPr>
        <w:pStyle w:val="17"/>
        <w:spacing w:line="360" w:lineRule="auto"/>
        <w:ind w:firstLine="560"/>
        <w:rPr>
          <w:sz w:val="28"/>
          <w:szCs w:val="28"/>
        </w:rPr>
      </w:pPr>
      <w:r>
        <w:rPr>
          <w:rFonts w:hint="eastAsia" w:hAnsi="宋体" w:cs="宋体"/>
          <w:sz w:val="28"/>
          <w:szCs w:val="28"/>
        </w:rPr>
        <w:t>①</w:t>
      </w:r>
      <w:r>
        <w:rPr>
          <w:sz w:val="28"/>
          <w:szCs w:val="28"/>
        </w:rPr>
        <w:t>对清醒伤员应询问其自我感觉情况及疼痛部位</w:t>
      </w:r>
      <w:r>
        <w:rPr>
          <w:rFonts w:hint="eastAsia"/>
          <w:sz w:val="28"/>
          <w:szCs w:val="28"/>
        </w:rPr>
        <w:t>。</w:t>
      </w:r>
    </w:p>
    <w:p>
      <w:pPr>
        <w:pStyle w:val="17"/>
        <w:spacing w:line="360" w:lineRule="auto"/>
        <w:ind w:firstLine="560"/>
        <w:rPr>
          <w:sz w:val="28"/>
          <w:szCs w:val="28"/>
        </w:rPr>
      </w:pPr>
      <w:r>
        <w:rPr>
          <w:rFonts w:hint="eastAsia" w:hAnsi="宋体" w:cs="宋体"/>
          <w:sz w:val="28"/>
          <w:szCs w:val="28"/>
        </w:rPr>
        <w:t>②</w:t>
      </w:r>
      <w:r>
        <w:rPr>
          <w:sz w:val="28"/>
          <w:szCs w:val="28"/>
        </w:rPr>
        <w:t>观察伤员的体位情况：所有骨折伤员都有受伤体位异常的表现，这是典型的骨折症状。</w:t>
      </w:r>
      <w:r>
        <w:rPr>
          <w:rFonts w:hint="eastAsia"/>
          <w:sz w:val="28"/>
          <w:szCs w:val="28"/>
        </w:rPr>
        <w:t>对于</w:t>
      </w:r>
      <w:r>
        <w:rPr>
          <w:sz w:val="28"/>
          <w:szCs w:val="28"/>
        </w:rPr>
        <w:t>昏迷者要注意观察其体位有无改变，对清醒者要详细查问伤者的感觉情况，切勿随意搬动伤员。在检查时，切忌让患者坐起或使其身体扭曲，</w:t>
      </w:r>
      <w:r>
        <w:rPr>
          <w:rFonts w:hint="eastAsia"/>
          <w:sz w:val="28"/>
          <w:szCs w:val="28"/>
        </w:rPr>
        <w:t>也不能</w:t>
      </w:r>
      <w:r>
        <w:rPr>
          <w:sz w:val="28"/>
          <w:szCs w:val="28"/>
        </w:rPr>
        <w:t>让伤员做身体各个方向的活动。以免骨折移位及脱位加剧，引起或加重骨髓及脊神经损伤，甚至造成截瘫。</w:t>
      </w:r>
    </w:p>
    <w:p>
      <w:pPr>
        <w:pStyle w:val="17"/>
        <w:spacing w:line="360" w:lineRule="auto"/>
        <w:ind w:firstLine="560"/>
        <w:rPr>
          <w:sz w:val="28"/>
          <w:szCs w:val="28"/>
        </w:rPr>
      </w:pPr>
      <w:r>
        <w:rPr>
          <w:rFonts w:hint="eastAsia" w:hAnsi="宋体" w:cs="宋体"/>
          <w:sz w:val="28"/>
          <w:szCs w:val="28"/>
        </w:rPr>
        <w:t>③</w:t>
      </w:r>
      <w:r>
        <w:rPr>
          <w:rFonts w:hint="eastAsia"/>
          <w:sz w:val="28"/>
          <w:szCs w:val="28"/>
        </w:rPr>
        <w:t>对于脊椎骨折的伤员，应</w:t>
      </w:r>
      <w:r>
        <w:rPr>
          <w:sz w:val="28"/>
          <w:szCs w:val="28"/>
        </w:rPr>
        <w:t>刺激受伤部位以下的皮肤（例如腰椎受伤，刺激其胸部和上下腹部及腿脚皮肤作比较鉴别），观察伤员的反应以确定有无脊髓受压、受损害</w:t>
      </w:r>
      <w:r>
        <w:rPr>
          <w:rFonts w:hint="eastAsia"/>
          <w:sz w:val="28"/>
          <w:szCs w:val="28"/>
        </w:rPr>
        <w:t>。搬运时应</w:t>
      </w:r>
      <w:r>
        <w:rPr>
          <w:sz w:val="28"/>
          <w:szCs w:val="28"/>
        </w:rPr>
        <w:t>用夹板或硬纸皮垫在伤员的身下，搬运时要均匀用力抬起夹板或硬纸皮将伤者平卧位放在硬板上，以免受伤的脊椎移位、断裂造成截瘫或导致死亡。</w:t>
      </w:r>
    </w:p>
    <w:p>
      <w:pPr>
        <w:pStyle w:val="17"/>
        <w:spacing w:line="360" w:lineRule="auto"/>
        <w:ind w:firstLine="560"/>
        <w:rPr>
          <w:sz w:val="28"/>
          <w:szCs w:val="28"/>
        </w:rPr>
      </w:pPr>
      <w:r>
        <w:rPr>
          <w:rFonts w:hint="eastAsia" w:hAnsi="宋体" w:cs="宋体"/>
          <w:sz w:val="28"/>
          <w:szCs w:val="28"/>
        </w:rPr>
        <w:t>④</w:t>
      </w:r>
      <w:r>
        <w:rPr>
          <w:sz w:val="28"/>
          <w:szCs w:val="28"/>
        </w:rPr>
        <w:t>对有脊椎骨折移位导致出现脊髓受压症状的伤员，如伤员不在危险区域，暂无生命危险的，最好待</w:t>
      </w:r>
      <w:r>
        <w:rPr>
          <w:rFonts w:hint="eastAsia"/>
          <w:sz w:val="28"/>
          <w:szCs w:val="28"/>
        </w:rPr>
        <w:t>医务</w:t>
      </w:r>
      <w:r>
        <w:rPr>
          <w:sz w:val="28"/>
          <w:szCs w:val="28"/>
        </w:rPr>
        <w:t>急救人员</w:t>
      </w:r>
      <w:r>
        <w:rPr>
          <w:rFonts w:hint="eastAsia"/>
          <w:sz w:val="28"/>
          <w:szCs w:val="28"/>
        </w:rPr>
        <w:t>进行</w:t>
      </w:r>
      <w:r>
        <w:rPr>
          <w:sz w:val="28"/>
          <w:szCs w:val="28"/>
        </w:rPr>
        <w:t>搬运。</w:t>
      </w:r>
    </w:p>
    <w:p>
      <w:pPr>
        <w:pStyle w:val="17"/>
        <w:spacing w:line="360" w:lineRule="auto"/>
        <w:ind w:firstLine="560"/>
        <w:rPr>
          <w:sz w:val="28"/>
          <w:szCs w:val="28"/>
        </w:rPr>
      </w:pPr>
      <w:r>
        <w:rPr>
          <w:rFonts w:hint="eastAsia" w:hAnsi="宋体" w:cs="宋体"/>
          <w:sz w:val="28"/>
          <w:szCs w:val="28"/>
        </w:rPr>
        <w:t>⑤</w:t>
      </w:r>
      <w:r>
        <w:rPr>
          <w:sz w:val="28"/>
          <w:szCs w:val="28"/>
        </w:rPr>
        <w:t>对有手足大骨骨折的伤员，不要盲目搬动，应先在骨折部位用木板条或竹板片（竹棍甚至钢筋条）于骨折位置的上、下关节处作临时固定，使断端不再移位或刺伤肌肉、神经或血管</w:t>
      </w:r>
      <w:r>
        <w:rPr>
          <w:rFonts w:hint="eastAsia"/>
          <w:sz w:val="28"/>
          <w:szCs w:val="28"/>
        </w:rPr>
        <w:t>，然后呼叫医务人员等待救援或送至医务室接受救治</w:t>
      </w:r>
      <w:r>
        <w:rPr>
          <w:sz w:val="28"/>
          <w:szCs w:val="28"/>
        </w:rPr>
        <w:t>。</w:t>
      </w:r>
    </w:p>
    <w:p>
      <w:pPr>
        <w:pStyle w:val="17"/>
        <w:spacing w:line="360" w:lineRule="auto"/>
        <w:ind w:firstLine="560"/>
        <w:rPr>
          <w:sz w:val="28"/>
          <w:szCs w:val="28"/>
        </w:rPr>
      </w:pPr>
      <w:r>
        <w:rPr>
          <w:rFonts w:hint="eastAsia" w:hAnsi="宋体" w:cs="宋体"/>
          <w:sz w:val="28"/>
          <w:szCs w:val="28"/>
        </w:rPr>
        <w:t>⑥</w:t>
      </w:r>
      <w:r>
        <w:rPr>
          <w:sz w:val="28"/>
          <w:szCs w:val="28"/>
        </w:rPr>
        <w:t>如有骨折断端外露在皮肤外的，切勿强行将骨折断端按压进皮肤下面，只能用干净的</w:t>
      </w:r>
      <w:r>
        <w:rPr>
          <w:rFonts w:hint="eastAsia"/>
          <w:sz w:val="28"/>
          <w:szCs w:val="28"/>
        </w:rPr>
        <w:t>砂布</w:t>
      </w:r>
      <w:r>
        <w:rPr>
          <w:sz w:val="28"/>
          <w:szCs w:val="28"/>
        </w:rPr>
        <w:t>复盖好伤口，固定好骨折上下关节部位</w:t>
      </w:r>
      <w:r>
        <w:rPr>
          <w:rFonts w:hint="eastAsia"/>
          <w:sz w:val="28"/>
          <w:szCs w:val="28"/>
        </w:rPr>
        <w:t>，然后呼叫医务人员等待救援</w:t>
      </w:r>
      <w:r>
        <w:rPr>
          <w:sz w:val="28"/>
          <w:szCs w:val="28"/>
        </w:rPr>
        <w:t>。</w:t>
      </w:r>
    </w:p>
    <w:p>
      <w:pPr>
        <w:pStyle w:val="17"/>
        <w:spacing w:line="360" w:lineRule="auto"/>
        <w:ind w:firstLine="562"/>
        <w:rPr>
          <w:b/>
          <w:bCs/>
          <w:sz w:val="28"/>
          <w:szCs w:val="28"/>
        </w:rPr>
      </w:pPr>
      <w:bookmarkStart w:id="197" w:name="_Toc256064441"/>
      <w:r>
        <w:rPr>
          <w:rFonts w:hint="eastAsia"/>
          <w:b/>
          <w:bCs/>
          <w:sz w:val="28"/>
          <w:szCs w:val="28"/>
        </w:rPr>
        <w:t>（3）颅脑损伤的处置措施</w:t>
      </w:r>
    </w:p>
    <w:bookmarkEnd w:id="197"/>
    <w:p>
      <w:pPr>
        <w:pStyle w:val="17"/>
        <w:widowControl w:val="0"/>
        <w:spacing w:line="360" w:lineRule="auto"/>
        <w:ind w:firstLine="560"/>
        <w:rPr>
          <w:sz w:val="28"/>
          <w:szCs w:val="28"/>
        </w:rPr>
      </w:pPr>
      <w:r>
        <w:rPr>
          <w:rFonts w:hint="eastAsia" w:hAnsi="宋体" w:cs="宋体"/>
          <w:sz w:val="28"/>
          <w:szCs w:val="28"/>
        </w:rPr>
        <w:t>①</w:t>
      </w:r>
      <w:r>
        <w:rPr>
          <w:sz w:val="28"/>
          <w:szCs w:val="28"/>
        </w:rPr>
        <w:t>颅骨损伤如导致颅内高压的症状有：昏迷、呕吐（呈喷射状呕吐）、脉搏或呼吸紊乱、瞳孔放大或缩小，大小便失禁等。</w:t>
      </w:r>
    </w:p>
    <w:p>
      <w:pPr>
        <w:pStyle w:val="17"/>
        <w:widowControl w:val="0"/>
        <w:spacing w:line="360" w:lineRule="auto"/>
        <w:ind w:firstLine="560"/>
        <w:rPr>
          <w:sz w:val="28"/>
          <w:szCs w:val="28"/>
        </w:rPr>
      </w:pPr>
      <w:r>
        <w:rPr>
          <w:rFonts w:hint="eastAsia" w:hAnsi="宋体" w:cs="宋体"/>
          <w:sz w:val="28"/>
          <w:szCs w:val="28"/>
        </w:rPr>
        <w:t>②</w:t>
      </w:r>
      <w:r>
        <w:rPr>
          <w:sz w:val="28"/>
          <w:szCs w:val="28"/>
        </w:rPr>
        <w:t>颅底骨折或颞骨骨折的伤员不一定有昏迷、呕吐症状，但有脉搏或呼吸紊乱、瞳孔放大或缩小，鼻、眼、口腔甚至耳朵可有无色的液体流出，伴颅内出血者可见血性液体流出。</w:t>
      </w:r>
    </w:p>
    <w:p>
      <w:pPr>
        <w:pStyle w:val="17"/>
        <w:widowControl w:val="0"/>
        <w:spacing w:line="360" w:lineRule="auto"/>
        <w:ind w:firstLine="560"/>
        <w:rPr>
          <w:sz w:val="28"/>
          <w:szCs w:val="28"/>
        </w:rPr>
      </w:pPr>
      <w:r>
        <w:rPr>
          <w:rFonts w:hint="eastAsia" w:hAnsi="宋体" w:cs="宋体"/>
          <w:sz w:val="28"/>
          <w:szCs w:val="28"/>
        </w:rPr>
        <w:t>③</w:t>
      </w:r>
      <w:r>
        <w:rPr>
          <w:sz w:val="28"/>
          <w:szCs w:val="28"/>
        </w:rPr>
        <w:t>颅脑损伤的病员有昏迷者，首先必须维持呼吸道通畅。昏迷伤员应侧卧位或仰卧偏头，以防舌根下坠或分泌物、呕吐物吸入气管，发生气道阻塞。对烦躁不安者可因地制宜的予以手足约束，以防止伤及开放伤口。</w:t>
      </w:r>
    </w:p>
    <w:p>
      <w:pPr>
        <w:pStyle w:val="17"/>
        <w:widowControl w:val="0"/>
        <w:spacing w:line="360" w:lineRule="auto"/>
        <w:ind w:firstLine="560"/>
        <w:rPr>
          <w:sz w:val="28"/>
          <w:szCs w:val="28"/>
        </w:rPr>
      </w:pPr>
      <w:r>
        <w:rPr>
          <w:rFonts w:hint="eastAsia" w:hAnsi="宋体" w:cs="宋体"/>
          <w:sz w:val="28"/>
          <w:szCs w:val="28"/>
        </w:rPr>
        <w:t>④</w:t>
      </w:r>
      <w:r>
        <w:rPr>
          <w:rFonts w:hint="eastAsia"/>
          <w:sz w:val="28"/>
          <w:szCs w:val="28"/>
        </w:rPr>
        <w:t>对于</w:t>
      </w:r>
      <w:r>
        <w:rPr>
          <w:sz w:val="28"/>
          <w:szCs w:val="28"/>
        </w:rPr>
        <w:t>有颅骨凹陷性骨折</w:t>
      </w:r>
      <w:r>
        <w:rPr>
          <w:rFonts w:hint="eastAsia"/>
          <w:sz w:val="28"/>
          <w:szCs w:val="28"/>
        </w:rPr>
        <w:t>的伤员</w:t>
      </w:r>
      <w:r>
        <w:rPr>
          <w:sz w:val="28"/>
          <w:szCs w:val="28"/>
        </w:rPr>
        <w:t>，创伤处</w:t>
      </w:r>
      <w:r>
        <w:rPr>
          <w:rFonts w:hint="eastAsia"/>
          <w:sz w:val="28"/>
          <w:szCs w:val="28"/>
        </w:rPr>
        <w:t>应</w:t>
      </w:r>
      <w:r>
        <w:rPr>
          <w:sz w:val="28"/>
          <w:szCs w:val="28"/>
        </w:rPr>
        <w:t>用消毒的纱布覆盖伤口，用绷带或布条包扎后，立即</w:t>
      </w:r>
      <w:r>
        <w:rPr>
          <w:rFonts w:hint="eastAsia"/>
          <w:sz w:val="28"/>
          <w:szCs w:val="28"/>
        </w:rPr>
        <w:t>呼叫医务人员</w:t>
      </w:r>
      <w:r>
        <w:rPr>
          <w:sz w:val="28"/>
          <w:szCs w:val="28"/>
        </w:rPr>
        <w:t>送往</w:t>
      </w:r>
      <w:r>
        <w:rPr>
          <w:rFonts w:hint="eastAsia"/>
          <w:sz w:val="28"/>
          <w:szCs w:val="28"/>
        </w:rPr>
        <w:t>托克托县</w:t>
      </w:r>
      <w:r>
        <w:rPr>
          <w:sz w:val="28"/>
          <w:szCs w:val="28"/>
        </w:rPr>
        <w:t>医院</w:t>
      </w:r>
      <w:r>
        <w:rPr>
          <w:rFonts w:hint="eastAsia"/>
          <w:sz w:val="28"/>
          <w:szCs w:val="28"/>
        </w:rPr>
        <w:t>进行救治</w:t>
      </w:r>
      <w:r>
        <w:rPr>
          <w:sz w:val="28"/>
          <w:szCs w:val="28"/>
        </w:rPr>
        <w:t>。</w:t>
      </w:r>
    </w:p>
    <w:p>
      <w:pPr>
        <w:pStyle w:val="17"/>
        <w:widowControl w:val="0"/>
        <w:spacing w:line="360" w:lineRule="auto"/>
        <w:ind w:firstLine="560"/>
        <w:rPr>
          <w:sz w:val="28"/>
          <w:szCs w:val="28"/>
        </w:rPr>
      </w:pPr>
      <w:r>
        <w:rPr>
          <w:rFonts w:hint="eastAsia" w:hAnsi="宋体" w:cs="宋体"/>
          <w:sz w:val="28"/>
          <w:szCs w:val="28"/>
        </w:rPr>
        <w:t>⑤</w:t>
      </w:r>
      <w:r>
        <w:rPr>
          <w:sz w:val="28"/>
          <w:szCs w:val="28"/>
        </w:rPr>
        <w:t>如</w:t>
      </w:r>
      <w:r>
        <w:rPr>
          <w:rFonts w:hint="eastAsia"/>
          <w:sz w:val="28"/>
          <w:szCs w:val="28"/>
        </w:rPr>
        <w:t>受害</w:t>
      </w:r>
      <w:r>
        <w:rPr>
          <w:sz w:val="28"/>
          <w:szCs w:val="28"/>
        </w:rPr>
        <w:t>者心跳已停止，应先进行胸外心脏</w:t>
      </w:r>
      <w:r>
        <w:rPr>
          <w:rFonts w:hint="eastAsia"/>
          <w:sz w:val="28"/>
          <w:szCs w:val="28"/>
        </w:rPr>
        <w:t>按压</w:t>
      </w:r>
      <w:r>
        <w:rPr>
          <w:sz w:val="28"/>
          <w:szCs w:val="28"/>
        </w:rPr>
        <w:t>。让</w:t>
      </w:r>
      <w:r>
        <w:rPr>
          <w:rFonts w:hint="eastAsia"/>
          <w:sz w:val="28"/>
          <w:szCs w:val="28"/>
        </w:rPr>
        <w:t>受害</w:t>
      </w:r>
      <w:r>
        <w:rPr>
          <w:sz w:val="28"/>
          <w:szCs w:val="28"/>
        </w:rPr>
        <w:t>者仰卧，头低稍后仰，急救者位于溺水者一侧，面对</w:t>
      </w:r>
      <w:r>
        <w:rPr>
          <w:rFonts w:hint="eastAsia"/>
          <w:sz w:val="28"/>
          <w:szCs w:val="28"/>
        </w:rPr>
        <w:t>受害</w:t>
      </w:r>
      <w:r>
        <w:rPr>
          <w:sz w:val="28"/>
          <w:szCs w:val="28"/>
        </w:rPr>
        <w:t>者，右手掌平放在其胸骨下段，左手放在右手背上，借急救者身体重量缓缓用力，不能用力太猛，以防骨折，然后松手腕（手不离开胸骨）使胸骨复原，反复有节律地（每分钟60次</w:t>
      </w:r>
      <w:r>
        <w:rPr>
          <w:rFonts w:hint="eastAsia"/>
          <w:sz w:val="28"/>
          <w:szCs w:val="28"/>
        </w:rPr>
        <w:t>左右</w:t>
      </w:r>
      <w:r>
        <w:rPr>
          <w:sz w:val="28"/>
          <w:szCs w:val="28"/>
        </w:rPr>
        <w:t>）进行，直到心跳恢复为止</w:t>
      </w:r>
      <w:r>
        <w:rPr>
          <w:rFonts w:hint="eastAsia"/>
          <w:sz w:val="28"/>
          <w:szCs w:val="28"/>
        </w:rPr>
        <w:t>。</w:t>
      </w:r>
    </w:p>
    <w:p>
      <w:pPr>
        <w:spacing w:line="360" w:lineRule="auto"/>
        <w:ind w:firstLine="560" w:firstLineChars="200"/>
        <w:rPr>
          <w:sz w:val="28"/>
          <w:szCs w:val="28"/>
        </w:rPr>
      </w:pPr>
      <w:r>
        <w:rPr>
          <w:rFonts w:hint="eastAsia" w:ascii="宋体" w:hAnsi="宋体" w:cs="宋体"/>
          <w:sz w:val="28"/>
          <w:szCs w:val="28"/>
        </w:rPr>
        <w:t>⑥</w:t>
      </w:r>
      <w:r>
        <w:rPr>
          <w:rFonts w:hint="eastAsia"/>
          <w:sz w:val="28"/>
          <w:szCs w:val="28"/>
        </w:rPr>
        <w:t>以上施救过程至外部救援人员到达现场后结束，工作人员应配合救援人员进行救治。</w:t>
      </w:r>
    </w:p>
    <w:p>
      <w:pPr>
        <w:pStyle w:val="2"/>
        <w:spacing w:line="360" w:lineRule="auto"/>
        <w:rPr>
          <w:rFonts w:ascii="宋体" w:hAnsi="宋体" w:eastAsia="宋体"/>
          <w:b w:val="0"/>
          <w:bCs w:val="0"/>
        </w:rPr>
      </w:pPr>
      <w:bookmarkStart w:id="198" w:name="_Toc22985"/>
      <w:r>
        <w:rPr>
          <w:rFonts w:hint="eastAsia" w:ascii="宋体" w:hAnsi="宋体" w:eastAsia="宋体"/>
          <w:b w:val="0"/>
          <w:bCs w:val="0"/>
        </w:rPr>
        <w:t>F</w:t>
      </w:r>
      <w:r>
        <w:rPr>
          <w:rFonts w:hint="eastAsia" w:ascii="宋体" w:hAnsi="宋体" w:eastAsia="宋体"/>
          <w:b w:val="0"/>
          <w:bCs w:val="0"/>
          <w:lang w:val="en-US" w:eastAsia="zh-CN"/>
        </w:rPr>
        <w:t>2</w:t>
      </w:r>
      <w:r>
        <w:rPr>
          <w:rFonts w:hint="eastAsia" w:ascii="宋体" w:hAnsi="宋体" w:eastAsia="宋体"/>
          <w:b w:val="0"/>
          <w:bCs w:val="0"/>
        </w:rPr>
        <w:t>.7触电事故</w:t>
      </w:r>
      <w:bookmarkEnd w:id="198"/>
    </w:p>
    <w:p>
      <w:pPr>
        <w:pStyle w:val="19"/>
        <w:shd w:val="clear" w:color="auto" w:fill="FFFFFF"/>
        <w:spacing w:before="0" w:beforeAutospacing="0" w:after="0" w:afterAutospacing="0"/>
        <w:ind w:firstLine="560" w:firstLineChars="200"/>
        <w:rPr>
          <w:sz w:val="28"/>
          <w:szCs w:val="28"/>
        </w:rPr>
      </w:pPr>
      <w:r>
        <w:rPr>
          <w:rFonts w:hint="eastAsia"/>
          <w:sz w:val="28"/>
          <w:szCs w:val="28"/>
        </w:rPr>
        <w:t>1、接到事故报警后，立即组织应急救援小组至事故现场。</w:t>
      </w:r>
    </w:p>
    <w:p>
      <w:pPr>
        <w:pStyle w:val="19"/>
        <w:shd w:val="clear" w:color="auto" w:fill="FFFFFF"/>
        <w:spacing w:before="0" w:beforeAutospacing="0" w:after="0" w:afterAutospacing="0"/>
        <w:ind w:firstLine="560" w:firstLineChars="200"/>
        <w:rPr>
          <w:sz w:val="28"/>
          <w:szCs w:val="28"/>
        </w:rPr>
      </w:pPr>
      <w:r>
        <w:rPr>
          <w:rFonts w:hint="eastAsia"/>
          <w:sz w:val="28"/>
          <w:szCs w:val="28"/>
        </w:rPr>
        <w:t>2、疏散无关人员，设立警戒线，保护事故现场。</w:t>
      </w:r>
    </w:p>
    <w:p>
      <w:pPr>
        <w:spacing w:line="360" w:lineRule="auto"/>
        <w:ind w:firstLine="560" w:firstLineChars="200"/>
        <w:rPr>
          <w:sz w:val="28"/>
          <w:szCs w:val="28"/>
        </w:rPr>
      </w:pPr>
      <w:r>
        <w:rPr>
          <w:rFonts w:hint="eastAsia"/>
          <w:sz w:val="28"/>
          <w:szCs w:val="28"/>
        </w:rPr>
        <w:t>3、事故救援</w:t>
      </w:r>
    </w:p>
    <w:p>
      <w:pPr>
        <w:ind w:firstLine="560" w:firstLineChars="200"/>
        <w:rPr>
          <w:rFonts w:ascii="宋体" w:hAnsi="宋体" w:cs="Arial"/>
          <w:sz w:val="28"/>
          <w:szCs w:val="28"/>
        </w:rPr>
      </w:pPr>
      <w:r>
        <w:rPr>
          <w:rFonts w:hint="eastAsia" w:ascii="宋体" w:hAnsi="宋体" w:cs="Arial"/>
          <w:sz w:val="28"/>
          <w:szCs w:val="28"/>
        </w:rPr>
        <w:t>（1）触电急救的要点是动作迅速，救护得法，切不可惊慌失措，束手无策。要贯彻“迅速、就地、正确、坚持”的触电急救八字方针。发现有人触电，首先要尽快使触电者脱离电源，然后根据触电者的具体症状进行对症施救，脱离电源的基本方法有：</w:t>
      </w:r>
    </w:p>
    <w:p>
      <w:pPr>
        <w:ind w:firstLine="560" w:firstLineChars="200"/>
        <w:rPr>
          <w:rFonts w:ascii="宋体" w:hAnsi="宋体" w:cs="Arial"/>
          <w:sz w:val="28"/>
          <w:szCs w:val="28"/>
        </w:rPr>
      </w:pPr>
      <w:r>
        <w:rPr>
          <w:rFonts w:hint="eastAsia" w:ascii="宋体" w:hAnsi="宋体" w:cs="Arial"/>
          <w:sz w:val="28"/>
          <w:szCs w:val="28"/>
        </w:rPr>
        <w:t>（2）将出事附近电源开关刀拉掉、或将电源插头拔掉，以切断电源。</w:t>
      </w:r>
    </w:p>
    <w:p>
      <w:pPr>
        <w:ind w:firstLine="560" w:firstLineChars="200"/>
        <w:rPr>
          <w:rFonts w:ascii="宋体" w:hAnsi="宋体" w:cs="Arial"/>
          <w:sz w:val="28"/>
          <w:szCs w:val="28"/>
        </w:rPr>
      </w:pPr>
      <w:r>
        <w:rPr>
          <w:rFonts w:hint="eastAsia" w:ascii="宋体" w:hAnsi="宋体" w:cs="Arial"/>
          <w:sz w:val="28"/>
          <w:szCs w:val="28"/>
        </w:rPr>
        <w:t>（3）用干燥的绝缘木棒、竹竿、布带等物将电源线从触电者身上拨离或者将触电者拨离电源，必要时可用绝缘工具（如带有绝缘柄的电工钳、木柄斧头以及锄头）切断电源线。</w:t>
      </w:r>
    </w:p>
    <w:p>
      <w:pPr>
        <w:ind w:firstLine="560" w:firstLineChars="200"/>
        <w:rPr>
          <w:rFonts w:ascii="宋体" w:hAnsi="宋体" w:cs="Arial"/>
          <w:sz w:val="28"/>
          <w:szCs w:val="28"/>
        </w:rPr>
      </w:pPr>
      <w:r>
        <w:rPr>
          <w:rFonts w:hint="eastAsia" w:ascii="宋体" w:hAnsi="宋体" w:cs="Arial"/>
          <w:sz w:val="28"/>
          <w:szCs w:val="28"/>
        </w:rPr>
        <w:t>（4）救护人可戴上手套或在手上包缠干燥的衣服、围巾、帽子等绝缘物品拖拽触电者，使之脱离电源。</w:t>
      </w:r>
    </w:p>
    <w:p>
      <w:pPr>
        <w:ind w:firstLine="560" w:firstLineChars="200"/>
        <w:rPr>
          <w:rFonts w:ascii="宋体" w:hAnsi="宋体" w:cs="Arial"/>
          <w:sz w:val="28"/>
          <w:szCs w:val="28"/>
        </w:rPr>
      </w:pPr>
      <w:r>
        <w:rPr>
          <w:rFonts w:hint="eastAsia" w:ascii="宋体" w:hAnsi="宋体" w:cs="Arial"/>
          <w:sz w:val="28"/>
          <w:szCs w:val="28"/>
        </w:rPr>
        <w:t>（5）如果触电者由于痉挛手指紧握导线缠绕在身上，救护人可先用干燥的木板塞进触电者身下使其与地绝缘来隔断入地电流，然后再采取其它办法把电源切断。</w:t>
      </w:r>
    </w:p>
    <w:p>
      <w:pPr>
        <w:ind w:firstLine="560" w:firstLineChars="200"/>
        <w:rPr>
          <w:rFonts w:ascii="宋体" w:hAnsi="宋体" w:cs="Arial"/>
          <w:sz w:val="28"/>
          <w:szCs w:val="28"/>
        </w:rPr>
      </w:pPr>
      <w:r>
        <w:rPr>
          <w:rFonts w:hint="eastAsia" w:ascii="宋体" w:hAnsi="宋体" w:cs="Arial"/>
          <w:sz w:val="28"/>
          <w:szCs w:val="28"/>
        </w:rPr>
        <w:t>（6）如果触电者触及断落在地上的带电高压导线，且尚未确证线路无电之前，救护人员不可进入断线落地点8～10米的范围内，防止跨步电压触电。进入该范围的救护人员应穿上绝缘靴或临时双脚并拢跳跃地接近触电者。触电者脱离带电导线后应迅速将其带至8～10米以外立即开始触电急救。只有在确认线路已经无电，才可在触电者离开触电导线后就地急救。</w:t>
      </w:r>
    </w:p>
    <w:p>
      <w:pPr>
        <w:ind w:firstLine="560" w:firstLineChars="200"/>
        <w:rPr>
          <w:rFonts w:ascii="宋体" w:hAnsi="宋体" w:cs="Arial"/>
          <w:sz w:val="28"/>
          <w:szCs w:val="28"/>
        </w:rPr>
      </w:pPr>
      <w:r>
        <w:rPr>
          <w:rFonts w:hint="eastAsia" w:ascii="宋体" w:hAnsi="宋体" w:cs="Arial"/>
          <w:sz w:val="28"/>
          <w:szCs w:val="28"/>
        </w:rPr>
        <w:t>（7）使触电者脱离电源时应注意的事项</w:t>
      </w:r>
    </w:p>
    <w:p>
      <w:pPr>
        <w:ind w:firstLine="560" w:firstLineChars="200"/>
        <w:rPr>
          <w:rFonts w:ascii="宋体" w:hAnsi="宋体" w:cs="Arial"/>
          <w:sz w:val="28"/>
          <w:szCs w:val="28"/>
        </w:rPr>
      </w:pPr>
      <w:r>
        <w:rPr>
          <w:rFonts w:hint="eastAsia" w:ascii="宋体" w:hAnsi="宋体" w:cs="Arial"/>
          <w:sz w:val="28"/>
          <w:szCs w:val="28"/>
        </w:rPr>
        <w:t>①在未采取绝缘措施前，救护人员不得直接触及触电者的皮肤和潮湿的衣服。</w:t>
      </w:r>
    </w:p>
    <w:p>
      <w:pPr>
        <w:ind w:firstLine="560" w:firstLineChars="200"/>
        <w:rPr>
          <w:rFonts w:ascii="宋体" w:hAnsi="宋体" w:cs="Arial"/>
          <w:sz w:val="28"/>
          <w:szCs w:val="28"/>
        </w:rPr>
      </w:pPr>
      <w:r>
        <w:rPr>
          <w:rFonts w:hint="eastAsia" w:ascii="宋体" w:hAnsi="宋体" w:cs="Arial"/>
          <w:sz w:val="28"/>
          <w:szCs w:val="28"/>
        </w:rPr>
        <w:t>②严禁救护人直接用手推、拉和触摸触电者。</w:t>
      </w:r>
    </w:p>
    <w:p>
      <w:pPr>
        <w:ind w:firstLine="560" w:firstLineChars="200"/>
        <w:rPr>
          <w:rFonts w:ascii="宋体" w:hAnsi="宋体" w:cs="Arial"/>
          <w:sz w:val="28"/>
          <w:szCs w:val="28"/>
        </w:rPr>
      </w:pPr>
      <w:r>
        <w:rPr>
          <w:rFonts w:hint="eastAsia" w:ascii="宋体" w:hAnsi="宋体" w:cs="Arial"/>
          <w:sz w:val="28"/>
          <w:szCs w:val="28"/>
        </w:rPr>
        <w:t>③救护人不得采用金属或其它绝缘性能差的物体（如潮湿木棒、布带等）作为救护工具。</w:t>
      </w:r>
    </w:p>
    <w:p>
      <w:pPr>
        <w:ind w:firstLine="560" w:firstLineChars="200"/>
        <w:rPr>
          <w:rFonts w:ascii="宋体" w:hAnsi="宋体" w:cs="Arial"/>
          <w:sz w:val="28"/>
          <w:szCs w:val="28"/>
        </w:rPr>
      </w:pPr>
      <w:r>
        <w:rPr>
          <w:rFonts w:hint="eastAsia" w:ascii="宋体" w:hAnsi="宋体" w:cs="Arial"/>
          <w:sz w:val="28"/>
          <w:szCs w:val="28"/>
        </w:rPr>
        <w:t>④在拉拽触电者脱离电源的过程中，救护人宜用单手操作，这样对救护人比较安全。</w:t>
      </w:r>
    </w:p>
    <w:p>
      <w:pPr>
        <w:ind w:firstLine="560" w:firstLineChars="200"/>
        <w:rPr>
          <w:rFonts w:ascii="宋体" w:hAnsi="宋体" w:cs="Arial"/>
          <w:sz w:val="28"/>
          <w:szCs w:val="28"/>
        </w:rPr>
      </w:pPr>
      <w:r>
        <w:rPr>
          <w:rFonts w:hint="eastAsia" w:ascii="宋体" w:hAnsi="宋体" w:cs="Arial"/>
          <w:sz w:val="28"/>
          <w:szCs w:val="28"/>
        </w:rPr>
        <w:t>⑤当触电者位于高位时，应采取措施预防触电者在脱离电源后坠地摔伤或摔死（电击二次伤害）。</w:t>
      </w:r>
    </w:p>
    <w:p>
      <w:pPr>
        <w:ind w:firstLine="560" w:firstLineChars="200"/>
        <w:rPr>
          <w:sz w:val="28"/>
          <w:szCs w:val="28"/>
        </w:rPr>
      </w:pPr>
      <w:r>
        <w:rPr>
          <w:rFonts w:hint="eastAsia" w:ascii="宋体" w:hAnsi="宋体" w:cs="Arial"/>
          <w:sz w:val="28"/>
          <w:szCs w:val="28"/>
        </w:rPr>
        <w:t>⑥夜间发生触电事故时，应考虑切断电源后的临时照明问题，便于救护。</w:t>
      </w:r>
    </w:p>
    <w:p>
      <w:pPr>
        <w:pStyle w:val="2"/>
        <w:spacing w:line="360" w:lineRule="auto"/>
        <w:rPr>
          <w:rFonts w:ascii="宋体" w:hAnsi="宋体" w:eastAsia="宋体"/>
          <w:b w:val="0"/>
          <w:bCs w:val="0"/>
        </w:rPr>
      </w:pPr>
      <w:bookmarkStart w:id="199" w:name="_Toc25712"/>
      <w:r>
        <w:rPr>
          <w:rFonts w:hint="eastAsia" w:ascii="宋体" w:hAnsi="宋体" w:eastAsia="宋体"/>
          <w:b w:val="0"/>
          <w:bCs w:val="0"/>
        </w:rPr>
        <w:t>F</w:t>
      </w:r>
      <w:r>
        <w:rPr>
          <w:rFonts w:hint="eastAsia" w:ascii="宋体" w:hAnsi="宋体" w:eastAsia="宋体"/>
          <w:b w:val="0"/>
          <w:bCs w:val="0"/>
          <w:lang w:val="en-US" w:eastAsia="zh-CN"/>
        </w:rPr>
        <w:t>2</w:t>
      </w:r>
      <w:r>
        <w:rPr>
          <w:rFonts w:hint="eastAsia" w:ascii="宋体" w:hAnsi="宋体" w:eastAsia="宋体"/>
          <w:b w:val="0"/>
          <w:bCs w:val="0"/>
        </w:rPr>
        <w:t>.8高处坠落事故</w:t>
      </w:r>
      <w:bookmarkEnd w:id="199"/>
    </w:p>
    <w:p>
      <w:pPr>
        <w:pStyle w:val="19"/>
        <w:shd w:val="clear" w:color="auto" w:fill="FFFFFF"/>
        <w:spacing w:before="0" w:beforeAutospacing="0" w:after="0" w:afterAutospacing="0"/>
        <w:ind w:firstLine="560" w:firstLineChars="200"/>
        <w:rPr>
          <w:sz w:val="28"/>
          <w:szCs w:val="28"/>
        </w:rPr>
      </w:pPr>
      <w:r>
        <w:rPr>
          <w:rFonts w:hint="eastAsia"/>
          <w:sz w:val="28"/>
          <w:szCs w:val="28"/>
        </w:rPr>
        <w:t>1、接到事故报警后，立即组织应急救援小组至事故现场。</w:t>
      </w:r>
    </w:p>
    <w:p>
      <w:pPr>
        <w:pStyle w:val="19"/>
        <w:shd w:val="clear" w:color="auto" w:fill="FFFFFF"/>
        <w:spacing w:before="0" w:beforeAutospacing="0" w:after="0" w:afterAutospacing="0"/>
        <w:ind w:firstLine="560" w:firstLineChars="200"/>
        <w:rPr>
          <w:sz w:val="28"/>
          <w:szCs w:val="28"/>
        </w:rPr>
      </w:pPr>
      <w:r>
        <w:rPr>
          <w:rFonts w:hint="eastAsia"/>
          <w:sz w:val="28"/>
          <w:szCs w:val="28"/>
        </w:rPr>
        <w:t>2、疏散无关人员，设立警戒线，保护事故现场。</w:t>
      </w:r>
    </w:p>
    <w:p>
      <w:pPr>
        <w:spacing w:line="360" w:lineRule="auto"/>
        <w:ind w:firstLine="560" w:firstLineChars="200"/>
        <w:rPr>
          <w:sz w:val="28"/>
          <w:szCs w:val="28"/>
        </w:rPr>
      </w:pPr>
      <w:r>
        <w:rPr>
          <w:rFonts w:hint="eastAsia"/>
          <w:sz w:val="28"/>
          <w:szCs w:val="28"/>
        </w:rPr>
        <w:t>3、事故救援</w:t>
      </w:r>
    </w:p>
    <w:p>
      <w:pPr>
        <w:spacing w:line="360" w:lineRule="auto"/>
        <w:ind w:firstLine="560" w:firstLineChars="200"/>
        <w:rPr>
          <w:rFonts w:ascii="宋体" w:hAnsi="宋体"/>
          <w:sz w:val="24"/>
        </w:rPr>
      </w:pPr>
      <w:r>
        <w:rPr>
          <w:rFonts w:hint="eastAsia" w:ascii="宋体" w:hAnsi="宋体"/>
          <w:sz w:val="28"/>
          <w:szCs w:val="28"/>
        </w:rPr>
        <w:t>（1）当发生人员轻伤时，现场人员应采取防止受伤人员大量失血、休克、昏迷等急救措施，并将受伤人员脱离危险地段，拨打120医疗急救电话，并向应急救援指挥部报告。</w:t>
      </w:r>
    </w:p>
    <w:p>
      <w:pPr>
        <w:spacing w:line="360" w:lineRule="auto"/>
        <w:ind w:firstLine="560" w:firstLineChars="200"/>
        <w:rPr>
          <w:rFonts w:ascii="宋体" w:hAnsi="宋体"/>
          <w:sz w:val="28"/>
          <w:szCs w:val="28"/>
        </w:rPr>
      </w:pPr>
      <w:r>
        <w:rPr>
          <w:rFonts w:hint="eastAsia" w:ascii="宋体" w:hAnsi="宋体"/>
          <w:sz w:val="28"/>
          <w:szCs w:val="28"/>
        </w:rPr>
        <w:t>（2）救援人员到达现场后，协助医务人员实施各项救护措施。</w:t>
      </w:r>
    </w:p>
    <w:p>
      <w:pPr>
        <w:spacing w:line="360" w:lineRule="auto"/>
        <w:ind w:firstLine="560" w:firstLineChars="200"/>
        <w:rPr>
          <w:rFonts w:ascii="宋体" w:hAnsi="宋体"/>
          <w:sz w:val="28"/>
          <w:szCs w:val="28"/>
        </w:rPr>
      </w:pPr>
      <w:r>
        <w:rPr>
          <w:rFonts w:hint="eastAsia" w:ascii="宋体" w:hAnsi="宋体"/>
          <w:sz w:val="28"/>
          <w:szCs w:val="28"/>
        </w:rPr>
        <w:t>（3）如果受害者处于呼吸停止但心跳未停止，应立即进行口对口人过呼吸，一般以口对口吹气为最佳。急救者位于伤员一侧，托起伤员下颌，捏住受害者鼻孔，深呼一口气后，往伤员嘴里缓缓吹气，待其胸廓稍有抬起时，放松其鼻孔，并用一手压其胸部以助呼气。反复有节率地（每分钟16～20次）进行，直至恢复呼吸为止。</w:t>
      </w:r>
    </w:p>
    <w:p>
      <w:pPr>
        <w:spacing w:line="360" w:lineRule="auto"/>
        <w:ind w:firstLine="560" w:firstLineChars="200"/>
        <w:rPr>
          <w:rFonts w:ascii="宋体" w:hAnsi="宋体"/>
          <w:sz w:val="28"/>
          <w:szCs w:val="28"/>
        </w:rPr>
      </w:pPr>
      <w:r>
        <w:rPr>
          <w:rFonts w:hint="eastAsia" w:ascii="宋体" w:hAnsi="宋体"/>
          <w:sz w:val="28"/>
          <w:szCs w:val="28"/>
        </w:rPr>
        <w:t>（4）如受伤者心脏已经停止跳动，应先进行胸外按压。让受害者仰卧，头稍低后仰，急救者位于伤者一侧，面对受伤者，右手掌平放在其胸骨下段，左手放在右手背上，借受伤者身体重量缓缓用力，不能用力太猛，以防骨折，然后放开手腕（手不离开胸骨）使胸骨复原，反复有节率地（每分钟60次左右）进行，直到心脏心跳恢复为止。</w:t>
      </w:r>
    </w:p>
    <w:p>
      <w:pPr>
        <w:spacing w:line="360" w:lineRule="auto"/>
        <w:ind w:firstLine="560" w:firstLineChars="200"/>
        <w:rPr>
          <w:rFonts w:ascii="宋体" w:hAnsi="宋体"/>
          <w:sz w:val="28"/>
          <w:szCs w:val="28"/>
        </w:rPr>
      </w:pPr>
      <w:r>
        <w:rPr>
          <w:rFonts w:hint="eastAsia" w:ascii="宋体" w:hAnsi="宋体"/>
          <w:sz w:val="28"/>
          <w:szCs w:val="28"/>
        </w:rPr>
        <w:t>（5）如高处坠落人员后脑着地，无论其有无昏迷和痛感，均应送医并做脑部扫描，防止脑出血。</w:t>
      </w:r>
    </w:p>
    <w:p>
      <w:pPr>
        <w:spacing w:line="360" w:lineRule="auto"/>
        <w:ind w:firstLine="560" w:firstLineChars="200"/>
        <w:rPr>
          <w:rFonts w:ascii="宋体" w:hAnsi="宋体"/>
          <w:sz w:val="28"/>
          <w:szCs w:val="28"/>
        </w:rPr>
      </w:pPr>
      <w:r>
        <w:rPr>
          <w:rFonts w:hint="eastAsia" w:ascii="宋体" w:hAnsi="宋体"/>
          <w:sz w:val="28"/>
          <w:szCs w:val="28"/>
        </w:rPr>
        <w:t>（6）以上施救过程在外部救援人员到达现场后结束，工作人员应当配合救援人员进行救治。</w:t>
      </w:r>
    </w:p>
    <w:p>
      <w:pPr>
        <w:spacing w:line="360" w:lineRule="auto"/>
        <w:ind w:firstLine="560" w:firstLineChars="200"/>
        <w:rPr>
          <w:rFonts w:ascii="宋体" w:hAnsi="宋体"/>
          <w:sz w:val="28"/>
          <w:szCs w:val="28"/>
        </w:rPr>
      </w:pPr>
      <w:r>
        <w:rPr>
          <w:rFonts w:hint="eastAsia" w:ascii="宋体" w:hAnsi="宋体"/>
          <w:sz w:val="28"/>
          <w:szCs w:val="28"/>
        </w:rPr>
        <w:t>（7）骨折伤亡的处置措施</w:t>
      </w:r>
    </w:p>
    <w:p>
      <w:pPr>
        <w:pStyle w:val="17"/>
        <w:spacing w:line="360" w:lineRule="auto"/>
        <w:ind w:firstLine="560"/>
        <w:rPr>
          <w:sz w:val="28"/>
          <w:szCs w:val="28"/>
        </w:rPr>
      </w:pPr>
      <w:r>
        <w:rPr>
          <w:rFonts w:hint="eastAsia" w:hAnsi="宋体" w:cs="宋体"/>
          <w:sz w:val="28"/>
          <w:szCs w:val="28"/>
        </w:rPr>
        <w:t>①</w:t>
      </w:r>
      <w:r>
        <w:rPr>
          <w:sz w:val="28"/>
          <w:szCs w:val="28"/>
        </w:rPr>
        <w:t>对清醒伤员应询问其自我感觉情况及疼痛部位</w:t>
      </w:r>
      <w:r>
        <w:rPr>
          <w:rFonts w:hint="eastAsia"/>
          <w:sz w:val="28"/>
          <w:szCs w:val="28"/>
        </w:rPr>
        <w:t>。</w:t>
      </w:r>
    </w:p>
    <w:p>
      <w:pPr>
        <w:pStyle w:val="17"/>
        <w:spacing w:line="360" w:lineRule="auto"/>
        <w:ind w:firstLine="560"/>
        <w:rPr>
          <w:sz w:val="28"/>
          <w:szCs w:val="28"/>
        </w:rPr>
      </w:pPr>
      <w:r>
        <w:rPr>
          <w:rFonts w:hint="eastAsia" w:hAnsi="宋体" w:cs="宋体"/>
          <w:sz w:val="28"/>
          <w:szCs w:val="28"/>
        </w:rPr>
        <w:t>②</w:t>
      </w:r>
      <w:r>
        <w:rPr>
          <w:sz w:val="28"/>
          <w:szCs w:val="28"/>
        </w:rPr>
        <w:t>观察伤员的体位情况：所有骨折伤员都有受伤体位异常的表现，这是典型的骨折症状。</w:t>
      </w:r>
      <w:r>
        <w:rPr>
          <w:rFonts w:hint="eastAsia"/>
          <w:sz w:val="28"/>
          <w:szCs w:val="28"/>
        </w:rPr>
        <w:t>对于</w:t>
      </w:r>
      <w:r>
        <w:rPr>
          <w:sz w:val="28"/>
          <w:szCs w:val="28"/>
        </w:rPr>
        <w:t>昏迷者要注意观察其体位有无改变，对清醒者要详细查问伤者的感觉情况，切勿随意搬动伤员。在检查时，切忌让患者坐起或使其身体扭曲，</w:t>
      </w:r>
      <w:r>
        <w:rPr>
          <w:rFonts w:hint="eastAsia"/>
          <w:sz w:val="28"/>
          <w:szCs w:val="28"/>
        </w:rPr>
        <w:t>也不能</w:t>
      </w:r>
      <w:r>
        <w:rPr>
          <w:sz w:val="28"/>
          <w:szCs w:val="28"/>
        </w:rPr>
        <w:t>让伤员做身体各个方向的活动。以免骨折移位及脱位加剧，引起或加重骨髓及脊神经损伤，甚至造成截瘫。</w:t>
      </w:r>
    </w:p>
    <w:p>
      <w:pPr>
        <w:pStyle w:val="17"/>
        <w:spacing w:line="360" w:lineRule="auto"/>
        <w:ind w:firstLine="560"/>
        <w:rPr>
          <w:sz w:val="28"/>
          <w:szCs w:val="28"/>
        </w:rPr>
      </w:pPr>
      <w:r>
        <w:rPr>
          <w:rFonts w:hint="eastAsia" w:hAnsi="宋体" w:cs="宋体"/>
          <w:sz w:val="28"/>
          <w:szCs w:val="28"/>
        </w:rPr>
        <w:t>③</w:t>
      </w:r>
      <w:r>
        <w:rPr>
          <w:rFonts w:hint="eastAsia"/>
          <w:sz w:val="28"/>
          <w:szCs w:val="28"/>
        </w:rPr>
        <w:t>对于脊椎骨折的伤员，应</w:t>
      </w:r>
      <w:r>
        <w:rPr>
          <w:sz w:val="28"/>
          <w:szCs w:val="28"/>
        </w:rPr>
        <w:t>刺激受伤部位以下的皮肤（例如腰椎受伤，刺激其胸部和上下腹部及腿脚皮肤作比较鉴别），观察伤员的反应以确定有无脊髓受压、受损害</w:t>
      </w:r>
      <w:r>
        <w:rPr>
          <w:rFonts w:hint="eastAsia"/>
          <w:sz w:val="28"/>
          <w:szCs w:val="28"/>
        </w:rPr>
        <w:t>。搬运时应</w:t>
      </w:r>
      <w:r>
        <w:rPr>
          <w:sz w:val="28"/>
          <w:szCs w:val="28"/>
        </w:rPr>
        <w:t>用夹板或硬纸皮垫在伤员的身下，搬运时要均匀用力抬起夹板或硬纸皮将伤者平卧位放在硬板上，以免受伤的脊椎移位、断裂造成截瘫或导致死亡。</w:t>
      </w:r>
    </w:p>
    <w:p>
      <w:pPr>
        <w:pStyle w:val="17"/>
        <w:spacing w:line="360" w:lineRule="auto"/>
        <w:ind w:firstLine="560"/>
        <w:rPr>
          <w:sz w:val="28"/>
          <w:szCs w:val="28"/>
        </w:rPr>
      </w:pPr>
      <w:r>
        <w:rPr>
          <w:rFonts w:hint="eastAsia" w:hAnsi="宋体" w:cs="宋体"/>
          <w:sz w:val="28"/>
          <w:szCs w:val="28"/>
        </w:rPr>
        <w:t>④</w:t>
      </w:r>
      <w:r>
        <w:rPr>
          <w:sz w:val="28"/>
          <w:szCs w:val="28"/>
        </w:rPr>
        <w:t>对有脊椎骨折移位导致出现脊髓受压症状的伤员，如伤员不在危险区域，暂无生命危险的，最好待</w:t>
      </w:r>
      <w:r>
        <w:rPr>
          <w:rFonts w:hint="eastAsia"/>
          <w:sz w:val="28"/>
          <w:szCs w:val="28"/>
        </w:rPr>
        <w:t>医务</w:t>
      </w:r>
      <w:r>
        <w:rPr>
          <w:sz w:val="28"/>
          <w:szCs w:val="28"/>
        </w:rPr>
        <w:t>急救人员</w:t>
      </w:r>
      <w:r>
        <w:rPr>
          <w:rFonts w:hint="eastAsia"/>
          <w:sz w:val="28"/>
          <w:szCs w:val="28"/>
        </w:rPr>
        <w:t>进行</w:t>
      </w:r>
      <w:r>
        <w:rPr>
          <w:sz w:val="28"/>
          <w:szCs w:val="28"/>
        </w:rPr>
        <w:t>搬运。</w:t>
      </w:r>
    </w:p>
    <w:p>
      <w:pPr>
        <w:pStyle w:val="17"/>
        <w:spacing w:line="360" w:lineRule="auto"/>
        <w:ind w:firstLine="560"/>
        <w:rPr>
          <w:sz w:val="28"/>
          <w:szCs w:val="28"/>
        </w:rPr>
      </w:pPr>
      <w:r>
        <w:rPr>
          <w:rFonts w:hint="eastAsia" w:hAnsi="宋体" w:cs="宋体"/>
          <w:sz w:val="28"/>
          <w:szCs w:val="28"/>
        </w:rPr>
        <w:t>⑤</w:t>
      </w:r>
      <w:r>
        <w:rPr>
          <w:sz w:val="28"/>
          <w:szCs w:val="28"/>
        </w:rPr>
        <w:t>对有手足大骨骨折的伤员，不要盲目搬动，应先在骨折部位用木板条或竹板片（竹棍甚至钢筋条）于骨折位置的上、下关节处作临时固定，使断端不再移位或刺伤肌肉、神经或血管</w:t>
      </w:r>
      <w:r>
        <w:rPr>
          <w:rFonts w:hint="eastAsia"/>
          <w:sz w:val="28"/>
          <w:szCs w:val="28"/>
        </w:rPr>
        <w:t>，然后呼叫医务人员等待救援或送至医务室接受救治</w:t>
      </w:r>
      <w:r>
        <w:rPr>
          <w:sz w:val="28"/>
          <w:szCs w:val="28"/>
        </w:rPr>
        <w:t>。</w:t>
      </w:r>
    </w:p>
    <w:p>
      <w:pPr>
        <w:pStyle w:val="17"/>
        <w:widowControl w:val="0"/>
        <w:spacing w:line="360" w:lineRule="auto"/>
        <w:ind w:firstLine="560"/>
        <w:rPr>
          <w:sz w:val="28"/>
          <w:szCs w:val="28"/>
        </w:rPr>
      </w:pPr>
      <w:r>
        <w:rPr>
          <w:rFonts w:hint="eastAsia" w:hAnsi="宋体" w:cs="宋体"/>
          <w:sz w:val="28"/>
          <w:szCs w:val="28"/>
        </w:rPr>
        <w:t>⑥</w:t>
      </w:r>
      <w:r>
        <w:rPr>
          <w:sz w:val="28"/>
          <w:szCs w:val="28"/>
        </w:rPr>
        <w:t>如有骨折断端外露在皮肤外的，切勿强行将骨折断端按压进皮肤下面，只能用干净的</w:t>
      </w:r>
      <w:r>
        <w:rPr>
          <w:rFonts w:hint="eastAsia"/>
          <w:sz w:val="28"/>
          <w:szCs w:val="28"/>
        </w:rPr>
        <w:t>砂布</w:t>
      </w:r>
      <w:r>
        <w:rPr>
          <w:sz w:val="28"/>
          <w:szCs w:val="28"/>
        </w:rPr>
        <w:t>复盖好伤口，固定好骨折上下关节部位</w:t>
      </w:r>
      <w:r>
        <w:rPr>
          <w:rFonts w:hint="eastAsia"/>
          <w:sz w:val="28"/>
          <w:szCs w:val="28"/>
        </w:rPr>
        <w:t>，然后呼叫医务人员等待救援</w:t>
      </w:r>
      <w:r>
        <w:rPr>
          <w:sz w:val="28"/>
          <w:szCs w:val="28"/>
        </w:rPr>
        <w:t>。</w:t>
      </w:r>
    </w:p>
    <w:p>
      <w:pPr>
        <w:pStyle w:val="2"/>
        <w:spacing w:line="360" w:lineRule="auto"/>
        <w:rPr>
          <w:rFonts w:ascii="宋体" w:hAnsi="宋体" w:eastAsia="宋体"/>
          <w:b w:val="0"/>
          <w:bCs w:val="0"/>
        </w:rPr>
      </w:pPr>
      <w:bookmarkStart w:id="200" w:name="_Toc4697"/>
      <w:r>
        <w:rPr>
          <w:rFonts w:hint="eastAsia" w:ascii="宋体" w:hAnsi="宋体" w:eastAsia="宋体"/>
          <w:b w:val="0"/>
          <w:bCs w:val="0"/>
        </w:rPr>
        <w:t>F</w:t>
      </w:r>
      <w:r>
        <w:rPr>
          <w:rFonts w:hint="eastAsia" w:ascii="宋体" w:hAnsi="宋体" w:eastAsia="宋体"/>
          <w:b w:val="0"/>
          <w:bCs w:val="0"/>
          <w:lang w:val="en-US" w:eastAsia="zh-CN"/>
        </w:rPr>
        <w:t>2</w:t>
      </w:r>
      <w:r>
        <w:rPr>
          <w:rFonts w:hint="eastAsia" w:ascii="宋体" w:hAnsi="宋体" w:eastAsia="宋体"/>
          <w:b w:val="0"/>
          <w:bCs w:val="0"/>
        </w:rPr>
        <w:t>.9坍塌事故</w:t>
      </w:r>
      <w:bookmarkEnd w:id="200"/>
    </w:p>
    <w:p>
      <w:pPr>
        <w:pStyle w:val="19"/>
        <w:shd w:val="clear" w:color="auto" w:fill="FFFFFF"/>
        <w:spacing w:before="0" w:beforeAutospacing="0" w:after="0" w:afterAutospacing="0"/>
        <w:ind w:firstLine="560" w:firstLineChars="200"/>
        <w:rPr>
          <w:sz w:val="28"/>
          <w:szCs w:val="28"/>
        </w:rPr>
      </w:pPr>
      <w:r>
        <w:rPr>
          <w:rFonts w:hint="eastAsia"/>
          <w:sz w:val="28"/>
          <w:szCs w:val="28"/>
        </w:rPr>
        <w:t>1、接到事故报警后，立即组织应急救援小组至事故现场。</w:t>
      </w:r>
    </w:p>
    <w:p>
      <w:pPr>
        <w:pStyle w:val="19"/>
        <w:shd w:val="clear" w:color="auto" w:fill="FFFFFF"/>
        <w:spacing w:before="0" w:beforeAutospacing="0" w:after="0" w:afterAutospacing="0"/>
        <w:ind w:firstLine="560" w:firstLineChars="200"/>
        <w:rPr>
          <w:sz w:val="28"/>
          <w:szCs w:val="28"/>
        </w:rPr>
      </w:pPr>
      <w:r>
        <w:rPr>
          <w:rFonts w:hint="eastAsia"/>
          <w:sz w:val="28"/>
          <w:szCs w:val="28"/>
        </w:rPr>
        <w:t>2、疏散无关人员，设立警戒线，保护事故现场。</w:t>
      </w:r>
    </w:p>
    <w:p>
      <w:pPr>
        <w:spacing w:line="360" w:lineRule="auto"/>
        <w:ind w:firstLine="560" w:firstLineChars="200"/>
        <w:rPr>
          <w:sz w:val="28"/>
          <w:szCs w:val="28"/>
        </w:rPr>
      </w:pPr>
      <w:r>
        <w:rPr>
          <w:rFonts w:hint="eastAsia"/>
          <w:sz w:val="28"/>
          <w:szCs w:val="28"/>
        </w:rPr>
        <w:t>3、事故救援</w:t>
      </w:r>
    </w:p>
    <w:p>
      <w:pPr>
        <w:pStyle w:val="17"/>
        <w:widowControl w:val="0"/>
        <w:spacing w:line="360" w:lineRule="auto"/>
        <w:ind w:firstLine="560"/>
        <w:rPr>
          <w:sz w:val="28"/>
          <w:szCs w:val="28"/>
        </w:rPr>
      </w:pPr>
      <w:r>
        <w:rPr>
          <w:rFonts w:hint="eastAsia"/>
          <w:sz w:val="28"/>
          <w:szCs w:val="28"/>
        </w:rPr>
        <w:t>（1）一旦发生货架坍塌事故，应立即组织对受伤人员进行急救，挖掘被掩埋伤员，及时脱离危险区。清除伤员凝血块、呕吐物等，对昏迷伤员将舌拉出以防窒息。进行简易的包扎，止血或简易固定骨折。 </w:t>
      </w:r>
    </w:p>
    <w:p>
      <w:pPr>
        <w:pStyle w:val="17"/>
        <w:widowControl w:val="0"/>
        <w:spacing w:line="360" w:lineRule="auto"/>
        <w:ind w:firstLine="560"/>
        <w:rPr>
          <w:sz w:val="28"/>
          <w:szCs w:val="28"/>
        </w:rPr>
      </w:pPr>
      <w:r>
        <w:rPr>
          <w:rFonts w:hint="eastAsia"/>
          <w:sz w:val="28"/>
          <w:szCs w:val="28"/>
        </w:rPr>
        <w:t>（2）并设立危险警戒区域，设专人把守，除抢救人员可以进出外，禁止任何无关人员进入事故发生区域，防止事故进一步扩大。  </w:t>
      </w:r>
    </w:p>
    <w:p>
      <w:pPr>
        <w:pStyle w:val="17"/>
        <w:widowControl w:val="0"/>
        <w:spacing w:line="360" w:lineRule="auto"/>
        <w:ind w:firstLine="560"/>
        <w:rPr>
          <w:sz w:val="28"/>
          <w:szCs w:val="28"/>
        </w:rPr>
      </w:pPr>
      <w:r>
        <w:rPr>
          <w:rFonts w:hint="eastAsia"/>
          <w:sz w:val="28"/>
          <w:szCs w:val="28"/>
        </w:rPr>
        <w:t>（3）迅速确定事故发生的准确位置、可能波及的范围、货架损坏的程度、人员伤亡情况等，以根据不同情况进行应急处置。  </w:t>
      </w:r>
    </w:p>
    <w:p>
      <w:pPr>
        <w:pStyle w:val="17"/>
        <w:widowControl w:val="0"/>
        <w:spacing w:line="360" w:lineRule="auto"/>
        <w:ind w:firstLine="560"/>
        <w:rPr>
          <w:sz w:val="28"/>
          <w:szCs w:val="28"/>
        </w:rPr>
      </w:pPr>
      <w:r>
        <w:rPr>
          <w:rFonts w:hint="eastAsia"/>
          <w:sz w:val="28"/>
          <w:szCs w:val="28"/>
        </w:rPr>
        <w:t>（4）按着救人优先的原则，且在保障人身安全的情况下尽可能地抢救重要资料和财产，并注意做好应急人员的自身安全。  </w:t>
      </w:r>
    </w:p>
    <w:p>
      <w:pPr>
        <w:pStyle w:val="17"/>
        <w:widowControl w:val="0"/>
        <w:spacing w:line="360" w:lineRule="auto"/>
        <w:ind w:firstLine="560"/>
        <w:rPr>
          <w:sz w:val="28"/>
          <w:szCs w:val="28"/>
        </w:rPr>
      </w:pPr>
      <w:r>
        <w:rPr>
          <w:rFonts w:hint="eastAsia"/>
          <w:sz w:val="28"/>
          <w:szCs w:val="28"/>
        </w:rPr>
        <w:t>（5）组织人员尽快解除重物压迫，减少伤员挤压综合症发生，并将其转移至安全地方。  </w:t>
      </w:r>
    </w:p>
    <w:p>
      <w:pPr>
        <w:pStyle w:val="17"/>
        <w:widowControl w:val="0"/>
        <w:spacing w:line="360" w:lineRule="auto"/>
        <w:ind w:firstLine="560"/>
        <w:rPr>
          <w:sz w:val="28"/>
          <w:szCs w:val="28"/>
        </w:rPr>
      </w:pPr>
      <w:r>
        <w:rPr>
          <w:rFonts w:hint="eastAsia"/>
          <w:sz w:val="28"/>
          <w:szCs w:val="28"/>
        </w:rPr>
        <w:t>（6）对未坍塌部位进行抢修加固或者拆除，封锁周围危险区域，防止进一步坍塌。 </w:t>
      </w:r>
    </w:p>
    <w:p>
      <w:pPr>
        <w:spacing w:line="360" w:lineRule="auto"/>
        <w:ind w:firstLine="560" w:firstLineChars="200"/>
        <w:rPr>
          <w:sz w:val="28"/>
          <w:szCs w:val="28"/>
          <w:highlight w:val="magenta"/>
        </w:rPr>
      </w:pPr>
      <w:r>
        <w:rPr>
          <w:rFonts w:hint="eastAsia"/>
          <w:sz w:val="28"/>
          <w:szCs w:val="28"/>
        </w:rPr>
        <w:t>（7）如货架太重，可用千斤顶、必要时动用吊车将架体缓慢抬高，以便救人；如无人员伤亡，立即实施货架清理、加固或拆除等措施。</w:t>
      </w:r>
    </w:p>
    <w:p>
      <w:pPr>
        <w:pStyle w:val="2"/>
        <w:spacing w:line="360" w:lineRule="auto"/>
        <w:rPr>
          <w:rFonts w:ascii="宋体" w:hAnsi="宋体" w:eastAsia="宋体"/>
          <w:b w:val="0"/>
          <w:bCs w:val="0"/>
        </w:rPr>
      </w:pPr>
      <w:bookmarkStart w:id="201" w:name="_Toc12595"/>
      <w:r>
        <w:rPr>
          <w:rFonts w:hint="eastAsia" w:ascii="宋体" w:hAnsi="宋体" w:eastAsia="宋体"/>
          <w:b w:val="0"/>
          <w:bCs w:val="0"/>
        </w:rPr>
        <w:t>F</w:t>
      </w:r>
      <w:r>
        <w:rPr>
          <w:rFonts w:hint="eastAsia" w:ascii="宋体" w:hAnsi="宋体" w:eastAsia="宋体"/>
          <w:b w:val="0"/>
          <w:bCs w:val="0"/>
          <w:lang w:val="en-US" w:eastAsia="zh-CN"/>
        </w:rPr>
        <w:t>2</w:t>
      </w:r>
      <w:r>
        <w:rPr>
          <w:rFonts w:hint="eastAsia" w:ascii="宋体" w:hAnsi="宋体" w:eastAsia="宋体"/>
          <w:b w:val="0"/>
          <w:bCs w:val="0"/>
        </w:rPr>
        <w:t>.10电梯事故</w:t>
      </w:r>
      <w:bookmarkEnd w:id="201"/>
    </w:p>
    <w:p>
      <w:pPr>
        <w:pStyle w:val="17"/>
        <w:widowControl w:val="0"/>
        <w:spacing w:line="360" w:lineRule="auto"/>
        <w:ind w:firstLine="560"/>
        <w:rPr>
          <w:sz w:val="28"/>
          <w:szCs w:val="28"/>
        </w:rPr>
      </w:pPr>
      <w:r>
        <w:rPr>
          <w:rFonts w:hint="eastAsia"/>
          <w:sz w:val="28"/>
          <w:szCs w:val="28"/>
        </w:rPr>
        <w:t> 1、事故发生后正确判定事故的性质，正确快速地做好事故的先期处理，解救被困人员和财产。</w:t>
      </w:r>
    </w:p>
    <w:p>
      <w:pPr>
        <w:pStyle w:val="17"/>
        <w:widowControl w:val="0"/>
        <w:spacing w:line="360" w:lineRule="auto"/>
        <w:ind w:firstLine="560"/>
        <w:rPr>
          <w:sz w:val="28"/>
          <w:szCs w:val="28"/>
        </w:rPr>
      </w:pPr>
      <w:r>
        <w:rPr>
          <w:rFonts w:hint="eastAsia"/>
          <w:sz w:val="28"/>
          <w:szCs w:val="28"/>
        </w:rPr>
        <w:t> 2、在事故处理过程中要保持冷静，严格遵守操作规程，防止发生误操作事故造成二次事故和伤害。 </w:t>
      </w:r>
    </w:p>
    <w:p>
      <w:pPr>
        <w:pStyle w:val="17"/>
        <w:widowControl w:val="0"/>
        <w:spacing w:line="360" w:lineRule="auto"/>
        <w:ind w:firstLine="560"/>
        <w:rPr>
          <w:sz w:val="28"/>
          <w:szCs w:val="28"/>
        </w:rPr>
      </w:pPr>
      <w:r>
        <w:rPr>
          <w:rFonts w:hint="eastAsia"/>
          <w:sz w:val="28"/>
          <w:szCs w:val="28"/>
        </w:rPr>
        <w:t>3、在维保人员到来之前，开启故障电梯急停开关，并手动将电梯门厅关好。必须时切断电源，在故障层厅门处放置警示牌。</w:t>
      </w:r>
    </w:p>
    <w:p>
      <w:pPr>
        <w:pStyle w:val="17"/>
        <w:widowControl w:val="0"/>
        <w:spacing w:line="360" w:lineRule="auto"/>
        <w:ind w:firstLine="560"/>
        <w:rPr>
          <w:sz w:val="28"/>
          <w:szCs w:val="28"/>
        </w:rPr>
      </w:pPr>
      <w:r>
        <w:rPr>
          <w:rFonts w:hint="eastAsia"/>
          <w:sz w:val="28"/>
          <w:szCs w:val="28"/>
        </w:rPr>
        <w:t>4、几种电梯事故的应急救援措施</w:t>
      </w:r>
    </w:p>
    <w:p>
      <w:pPr>
        <w:pStyle w:val="17"/>
        <w:widowControl w:val="0"/>
        <w:spacing w:line="360" w:lineRule="auto"/>
        <w:ind w:firstLine="560"/>
        <w:rPr>
          <w:sz w:val="28"/>
          <w:szCs w:val="28"/>
        </w:rPr>
      </w:pPr>
      <w:r>
        <w:rPr>
          <w:rFonts w:hint="eastAsia"/>
          <w:sz w:val="28"/>
          <w:szCs w:val="28"/>
        </w:rPr>
        <w:t>（1）停电造成电梯停梯事故的应急措施: </w:t>
      </w:r>
    </w:p>
    <w:p>
      <w:pPr>
        <w:pStyle w:val="17"/>
        <w:widowControl w:val="0"/>
        <w:spacing w:line="360" w:lineRule="auto"/>
        <w:ind w:firstLine="560"/>
        <w:rPr>
          <w:sz w:val="28"/>
          <w:szCs w:val="28"/>
        </w:rPr>
      </w:pPr>
      <w:r>
        <w:rPr>
          <w:rFonts w:hint="eastAsia"/>
          <w:sz w:val="28"/>
          <w:szCs w:val="28"/>
        </w:rPr>
        <w:t>① 如无紧急发货任务可以等到来电后，电梯自动回复运行。 </w:t>
      </w:r>
    </w:p>
    <w:p>
      <w:pPr>
        <w:pStyle w:val="17"/>
        <w:widowControl w:val="0"/>
        <w:spacing w:line="360" w:lineRule="auto"/>
        <w:ind w:firstLine="560"/>
        <w:rPr>
          <w:sz w:val="28"/>
          <w:szCs w:val="28"/>
        </w:rPr>
      </w:pPr>
      <w:r>
        <w:rPr>
          <w:rFonts w:hint="eastAsia"/>
          <w:sz w:val="28"/>
          <w:szCs w:val="28"/>
        </w:rPr>
        <w:t>② 如果在装卸货物时有人困在电梯内，困在电梯内的人员应该按电梯内的通话键和外界取得联系，应急救援人员与电梯轿厢内人员保持联系，对受困人员进行安抚，提示轿厢内人员保持安静，尽可能远离电梯轿门，配合救援活动。 </w:t>
      </w:r>
    </w:p>
    <w:p>
      <w:pPr>
        <w:pStyle w:val="17"/>
        <w:widowControl w:val="0"/>
        <w:spacing w:line="360" w:lineRule="auto"/>
        <w:ind w:firstLine="560"/>
        <w:rPr>
          <w:sz w:val="28"/>
          <w:szCs w:val="28"/>
        </w:rPr>
      </w:pPr>
      <w:r>
        <w:rPr>
          <w:rFonts w:hint="eastAsia"/>
          <w:sz w:val="28"/>
          <w:szCs w:val="28"/>
        </w:rPr>
        <w:t>③ 不管是何种原因停电，应立即与电工联系，安排维修，同时将情况向被困电梯内的人员沟通。 </w:t>
      </w:r>
    </w:p>
    <w:p>
      <w:pPr>
        <w:pStyle w:val="17"/>
        <w:widowControl w:val="0"/>
        <w:spacing w:line="360" w:lineRule="auto"/>
        <w:ind w:firstLine="560"/>
        <w:rPr>
          <w:sz w:val="28"/>
          <w:szCs w:val="28"/>
        </w:rPr>
      </w:pPr>
      <w:r>
        <w:rPr>
          <w:rFonts w:hint="eastAsia"/>
          <w:sz w:val="28"/>
          <w:szCs w:val="28"/>
        </w:rPr>
        <w:t>④ 对停电时间、线路维修时间超过30分钟的情况，立即启动人员解救程序，通知电梯维保人员协助解救。 </w:t>
      </w:r>
    </w:p>
    <w:p>
      <w:pPr>
        <w:pStyle w:val="17"/>
        <w:widowControl w:val="0"/>
        <w:spacing w:line="360" w:lineRule="auto"/>
        <w:ind w:firstLine="560"/>
        <w:rPr>
          <w:sz w:val="28"/>
          <w:szCs w:val="28"/>
        </w:rPr>
      </w:pPr>
      <w:r>
        <w:rPr>
          <w:rFonts w:hint="eastAsia" w:hAnsi="宋体" w:cs="宋体"/>
          <w:sz w:val="28"/>
          <w:szCs w:val="28"/>
        </w:rPr>
        <w:t>⑤</w:t>
      </w:r>
      <w:r>
        <w:rPr>
          <w:rFonts w:hint="eastAsia"/>
          <w:sz w:val="28"/>
          <w:szCs w:val="28"/>
        </w:rPr>
        <w:t>如轿坎与厅坎上下差±500mm以内时操作如下： </w:t>
      </w:r>
    </w:p>
    <w:p>
      <w:pPr>
        <w:pStyle w:val="17"/>
        <w:widowControl w:val="0"/>
        <w:spacing w:line="360" w:lineRule="auto"/>
        <w:ind w:firstLine="560"/>
        <w:rPr>
          <w:sz w:val="28"/>
          <w:szCs w:val="28"/>
        </w:rPr>
      </w:pPr>
      <w:r>
        <w:rPr>
          <w:rFonts w:hint="eastAsia"/>
          <w:sz w:val="28"/>
          <w:szCs w:val="28"/>
        </w:rPr>
        <w:t>首先压下急停开关，通知被困者即将开门，然后手动慢速盘开门机，轿门口应派人迎候。提醒被困者注意安全。 如轿坎与厅坎距离较大时应将轿厢手动盘车至接近平层位置在机房盘车时必须首先拉掉电梯的电源开关。 按操作规程用开闸扳手打开制动器盘车，当轿厢行至接近楼层时（以绳标为准）应停止盘车，使制动器复位。 </w:t>
      </w:r>
    </w:p>
    <w:p>
      <w:pPr>
        <w:pStyle w:val="17"/>
        <w:widowControl w:val="0"/>
        <w:spacing w:line="360" w:lineRule="auto"/>
        <w:ind w:firstLine="560"/>
        <w:rPr>
          <w:sz w:val="28"/>
          <w:szCs w:val="28"/>
        </w:rPr>
      </w:pPr>
      <w:r>
        <w:rPr>
          <w:rFonts w:hint="eastAsia" w:hAnsi="宋体" w:cs="宋体"/>
          <w:sz w:val="28"/>
          <w:szCs w:val="28"/>
        </w:rPr>
        <w:t>⑥</w:t>
      </w:r>
      <w:r>
        <w:rPr>
          <w:rFonts w:hint="eastAsia"/>
          <w:sz w:val="28"/>
          <w:szCs w:val="28"/>
        </w:rPr>
        <w:t>盘车时必须两人操作，打抱闸的人必须听盘车人的指挥，盘车时应缓慢进行，断续动作（一撬一放），使轿厢逐步移动，直至接近层门为止。 </w:t>
      </w:r>
    </w:p>
    <w:p>
      <w:pPr>
        <w:pStyle w:val="17"/>
        <w:widowControl w:val="0"/>
        <w:spacing w:line="360" w:lineRule="auto"/>
        <w:ind w:firstLine="560"/>
        <w:rPr>
          <w:sz w:val="28"/>
          <w:szCs w:val="28"/>
        </w:rPr>
      </w:pPr>
      <w:r>
        <w:rPr>
          <w:rFonts w:hint="eastAsia"/>
          <w:sz w:val="28"/>
          <w:szCs w:val="28"/>
        </w:rPr>
        <w:t>操作时应注意：如轿厢停在最上层厅门的以上或最下层厅门以下时，不可只撬开抱闸令轿厢自动移动，而应撬开抱闸的同时抱紧盘车手轮，并用人力盘绞，使轿厢向正方向移动。 </w:t>
      </w:r>
    </w:p>
    <w:p>
      <w:pPr>
        <w:pStyle w:val="17"/>
        <w:widowControl w:val="0"/>
        <w:spacing w:line="360" w:lineRule="auto"/>
        <w:ind w:firstLine="560"/>
        <w:rPr>
          <w:sz w:val="28"/>
          <w:szCs w:val="28"/>
        </w:rPr>
      </w:pPr>
      <w:r>
        <w:rPr>
          <w:rFonts w:hint="eastAsia" w:hAnsi="宋体" w:cs="宋体"/>
          <w:sz w:val="28"/>
          <w:szCs w:val="28"/>
        </w:rPr>
        <w:t>⑦</w:t>
      </w:r>
      <w:r>
        <w:rPr>
          <w:rFonts w:hint="eastAsia"/>
          <w:sz w:val="28"/>
          <w:szCs w:val="28"/>
        </w:rPr>
        <w:t>用厅门钥匙打开紧急门锁，协助被困人员迅速离开轿厢。 </w:t>
      </w:r>
    </w:p>
    <w:p>
      <w:pPr>
        <w:pStyle w:val="17"/>
        <w:widowControl w:val="0"/>
        <w:spacing w:line="360" w:lineRule="auto"/>
        <w:ind w:firstLine="560"/>
        <w:rPr>
          <w:sz w:val="28"/>
          <w:szCs w:val="28"/>
        </w:rPr>
      </w:pPr>
      <w:r>
        <w:rPr>
          <w:rFonts w:hint="eastAsia"/>
          <w:sz w:val="28"/>
          <w:szCs w:val="28"/>
        </w:rPr>
        <w:t>（2）因为机械、电路故障造成的电梯停梯的应急措施: </w:t>
      </w:r>
    </w:p>
    <w:p>
      <w:pPr>
        <w:pStyle w:val="17"/>
        <w:widowControl w:val="0"/>
        <w:spacing w:line="360" w:lineRule="auto"/>
        <w:ind w:firstLine="560"/>
        <w:rPr>
          <w:sz w:val="28"/>
          <w:szCs w:val="28"/>
        </w:rPr>
      </w:pPr>
      <w:r>
        <w:rPr>
          <w:rFonts w:hint="eastAsia"/>
          <w:sz w:val="28"/>
          <w:szCs w:val="28"/>
        </w:rPr>
        <w:t>① 发现情况的人员立即将电梯急停键按下，并通知安全管理员。如电梯内有人员的情况，通知电梯维保人员维修，并粘贴电梯停用标示。 </w:t>
      </w:r>
    </w:p>
    <w:p>
      <w:pPr>
        <w:pStyle w:val="17"/>
        <w:widowControl w:val="0"/>
        <w:spacing w:line="360" w:lineRule="auto"/>
        <w:ind w:firstLine="560"/>
        <w:rPr>
          <w:sz w:val="28"/>
          <w:szCs w:val="28"/>
        </w:rPr>
      </w:pPr>
      <w:r>
        <w:rPr>
          <w:rFonts w:hint="eastAsia"/>
          <w:sz w:val="28"/>
          <w:szCs w:val="28"/>
        </w:rPr>
        <w:t>② 如有人员的情况应该通知应急小组成员。应急救援人员与电梯轿厢内人员保持联系，并通知电梯维保人员。对受困人员进行安抚，提示轿厢内人员保持安静，尽可能远离电梯轿门，配合救援活动。 </w:t>
      </w:r>
    </w:p>
    <w:p>
      <w:pPr>
        <w:pStyle w:val="17"/>
        <w:widowControl w:val="0"/>
        <w:spacing w:line="360" w:lineRule="auto"/>
        <w:ind w:firstLine="560"/>
        <w:rPr>
          <w:sz w:val="28"/>
          <w:szCs w:val="28"/>
        </w:rPr>
      </w:pPr>
      <w:r>
        <w:rPr>
          <w:rFonts w:hint="eastAsia"/>
          <w:sz w:val="28"/>
          <w:szCs w:val="28"/>
        </w:rPr>
        <w:t>③ 电梯维保人员找到故障原因，应急小组成员应该和维保人员取得共识，制定下一步行动方案。 </w:t>
      </w:r>
    </w:p>
    <w:p>
      <w:pPr>
        <w:pStyle w:val="17"/>
        <w:widowControl w:val="0"/>
        <w:spacing w:line="360" w:lineRule="auto"/>
        <w:ind w:firstLine="560"/>
        <w:rPr>
          <w:sz w:val="28"/>
          <w:szCs w:val="28"/>
        </w:rPr>
      </w:pPr>
      <w:r>
        <w:rPr>
          <w:rFonts w:hint="eastAsia"/>
          <w:sz w:val="28"/>
          <w:szCs w:val="28"/>
        </w:rPr>
        <w:t>（3）门区剪切，人员伤亡的应急措施: </w:t>
      </w:r>
    </w:p>
    <w:p>
      <w:pPr>
        <w:pStyle w:val="17"/>
        <w:widowControl w:val="0"/>
        <w:spacing w:line="360" w:lineRule="auto"/>
        <w:ind w:firstLine="560"/>
        <w:rPr>
          <w:sz w:val="28"/>
          <w:szCs w:val="28"/>
        </w:rPr>
      </w:pPr>
      <w:r>
        <w:rPr>
          <w:rFonts w:hint="eastAsia"/>
          <w:sz w:val="28"/>
          <w:szCs w:val="28"/>
        </w:rPr>
        <w:t>① 发现人员应该立即通知安全管理员，首先断开电梯主电源开关，以避免在救援过程中突然恢复供电而导致发生意外，拨打120急救中心到现场进行急救，应急小组人员到达后根据现场情况进行采取急救措施。同时通知公司主要领导人员到场，并通知电梯维保人员到场。 </w:t>
      </w:r>
    </w:p>
    <w:p>
      <w:pPr>
        <w:pStyle w:val="17"/>
        <w:widowControl w:val="0"/>
        <w:spacing w:line="360" w:lineRule="auto"/>
        <w:ind w:firstLine="560"/>
        <w:rPr>
          <w:sz w:val="28"/>
          <w:szCs w:val="28"/>
        </w:rPr>
      </w:pPr>
      <w:r>
        <w:rPr>
          <w:rFonts w:hint="eastAsia"/>
          <w:sz w:val="28"/>
          <w:szCs w:val="28"/>
        </w:rPr>
        <w:t>② 有足够的救援人员且先行救援不会导致受伤人员进一步伤害的情况下，可在急救中心专业急救人员到来之前进行救援，否则应根据急救中心急救人员的指示进行前期救援准备工作并在市急救中心急救人员到来后配合救援工作。</w:t>
      </w:r>
    </w:p>
    <w:p>
      <w:pPr>
        <w:pStyle w:val="17"/>
        <w:widowControl w:val="0"/>
        <w:spacing w:line="360" w:lineRule="auto"/>
        <w:ind w:firstLine="560"/>
        <w:rPr>
          <w:sz w:val="28"/>
          <w:szCs w:val="28"/>
        </w:rPr>
      </w:pPr>
      <w:r>
        <w:rPr>
          <w:rFonts w:hint="eastAsia"/>
          <w:sz w:val="28"/>
          <w:szCs w:val="28"/>
        </w:rPr>
        <w:t>③ 若轿厢内人员或层站乘客发生在出入轿厢时被剪切事故 ，如果可以通过打开电梯门直接救出乘客，则应在保证安全的前提下，用层门钥匙打开相应层门，救出被困乘客。如果不可以通过打开电梯门直接救出乘客，则相应人员在受伤乘客所在楼层留守，相应人员进行盘车救援操作或紧急电动运行，并且保持与留守在受伤乘客所在楼层的人员通讯，一旦可以将受伤乘客救出，则停止盘车救援操作或紧急电动运行。在保证安全的前提下，用层门开锁钥匙打开相应层门，救出被困乘客。                              </w:t>
      </w:r>
    </w:p>
    <w:p>
      <w:pPr>
        <w:pStyle w:val="17"/>
        <w:widowControl w:val="0"/>
        <w:spacing w:line="360" w:lineRule="auto"/>
        <w:ind w:firstLine="560"/>
        <w:rPr>
          <w:sz w:val="28"/>
          <w:szCs w:val="28"/>
        </w:rPr>
      </w:pPr>
      <w:r>
        <w:rPr>
          <w:rFonts w:hint="eastAsia"/>
          <w:sz w:val="28"/>
          <w:szCs w:val="28"/>
        </w:rPr>
        <w:t>④ 若乘客或其他人员在非出入轿厢时被剪切（发生轿底或轿顶剪切） ，相应人员在受伤乘客所在楼层留守，相应人员进行盘车救援操作或紧急电动运行（使轿厢向上移动），并且保持与留守在受伤乘客所在楼层的人员通讯，一旦可以将受伤乘客救出，则停止盘车救援操作或紧急电动运行。  发生轿顶剪切时，相应人员在受伤乘客所在楼层留守，相应人员进行盘车救援操作或紧急电动运行（使轿厢向下移动），并且保持与留守在受伤乘客所在楼层的人员通讯，一旦可以将受伤乘客救出，则停止盘车救援操作或紧急电动运行。  救出乘客后，根据急救中心急救人员的指示进行下一步救援工作。 </w:t>
      </w:r>
    </w:p>
    <w:p>
      <w:pPr>
        <w:pStyle w:val="17"/>
        <w:widowControl w:val="0"/>
        <w:spacing w:line="360" w:lineRule="auto"/>
        <w:ind w:firstLine="560"/>
        <w:rPr>
          <w:sz w:val="28"/>
          <w:szCs w:val="28"/>
        </w:rPr>
      </w:pPr>
      <w:r>
        <w:rPr>
          <w:rFonts w:hint="eastAsia"/>
          <w:sz w:val="28"/>
          <w:szCs w:val="28"/>
        </w:rPr>
        <w:t>（4）建筑物发生火灾时的应急处理 </w:t>
      </w:r>
    </w:p>
    <w:p>
      <w:pPr>
        <w:pStyle w:val="17"/>
        <w:widowControl w:val="0"/>
        <w:spacing w:line="360" w:lineRule="auto"/>
        <w:ind w:firstLine="560"/>
        <w:rPr>
          <w:sz w:val="28"/>
          <w:szCs w:val="28"/>
        </w:rPr>
      </w:pPr>
      <w:r>
        <w:rPr>
          <w:rFonts w:hint="eastAsia"/>
          <w:sz w:val="28"/>
          <w:szCs w:val="28"/>
        </w:rPr>
        <w:t>① 如果是本厂发生火灾，电梯安全管理员应该立即确认电梯内是否有人员，再切断电梯电源。</w:t>
      </w:r>
    </w:p>
    <w:p>
      <w:pPr>
        <w:pStyle w:val="17"/>
        <w:widowControl w:val="0"/>
        <w:spacing w:line="360" w:lineRule="auto"/>
        <w:ind w:firstLine="560"/>
        <w:rPr>
          <w:sz w:val="28"/>
          <w:szCs w:val="28"/>
        </w:rPr>
      </w:pPr>
      <w:r>
        <w:rPr>
          <w:rFonts w:hint="eastAsia"/>
          <w:sz w:val="28"/>
          <w:szCs w:val="28"/>
        </w:rPr>
        <w:t>② 如果电梯内有人，应该立即通知应急小组成员，通知维保人员进行救援。 </w:t>
      </w:r>
    </w:p>
    <w:p>
      <w:pPr>
        <w:pStyle w:val="17"/>
        <w:widowControl w:val="0"/>
        <w:spacing w:line="360" w:lineRule="auto"/>
        <w:ind w:firstLine="560"/>
        <w:rPr>
          <w:sz w:val="28"/>
          <w:szCs w:val="28"/>
        </w:rPr>
      </w:pPr>
      <w:r>
        <w:rPr>
          <w:rFonts w:hint="eastAsia"/>
          <w:sz w:val="28"/>
          <w:szCs w:val="28"/>
        </w:rPr>
        <w:t>方法一：施救人员在轿厢位置的上层将层门用钥匙打开，进入轿顶，将电梯置于检修运行状态，以慢速运行方式将轿厢运行至就近楼层的平层位置，用钥匙将门打开，让乘客撤离。</w:t>
      </w:r>
    </w:p>
    <w:p>
      <w:pPr>
        <w:pStyle w:val="17"/>
        <w:widowControl w:val="0"/>
        <w:spacing w:line="360" w:lineRule="auto"/>
        <w:ind w:firstLine="560"/>
        <w:rPr>
          <w:sz w:val="28"/>
          <w:szCs w:val="28"/>
        </w:rPr>
      </w:pPr>
      <w:r>
        <w:rPr>
          <w:rFonts w:hint="eastAsia"/>
          <w:sz w:val="28"/>
          <w:szCs w:val="28"/>
        </w:rPr>
        <w:t>方法二：盘车放人操作 </w:t>
      </w:r>
    </w:p>
    <w:p>
      <w:pPr>
        <w:pStyle w:val="17"/>
        <w:widowControl w:val="0"/>
        <w:spacing w:line="360" w:lineRule="auto"/>
        <w:ind w:firstLine="560"/>
        <w:rPr>
          <w:sz w:val="28"/>
          <w:szCs w:val="28"/>
        </w:rPr>
      </w:pPr>
      <w:r>
        <w:rPr>
          <w:rFonts w:hint="eastAsia"/>
          <w:sz w:val="28"/>
          <w:szCs w:val="28"/>
        </w:rPr>
        <w:t>a.操作前先通知被困人员，盘车操作已经开始，请乘客或司机配合。 </w:t>
      </w:r>
    </w:p>
    <w:p>
      <w:pPr>
        <w:pStyle w:val="17"/>
        <w:widowControl w:val="0"/>
        <w:spacing w:line="360" w:lineRule="auto"/>
        <w:ind w:firstLine="560"/>
        <w:rPr>
          <w:sz w:val="28"/>
          <w:szCs w:val="28"/>
        </w:rPr>
      </w:pPr>
      <w:r>
        <w:rPr>
          <w:rFonts w:hint="eastAsia"/>
          <w:sz w:val="28"/>
          <w:szCs w:val="28"/>
        </w:rPr>
        <w:t>b.盘车放人操作一般由两人在机房进行。操作前必须先切断总电源开关，一人用松闸板手打开制动器，另一人盘车。当将轿厢盘至最近层楼面时〈轿门地坎应不高于层门地坎600mm〉可停止盘车，使制动器复位。 </w:t>
      </w:r>
    </w:p>
    <w:p>
      <w:pPr>
        <w:pStyle w:val="17"/>
        <w:widowControl w:val="0"/>
        <w:spacing w:line="360" w:lineRule="auto"/>
        <w:ind w:firstLine="560"/>
        <w:rPr>
          <w:sz w:val="28"/>
          <w:szCs w:val="28"/>
        </w:rPr>
      </w:pPr>
      <w:r>
        <w:rPr>
          <w:rFonts w:hint="eastAsia"/>
          <w:sz w:val="28"/>
          <w:szCs w:val="28"/>
        </w:rPr>
        <w:t>c.让被困员工在轿厢内打开层门，或用钥匙打开紧急门锁，并协助乘客离去。 </w:t>
      </w:r>
    </w:p>
    <w:p>
      <w:pPr>
        <w:pStyle w:val="17"/>
        <w:widowControl w:val="0"/>
        <w:spacing w:line="360" w:lineRule="auto"/>
        <w:ind w:firstLine="560"/>
        <w:rPr>
          <w:sz w:val="28"/>
          <w:szCs w:val="28"/>
        </w:rPr>
      </w:pPr>
      <w:r>
        <w:rPr>
          <w:rFonts w:hint="eastAsia"/>
          <w:sz w:val="28"/>
          <w:szCs w:val="28"/>
        </w:rPr>
        <w:t>d.盘车时，应缓慢进行，尤其当轿厢轻载状态下往上盘车时，应防止因对重侧比轿厢重而造成溜车。当对无齿轮曳引机的高速电梯进行盘车时，应采用“渐进式”，一步步松动制动器，以防止电梯失控。如事故时轿厢处于冲顶或蹲底的状态时，宜采用上述方法二的盘车放人操作方式解救被困乘客。在电梯技术条件允许时，也可以在检修状态下，短接好相关安全回路，在机房控制柜处以检修速度将轿厢运行至顶楼平层或底楼的平层位置，救出被困员工后，使安全回路恢复正常功能。 </w:t>
      </w:r>
    </w:p>
    <w:p>
      <w:pPr>
        <w:pStyle w:val="17"/>
        <w:widowControl w:val="0"/>
        <w:spacing w:line="360" w:lineRule="auto"/>
        <w:ind w:firstLine="560"/>
        <w:rPr>
          <w:sz w:val="28"/>
          <w:szCs w:val="28"/>
        </w:rPr>
      </w:pPr>
      <w:r>
        <w:rPr>
          <w:rFonts w:hint="eastAsia"/>
          <w:sz w:val="28"/>
          <w:szCs w:val="28"/>
        </w:rPr>
        <w:t>（5）电梯蹲底和冲顶 </w:t>
      </w:r>
    </w:p>
    <w:p>
      <w:pPr>
        <w:pStyle w:val="17"/>
        <w:widowControl w:val="0"/>
        <w:spacing w:line="360" w:lineRule="auto"/>
        <w:ind w:firstLine="560"/>
        <w:rPr>
          <w:sz w:val="28"/>
          <w:szCs w:val="28"/>
        </w:rPr>
      </w:pPr>
      <w:r>
        <w:rPr>
          <w:rFonts w:hint="eastAsia"/>
          <w:sz w:val="28"/>
          <w:szCs w:val="28"/>
        </w:rPr>
        <w:t>① 发现事故的员工应该立即确认电梯内是否有人乘坐，并同时通知安全管理员。电梯内如果没有人时，应该立即按下电梯紧急开关，并切断电源，通知应急小组成员进行后续工作。 如果电梯内有人应该按照下面的方式自救： </w:t>
      </w:r>
    </w:p>
    <w:p>
      <w:pPr>
        <w:pStyle w:val="17"/>
        <w:widowControl w:val="0"/>
        <w:spacing w:line="360" w:lineRule="auto"/>
        <w:ind w:firstLine="420"/>
        <w:rPr>
          <w:sz w:val="28"/>
          <w:szCs w:val="28"/>
        </w:rPr>
      </w:pPr>
      <w:r>
        <w:drawing>
          <wp:anchor distT="0" distB="0" distL="114300" distR="114300" simplePos="0" relativeHeight="251663360" behindDoc="0" locked="0" layoutInCell="1" allowOverlap="1">
            <wp:simplePos x="0" y="0"/>
            <wp:positionH relativeFrom="column">
              <wp:posOffset>-114300</wp:posOffset>
            </wp:positionH>
            <wp:positionV relativeFrom="paragraph">
              <wp:posOffset>54610</wp:posOffset>
            </wp:positionV>
            <wp:extent cx="6193155" cy="2874010"/>
            <wp:effectExtent l="0" t="0" r="17145" b="2540"/>
            <wp:wrapNone/>
            <wp:docPr id="26"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31"/>
                    <pic:cNvPicPr>
                      <a:picLocks noChangeAspect="1"/>
                    </pic:cNvPicPr>
                  </pic:nvPicPr>
                  <pic:blipFill>
                    <a:blip r:embed="rId24" cstate="print"/>
                    <a:srcRect t="2330" r="2255" b="1405"/>
                    <a:stretch>
                      <a:fillRect/>
                    </a:stretch>
                  </pic:blipFill>
                  <pic:spPr>
                    <a:xfrm>
                      <a:off x="0" y="0"/>
                      <a:ext cx="6193155" cy="2874010"/>
                    </a:xfrm>
                    <a:prstGeom prst="rect">
                      <a:avLst/>
                    </a:prstGeom>
                    <a:noFill/>
                    <a:ln w="9525">
                      <a:noFill/>
                    </a:ln>
                  </pic:spPr>
                </pic:pic>
              </a:graphicData>
            </a:graphic>
          </wp:anchor>
        </w:drawing>
      </w:r>
    </w:p>
    <w:p>
      <w:pPr>
        <w:pStyle w:val="17"/>
        <w:widowControl w:val="0"/>
        <w:spacing w:line="360" w:lineRule="auto"/>
        <w:ind w:firstLine="560"/>
        <w:rPr>
          <w:sz w:val="28"/>
          <w:szCs w:val="28"/>
        </w:rPr>
      </w:pPr>
    </w:p>
    <w:p>
      <w:pPr>
        <w:pStyle w:val="17"/>
        <w:widowControl w:val="0"/>
        <w:spacing w:line="360" w:lineRule="auto"/>
        <w:ind w:firstLine="560"/>
        <w:rPr>
          <w:sz w:val="28"/>
          <w:szCs w:val="28"/>
        </w:rPr>
      </w:pPr>
    </w:p>
    <w:p>
      <w:pPr>
        <w:pStyle w:val="17"/>
        <w:widowControl w:val="0"/>
        <w:spacing w:line="360" w:lineRule="auto"/>
        <w:ind w:firstLine="560"/>
        <w:rPr>
          <w:sz w:val="28"/>
          <w:szCs w:val="28"/>
        </w:rPr>
      </w:pPr>
    </w:p>
    <w:p>
      <w:pPr>
        <w:pStyle w:val="17"/>
        <w:widowControl w:val="0"/>
        <w:spacing w:line="360" w:lineRule="auto"/>
        <w:ind w:firstLine="560"/>
        <w:rPr>
          <w:sz w:val="28"/>
          <w:szCs w:val="28"/>
        </w:rPr>
      </w:pPr>
    </w:p>
    <w:p>
      <w:pPr>
        <w:pStyle w:val="17"/>
        <w:widowControl w:val="0"/>
        <w:spacing w:line="360" w:lineRule="auto"/>
        <w:ind w:firstLine="560"/>
        <w:rPr>
          <w:sz w:val="28"/>
          <w:szCs w:val="28"/>
        </w:rPr>
      </w:pPr>
    </w:p>
    <w:p>
      <w:pPr>
        <w:pStyle w:val="17"/>
        <w:widowControl w:val="0"/>
        <w:spacing w:line="360" w:lineRule="auto"/>
        <w:ind w:firstLine="560"/>
        <w:rPr>
          <w:sz w:val="28"/>
          <w:szCs w:val="28"/>
        </w:rPr>
      </w:pPr>
    </w:p>
    <w:p>
      <w:pPr>
        <w:pStyle w:val="17"/>
        <w:widowControl w:val="0"/>
        <w:spacing w:line="360" w:lineRule="auto"/>
        <w:ind w:firstLine="360"/>
        <w:rPr>
          <w:sz w:val="18"/>
          <w:szCs w:val="18"/>
        </w:rPr>
      </w:pPr>
    </w:p>
    <w:p>
      <w:pPr>
        <w:pStyle w:val="17"/>
        <w:widowControl w:val="0"/>
        <w:spacing w:line="360" w:lineRule="auto"/>
        <w:ind w:firstLine="560"/>
        <w:rPr>
          <w:sz w:val="28"/>
          <w:szCs w:val="28"/>
        </w:rPr>
      </w:pPr>
      <w:bookmarkStart w:id="202" w:name="_Toc24387"/>
      <w:r>
        <w:rPr>
          <w:rFonts w:hint="eastAsia"/>
          <w:sz w:val="28"/>
          <w:szCs w:val="28"/>
        </w:rPr>
        <w:t>5、人员救治</w:t>
      </w:r>
      <w:bookmarkEnd w:id="202"/>
    </w:p>
    <w:p>
      <w:pPr>
        <w:spacing w:line="360" w:lineRule="auto"/>
        <w:ind w:firstLine="560" w:firstLineChars="200"/>
        <w:rPr>
          <w:sz w:val="28"/>
          <w:szCs w:val="28"/>
        </w:rPr>
      </w:pPr>
      <w:r>
        <w:rPr>
          <w:rFonts w:hint="eastAsia"/>
          <w:sz w:val="28"/>
          <w:szCs w:val="28"/>
        </w:rPr>
        <w:t>采取必要的扶助措施。采取必要的包扎、止血措施。在120医护人员指导下，配合120医护人员进行必要的救护工作。</w:t>
      </w: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outlineLvl w:val="1"/>
        <w:rPr>
          <w:sz w:val="28"/>
          <w:szCs w:val="28"/>
        </w:rPr>
      </w:pPr>
      <w:bookmarkStart w:id="203" w:name="_Toc25689"/>
      <w:r>
        <w:rPr>
          <w:rFonts w:hint="eastAsia"/>
          <w:sz w:val="28"/>
          <w:szCs w:val="28"/>
        </w:rPr>
        <w:t>附件</w:t>
      </w:r>
      <w:r>
        <w:rPr>
          <w:rFonts w:hint="eastAsia"/>
          <w:sz w:val="28"/>
          <w:szCs w:val="28"/>
          <w:lang w:val="en-US" w:eastAsia="zh-CN"/>
        </w:rPr>
        <w:t>3</w:t>
      </w:r>
      <w:r>
        <w:rPr>
          <w:rFonts w:hint="eastAsia"/>
          <w:sz w:val="28"/>
          <w:szCs w:val="28"/>
        </w:rPr>
        <w:t>：应急救援专家表</w:t>
      </w:r>
      <w:bookmarkEnd w:id="203"/>
    </w:p>
    <w:p>
      <w:pPr>
        <w:spacing w:line="360" w:lineRule="auto"/>
        <w:jc w:val="center"/>
        <w:rPr>
          <w:sz w:val="28"/>
          <w:szCs w:val="28"/>
        </w:rPr>
      </w:pPr>
      <w:r>
        <w:rPr>
          <w:rFonts w:hint="eastAsia"/>
          <w:sz w:val="28"/>
          <w:szCs w:val="28"/>
        </w:rPr>
        <w:t>苏州市安全、职业卫生专家名单</w:t>
      </w:r>
    </w:p>
    <w:tbl>
      <w:tblPr>
        <w:tblStyle w:val="12"/>
        <w:tblW w:w="99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850"/>
        <w:gridCol w:w="1083"/>
        <w:gridCol w:w="1284"/>
        <w:gridCol w:w="916"/>
        <w:gridCol w:w="1317"/>
        <w:gridCol w:w="2400"/>
        <w:gridCol w:w="1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Align w:val="center"/>
          </w:tcPr>
          <w:p>
            <w:pPr>
              <w:spacing w:line="480" w:lineRule="exact"/>
              <w:jc w:val="center"/>
              <w:rPr>
                <w:b/>
                <w:bCs/>
                <w:szCs w:val="21"/>
              </w:rPr>
            </w:pPr>
            <w:r>
              <w:rPr>
                <w:rFonts w:hint="eastAsia"/>
                <w:b/>
                <w:bCs/>
                <w:szCs w:val="21"/>
              </w:rPr>
              <w:t>序号</w:t>
            </w:r>
          </w:p>
        </w:tc>
        <w:tc>
          <w:tcPr>
            <w:tcW w:w="850" w:type="dxa"/>
            <w:vAlign w:val="center"/>
          </w:tcPr>
          <w:p>
            <w:pPr>
              <w:spacing w:line="480" w:lineRule="exact"/>
              <w:jc w:val="center"/>
              <w:rPr>
                <w:b/>
                <w:bCs/>
                <w:szCs w:val="21"/>
              </w:rPr>
            </w:pPr>
            <w:r>
              <w:rPr>
                <w:rFonts w:hint="eastAsia"/>
                <w:b/>
                <w:bCs/>
                <w:szCs w:val="21"/>
              </w:rPr>
              <w:t>姓名</w:t>
            </w:r>
          </w:p>
        </w:tc>
        <w:tc>
          <w:tcPr>
            <w:tcW w:w="1083" w:type="dxa"/>
            <w:vAlign w:val="center"/>
          </w:tcPr>
          <w:p>
            <w:pPr>
              <w:spacing w:line="480" w:lineRule="exact"/>
              <w:jc w:val="center"/>
              <w:rPr>
                <w:b/>
                <w:bCs/>
                <w:szCs w:val="21"/>
              </w:rPr>
            </w:pPr>
            <w:r>
              <w:rPr>
                <w:rFonts w:hint="eastAsia"/>
                <w:b/>
                <w:bCs/>
                <w:szCs w:val="21"/>
              </w:rPr>
              <w:t>出生年月</w:t>
            </w:r>
          </w:p>
        </w:tc>
        <w:tc>
          <w:tcPr>
            <w:tcW w:w="1284" w:type="dxa"/>
            <w:vAlign w:val="center"/>
          </w:tcPr>
          <w:p>
            <w:pPr>
              <w:spacing w:line="480" w:lineRule="exact"/>
              <w:jc w:val="center"/>
              <w:rPr>
                <w:b/>
                <w:bCs/>
                <w:szCs w:val="21"/>
              </w:rPr>
            </w:pPr>
            <w:r>
              <w:rPr>
                <w:rFonts w:hint="eastAsia"/>
                <w:b/>
                <w:bCs/>
                <w:szCs w:val="21"/>
              </w:rPr>
              <w:t>职称</w:t>
            </w:r>
          </w:p>
        </w:tc>
        <w:tc>
          <w:tcPr>
            <w:tcW w:w="916" w:type="dxa"/>
            <w:vAlign w:val="center"/>
          </w:tcPr>
          <w:p>
            <w:pPr>
              <w:spacing w:line="480" w:lineRule="exact"/>
              <w:jc w:val="center"/>
              <w:rPr>
                <w:b/>
                <w:bCs/>
                <w:szCs w:val="21"/>
              </w:rPr>
            </w:pPr>
            <w:r>
              <w:rPr>
                <w:rFonts w:hint="eastAsia"/>
                <w:b/>
                <w:bCs/>
                <w:szCs w:val="21"/>
              </w:rPr>
              <w:t>学历</w:t>
            </w:r>
          </w:p>
        </w:tc>
        <w:tc>
          <w:tcPr>
            <w:tcW w:w="1317" w:type="dxa"/>
            <w:vAlign w:val="center"/>
          </w:tcPr>
          <w:p>
            <w:pPr>
              <w:jc w:val="center"/>
              <w:rPr>
                <w:b/>
                <w:bCs/>
                <w:szCs w:val="21"/>
              </w:rPr>
            </w:pPr>
            <w:r>
              <w:rPr>
                <w:rFonts w:hint="eastAsia"/>
                <w:b/>
                <w:bCs/>
                <w:szCs w:val="21"/>
              </w:rPr>
              <w:t>专业</w:t>
            </w:r>
          </w:p>
        </w:tc>
        <w:tc>
          <w:tcPr>
            <w:tcW w:w="2400" w:type="dxa"/>
            <w:vAlign w:val="center"/>
          </w:tcPr>
          <w:p>
            <w:pPr>
              <w:spacing w:line="480" w:lineRule="exact"/>
              <w:jc w:val="center"/>
              <w:rPr>
                <w:b/>
                <w:bCs/>
                <w:szCs w:val="21"/>
              </w:rPr>
            </w:pPr>
            <w:r>
              <w:rPr>
                <w:rFonts w:hint="eastAsia"/>
                <w:b/>
                <w:bCs/>
                <w:szCs w:val="21"/>
              </w:rPr>
              <w:t>工作单位</w:t>
            </w:r>
          </w:p>
        </w:tc>
        <w:tc>
          <w:tcPr>
            <w:tcW w:w="1400" w:type="dxa"/>
            <w:vAlign w:val="center"/>
          </w:tcPr>
          <w:p>
            <w:pPr>
              <w:spacing w:line="480" w:lineRule="exact"/>
              <w:jc w:val="center"/>
              <w:rPr>
                <w:b/>
                <w:bCs/>
                <w:szCs w:val="21"/>
              </w:rPr>
            </w:pPr>
            <w:r>
              <w:rPr>
                <w:rFonts w:hint="eastAsia"/>
                <w:b/>
                <w:bCs/>
                <w:szCs w:val="21"/>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Align w:val="center"/>
          </w:tcPr>
          <w:p>
            <w:pPr>
              <w:spacing w:line="480" w:lineRule="exact"/>
              <w:jc w:val="center"/>
              <w:rPr>
                <w:szCs w:val="21"/>
              </w:rPr>
            </w:pPr>
            <w:r>
              <w:rPr>
                <w:rFonts w:hint="eastAsia"/>
                <w:szCs w:val="21"/>
              </w:rPr>
              <w:t>1</w:t>
            </w:r>
          </w:p>
        </w:tc>
        <w:tc>
          <w:tcPr>
            <w:tcW w:w="850" w:type="dxa"/>
            <w:vAlign w:val="center"/>
          </w:tcPr>
          <w:p>
            <w:pPr>
              <w:spacing w:line="480" w:lineRule="exact"/>
              <w:jc w:val="center"/>
              <w:rPr>
                <w:szCs w:val="21"/>
              </w:rPr>
            </w:pPr>
            <w:r>
              <w:rPr>
                <w:rFonts w:hint="eastAsia"/>
                <w:szCs w:val="21"/>
              </w:rPr>
              <w:t>施剑波</w:t>
            </w:r>
          </w:p>
        </w:tc>
        <w:tc>
          <w:tcPr>
            <w:tcW w:w="1083" w:type="dxa"/>
            <w:vAlign w:val="center"/>
          </w:tcPr>
          <w:p>
            <w:pPr>
              <w:spacing w:line="480" w:lineRule="exact"/>
              <w:jc w:val="center"/>
              <w:rPr>
                <w:szCs w:val="21"/>
              </w:rPr>
            </w:pPr>
            <w:r>
              <w:rPr>
                <w:rFonts w:hint="eastAsia"/>
                <w:szCs w:val="21"/>
              </w:rPr>
              <w:t>1961.08</w:t>
            </w:r>
          </w:p>
        </w:tc>
        <w:tc>
          <w:tcPr>
            <w:tcW w:w="1284" w:type="dxa"/>
            <w:vAlign w:val="center"/>
          </w:tcPr>
          <w:p>
            <w:pPr>
              <w:spacing w:line="480" w:lineRule="exact"/>
              <w:jc w:val="center"/>
              <w:rPr>
                <w:szCs w:val="21"/>
              </w:rPr>
            </w:pPr>
            <w:r>
              <w:rPr>
                <w:rFonts w:hint="eastAsia"/>
                <w:szCs w:val="21"/>
              </w:rPr>
              <w:t>高工</w:t>
            </w:r>
          </w:p>
        </w:tc>
        <w:tc>
          <w:tcPr>
            <w:tcW w:w="916" w:type="dxa"/>
            <w:vAlign w:val="center"/>
          </w:tcPr>
          <w:p>
            <w:pPr>
              <w:spacing w:line="480" w:lineRule="exact"/>
              <w:jc w:val="center"/>
              <w:rPr>
                <w:szCs w:val="21"/>
              </w:rPr>
            </w:pPr>
            <w:r>
              <w:rPr>
                <w:rFonts w:hint="eastAsia"/>
                <w:szCs w:val="21"/>
              </w:rPr>
              <w:t>大专</w:t>
            </w:r>
          </w:p>
        </w:tc>
        <w:tc>
          <w:tcPr>
            <w:tcW w:w="1317" w:type="dxa"/>
            <w:vAlign w:val="center"/>
          </w:tcPr>
          <w:p>
            <w:pPr>
              <w:jc w:val="center"/>
              <w:rPr>
                <w:szCs w:val="21"/>
              </w:rPr>
            </w:pPr>
            <w:r>
              <w:rPr>
                <w:rFonts w:hint="eastAsia"/>
                <w:szCs w:val="21"/>
              </w:rPr>
              <w:t>化工</w:t>
            </w:r>
          </w:p>
        </w:tc>
        <w:tc>
          <w:tcPr>
            <w:tcW w:w="2400" w:type="dxa"/>
            <w:vAlign w:val="center"/>
          </w:tcPr>
          <w:p>
            <w:pPr>
              <w:jc w:val="center"/>
              <w:rPr>
                <w:szCs w:val="21"/>
              </w:rPr>
            </w:pPr>
            <w:r>
              <w:rPr>
                <w:rFonts w:hint="eastAsia"/>
                <w:szCs w:val="21"/>
              </w:rPr>
              <w:t>苏州科信安全技术评价公司</w:t>
            </w:r>
          </w:p>
        </w:tc>
        <w:tc>
          <w:tcPr>
            <w:tcW w:w="1400" w:type="dxa"/>
            <w:vAlign w:val="center"/>
          </w:tcPr>
          <w:p>
            <w:pPr>
              <w:spacing w:line="480" w:lineRule="exact"/>
              <w:jc w:val="center"/>
              <w:rPr>
                <w:szCs w:val="21"/>
              </w:rPr>
            </w:pPr>
            <w:r>
              <w:rPr>
                <w:rFonts w:hint="eastAsia"/>
                <w:szCs w:val="21"/>
              </w:rPr>
              <w:t>65607048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Align w:val="center"/>
          </w:tcPr>
          <w:p>
            <w:pPr>
              <w:spacing w:line="480" w:lineRule="exact"/>
              <w:jc w:val="center"/>
              <w:rPr>
                <w:szCs w:val="21"/>
              </w:rPr>
            </w:pPr>
            <w:r>
              <w:rPr>
                <w:rFonts w:hint="eastAsia"/>
                <w:szCs w:val="21"/>
              </w:rPr>
              <w:t>2</w:t>
            </w:r>
          </w:p>
        </w:tc>
        <w:tc>
          <w:tcPr>
            <w:tcW w:w="850" w:type="dxa"/>
            <w:vAlign w:val="center"/>
          </w:tcPr>
          <w:p>
            <w:pPr>
              <w:spacing w:line="480" w:lineRule="exact"/>
              <w:jc w:val="center"/>
              <w:rPr>
                <w:szCs w:val="21"/>
              </w:rPr>
            </w:pPr>
            <w:r>
              <w:rPr>
                <w:rFonts w:hint="eastAsia"/>
                <w:szCs w:val="21"/>
              </w:rPr>
              <w:t>阙浩泉</w:t>
            </w:r>
          </w:p>
        </w:tc>
        <w:tc>
          <w:tcPr>
            <w:tcW w:w="1083" w:type="dxa"/>
            <w:vAlign w:val="center"/>
          </w:tcPr>
          <w:p>
            <w:pPr>
              <w:spacing w:line="480" w:lineRule="exact"/>
              <w:jc w:val="center"/>
              <w:rPr>
                <w:szCs w:val="21"/>
              </w:rPr>
            </w:pPr>
            <w:r>
              <w:rPr>
                <w:rFonts w:hint="eastAsia"/>
                <w:szCs w:val="21"/>
              </w:rPr>
              <w:t>1950.09</w:t>
            </w:r>
          </w:p>
        </w:tc>
        <w:tc>
          <w:tcPr>
            <w:tcW w:w="1284" w:type="dxa"/>
            <w:vAlign w:val="center"/>
          </w:tcPr>
          <w:p>
            <w:pPr>
              <w:spacing w:line="480" w:lineRule="exact"/>
              <w:jc w:val="center"/>
              <w:rPr>
                <w:szCs w:val="21"/>
              </w:rPr>
            </w:pPr>
            <w:r>
              <w:rPr>
                <w:rFonts w:hint="eastAsia"/>
                <w:szCs w:val="21"/>
              </w:rPr>
              <w:t>高工</w:t>
            </w:r>
          </w:p>
        </w:tc>
        <w:tc>
          <w:tcPr>
            <w:tcW w:w="916" w:type="dxa"/>
            <w:vAlign w:val="center"/>
          </w:tcPr>
          <w:p>
            <w:pPr>
              <w:spacing w:line="480" w:lineRule="exact"/>
              <w:jc w:val="center"/>
              <w:rPr>
                <w:szCs w:val="21"/>
              </w:rPr>
            </w:pPr>
            <w:r>
              <w:rPr>
                <w:rFonts w:hint="eastAsia"/>
                <w:szCs w:val="21"/>
              </w:rPr>
              <w:t>大学</w:t>
            </w:r>
          </w:p>
        </w:tc>
        <w:tc>
          <w:tcPr>
            <w:tcW w:w="1317" w:type="dxa"/>
            <w:vAlign w:val="center"/>
          </w:tcPr>
          <w:p>
            <w:pPr>
              <w:jc w:val="center"/>
              <w:rPr>
                <w:szCs w:val="21"/>
              </w:rPr>
            </w:pPr>
            <w:r>
              <w:rPr>
                <w:rFonts w:hint="eastAsia"/>
                <w:szCs w:val="21"/>
              </w:rPr>
              <w:t>化学工程</w:t>
            </w:r>
          </w:p>
        </w:tc>
        <w:tc>
          <w:tcPr>
            <w:tcW w:w="2400" w:type="dxa"/>
            <w:vAlign w:val="center"/>
          </w:tcPr>
          <w:p>
            <w:pPr>
              <w:spacing w:line="480" w:lineRule="exact"/>
              <w:jc w:val="center"/>
              <w:rPr>
                <w:szCs w:val="21"/>
              </w:rPr>
            </w:pPr>
            <w:r>
              <w:rPr>
                <w:rFonts w:hint="eastAsia"/>
                <w:szCs w:val="21"/>
              </w:rPr>
              <w:t>苏州大学</w:t>
            </w:r>
          </w:p>
        </w:tc>
        <w:tc>
          <w:tcPr>
            <w:tcW w:w="1400" w:type="dxa"/>
            <w:vAlign w:val="center"/>
          </w:tcPr>
          <w:p>
            <w:pPr>
              <w:spacing w:line="480" w:lineRule="exact"/>
              <w:jc w:val="center"/>
              <w:rPr>
                <w:szCs w:val="21"/>
              </w:rPr>
            </w:pPr>
            <w:r>
              <w:rPr>
                <w:rFonts w:hint="eastAsia"/>
                <w:szCs w:val="21"/>
              </w:rPr>
              <w:t>69699161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Align w:val="center"/>
          </w:tcPr>
          <w:p>
            <w:pPr>
              <w:spacing w:line="480" w:lineRule="exact"/>
              <w:jc w:val="center"/>
              <w:rPr>
                <w:szCs w:val="21"/>
              </w:rPr>
            </w:pPr>
            <w:r>
              <w:rPr>
                <w:rFonts w:hint="eastAsia"/>
                <w:szCs w:val="21"/>
              </w:rPr>
              <w:t>3</w:t>
            </w:r>
          </w:p>
        </w:tc>
        <w:tc>
          <w:tcPr>
            <w:tcW w:w="850" w:type="dxa"/>
            <w:vAlign w:val="center"/>
          </w:tcPr>
          <w:p>
            <w:pPr>
              <w:spacing w:line="480" w:lineRule="exact"/>
              <w:jc w:val="center"/>
              <w:rPr>
                <w:szCs w:val="21"/>
              </w:rPr>
            </w:pPr>
            <w:r>
              <w:rPr>
                <w:rFonts w:hint="eastAsia"/>
                <w:szCs w:val="21"/>
              </w:rPr>
              <w:t>余剑民</w:t>
            </w:r>
          </w:p>
        </w:tc>
        <w:tc>
          <w:tcPr>
            <w:tcW w:w="1083" w:type="dxa"/>
            <w:vAlign w:val="center"/>
          </w:tcPr>
          <w:p>
            <w:pPr>
              <w:spacing w:line="480" w:lineRule="exact"/>
              <w:jc w:val="center"/>
              <w:rPr>
                <w:szCs w:val="21"/>
              </w:rPr>
            </w:pPr>
            <w:r>
              <w:rPr>
                <w:rFonts w:hint="eastAsia"/>
                <w:szCs w:val="21"/>
              </w:rPr>
              <w:t>1937.01</w:t>
            </w:r>
          </w:p>
        </w:tc>
        <w:tc>
          <w:tcPr>
            <w:tcW w:w="1284" w:type="dxa"/>
            <w:vAlign w:val="center"/>
          </w:tcPr>
          <w:p>
            <w:pPr>
              <w:spacing w:line="480" w:lineRule="exact"/>
              <w:jc w:val="center"/>
              <w:rPr>
                <w:szCs w:val="21"/>
              </w:rPr>
            </w:pPr>
            <w:r>
              <w:rPr>
                <w:rFonts w:hint="eastAsia"/>
                <w:szCs w:val="21"/>
              </w:rPr>
              <w:t>高工</w:t>
            </w:r>
          </w:p>
        </w:tc>
        <w:tc>
          <w:tcPr>
            <w:tcW w:w="916" w:type="dxa"/>
            <w:vAlign w:val="center"/>
          </w:tcPr>
          <w:p>
            <w:pPr>
              <w:spacing w:line="480" w:lineRule="exact"/>
              <w:jc w:val="center"/>
              <w:rPr>
                <w:szCs w:val="21"/>
              </w:rPr>
            </w:pPr>
            <w:r>
              <w:rPr>
                <w:rFonts w:hint="eastAsia"/>
                <w:szCs w:val="21"/>
              </w:rPr>
              <w:t>大学</w:t>
            </w:r>
          </w:p>
        </w:tc>
        <w:tc>
          <w:tcPr>
            <w:tcW w:w="1317" w:type="dxa"/>
            <w:vAlign w:val="center"/>
          </w:tcPr>
          <w:p>
            <w:pPr>
              <w:jc w:val="center"/>
              <w:rPr>
                <w:szCs w:val="21"/>
              </w:rPr>
            </w:pPr>
            <w:r>
              <w:rPr>
                <w:rFonts w:hint="eastAsia"/>
                <w:szCs w:val="21"/>
              </w:rPr>
              <w:t>化工机械</w:t>
            </w:r>
          </w:p>
        </w:tc>
        <w:tc>
          <w:tcPr>
            <w:tcW w:w="2400" w:type="dxa"/>
            <w:vAlign w:val="center"/>
          </w:tcPr>
          <w:p>
            <w:pPr>
              <w:spacing w:line="480" w:lineRule="exact"/>
              <w:jc w:val="center"/>
              <w:rPr>
                <w:szCs w:val="21"/>
              </w:rPr>
            </w:pPr>
            <w:r>
              <w:rPr>
                <w:rFonts w:hint="eastAsia"/>
                <w:szCs w:val="21"/>
              </w:rPr>
              <w:t>苏州化工设计室</w:t>
            </w:r>
          </w:p>
        </w:tc>
        <w:tc>
          <w:tcPr>
            <w:tcW w:w="1400" w:type="dxa"/>
            <w:vAlign w:val="center"/>
          </w:tcPr>
          <w:p>
            <w:pPr>
              <w:spacing w:line="480" w:lineRule="exact"/>
              <w:jc w:val="center"/>
              <w:rPr>
                <w:szCs w:val="21"/>
              </w:rPr>
            </w:pPr>
            <w:r>
              <w:rPr>
                <w:rFonts w:hint="eastAsia"/>
                <w:szCs w:val="21"/>
              </w:rPr>
              <w:t>13962144711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Align w:val="center"/>
          </w:tcPr>
          <w:p>
            <w:pPr>
              <w:spacing w:line="480" w:lineRule="exact"/>
              <w:jc w:val="center"/>
              <w:rPr>
                <w:szCs w:val="21"/>
              </w:rPr>
            </w:pPr>
            <w:r>
              <w:rPr>
                <w:rFonts w:hint="eastAsia"/>
                <w:szCs w:val="21"/>
              </w:rPr>
              <w:t>4</w:t>
            </w:r>
          </w:p>
        </w:tc>
        <w:tc>
          <w:tcPr>
            <w:tcW w:w="850" w:type="dxa"/>
            <w:vAlign w:val="center"/>
          </w:tcPr>
          <w:p>
            <w:pPr>
              <w:spacing w:line="480" w:lineRule="exact"/>
              <w:jc w:val="center"/>
              <w:rPr>
                <w:szCs w:val="21"/>
              </w:rPr>
            </w:pPr>
            <w:r>
              <w:rPr>
                <w:rFonts w:hint="eastAsia"/>
                <w:szCs w:val="21"/>
              </w:rPr>
              <w:t>郭维克</w:t>
            </w:r>
          </w:p>
        </w:tc>
        <w:tc>
          <w:tcPr>
            <w:tcW w:w="1083" w:type="dxa"/>
            <w:vAlign w:val="center"/>
          </w:tcPr>
          <w:p>
            <w:pPr>
              <w:spacing w:line="480" w:lineRule="exact"/>
              <w:jc w:val="center"/>
              <w:rPr>
                <w:szCs w:val="21"/>
              </w:rPr>
            </w:pPr>
            <w:r>
              <w:rPr>
                <w:rFonts w:hint="eastAsia"/>
                <w:szCs w:val="21"/>
              </w:rPr>
              <w:t>1943.09</w:t>
            </w:r>
          </w:p>
        </w:tc>
        <w:tc>
          <w:tcPr>
            <w:tcW w:w="1284" w:type="dxa"/>
            <w:vAlign w:val="center"/>
          </w:tcPr>
          <w:p>
            <w:pPr>
              <w:spacing w:line="480" w:lineRule="exact"/>
              <w:jc w:val="center"/>
              <w:rPr>
                <w:szCs w:val="21"/>
              </w:rPr>
            </w:pPr>
            <w:r>
              <w:rPr>
                <w:rFonts w:hint="eastAsia"/>
                <w:szCs w:val="21"/>
              </w:rPr>
              <w:t>高工</w:t>
            </w:r>
          </w:p>
        </w:tc>
        <w:tc>
          <w:tcPr>
            <w:tcW w:w="916" w:type="dxa"/>
            <w:vAlign w:val="center"/>
          </w:tcPr>
          <w:p>
            <w:pPr>
              <w:spacing w:line="480" w:lineRule="exact"/>
              <w:jc w:val="center"/>
              <w:rPr>
                <w:szCs w:val="21"/>
              </w:rPr>
            </w:pPr>
            <w:r>
              <w:rPr>
                <w:rFonts w:hint="eastAsia"/>
                <w:szCs w:val="21"/>
              </w:rPr>
              <w:t>大学</w:t>
            </w:r>
          </w:p>
        </w:tc>
        <w:tc>
          <w:tcPr>
            <w:tcW w:w="1317" w:type="dxa"/>
            <w:vAlign w:val="center"/>
          </w:tcPr>
          <w:p>
            <w:pPr>
              <w:jc w:val="center"/>
              <w:rPr>
                <w:szCs w:val="21"/>
              </w:rPr>
            </w:pPr>
            <w:r>
              <w:rPr>
                <w:rFonts w:hint="eastAsia"/>
                <w:szCs w:val="21"/>
              </w:rPr>
              <w:t>化机专业</w:t>
            </w:r>
          </w:p>
        </w:tc>
        <w:tc>
          <w:tcPr>
            <w:tcW w:w="2400" w:type="dxa"/>
            <w:vAlign w:val="center"/>
          </w:tcPr>
          <w:p>
            <w:pPr>
              <w:spacing w:line="480" w:lineRule="exact"/>
              <w:jc w:val="center"/>
              <w:rPr>
                <w:szCs w:val="21"/>
              </w:rPr>
            </w:pPr>
            <w:r>
              <w:rPr>
                <w:rFonts w:hint="eastAsia"/>
                <w:szCs w:val="21"/>
              </w:rPr>
              <w:t>苏州化建控股有限公司</w:t>
            </w:r>
          </w:p>
        </w:tc>
        <w:tc>
          <w:tcPr>
            <w:tcW w:w="1400" w:type="dxa"/>
            <w:vAlign w:val="center"/>
          </w:tcPr>
          <w:p>
            <w:pPr>
              <w:spacing w:line="480" w:lineRule="exact"/>
              <w:jc w:val="center"/>
              <w:rPr>
                <w:szCs w:val="21"/>
              </w:rPr>
            </w:pPr>
            <w:r>
              <w:rPr>
                <w:rFonts w:hint="eastAsia"/>
                <w:szCs w:val="21"/>
              </w:rPr>
              <w:t>13913566487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Align w:val="center"/>
          </w:tcPr>
          <w:p>
            <w:pPr>
              <w:spacing w:line="480" w:lineRule="exact"/>
              <w:jc w:val="center"/>
              <w:rPr>
                <w:szCs w:val="21"/>
              </w:rPr>
            </w:pPr>
            <w:r>
              <w:rPr>
                <w:rFonts w:hint="eastAsia"/>
                <w:szCs w:val="21"/>
              </w:rPr>
              <w:t>5</w:t>
            </w:r>
          </w:p>
        </w:tc>
        <w:tc>
          <w:tcPr>
            <w:tcW w:w="850" w:type="dxa"/>
            <w:vAlign w:val="center"/>
          </w:tcPr>
          <w:p>
            <w:pPr>
              <w:spacing w:line="480" w:lineRule="exact"/>
              <w:jc w:val="center"/>
              <w:rPr>
                <w:szCs w:val="21"/>
              </w:rPr>
            </w:pPr>
            <w:r>
              <w:rPr>
                <w:rFonts w:hint="eastAsia"/>
                <w:szCs w:val="21"/>
              </w:rPr>
              <w:t>杨海康</w:t>
            </w:r>
          </w:p>
        </w:tc>
        <w:tc>
          <w:tcPr>
            <w:tcW w:w="1083" w:type="dxa"/>
            <w:vAlign w:val="center"/>
          </w:tcPr>
          <w:p>
            <w:pPr>
              <w:spacing w:line="480" w:lineRule="exact"/>
              <w:jc w:val="center"/>
              <w:rPr>
                <w:szCs w:val="21"/>
              </w:rPr>
            </w:pPr>
            <w:r>
              <w:rPr>
                <w:rFonts w:hint="eastAsia"/>
                <w:szCs w:val="21"/>
              </w:rPr>
              <w:t>1944.11</w:t>
            </w:r>
          </w:p>
        </w:tc>
        <w:tc>
          <w:tcPr>
            <w:tcW w:w="1284" w:type="dxa"/>
            <w:vAlign w:val="center"/>
          </w:tcPr>
          <w:p>
            <w:pPr>
              <w:spacing w:line="480" w:lineRule="exact"/>
              <w:jc w:val="center"/>
              <w:rPr>
                <w:szCs w:val="21"/>
              </w:rPr>
            </w:pPr>
            <w:r>
              <w:rPr>
                <w:rFonts w:hint="eastAsia"/>
                <w:szCs w:val="21"/>
              </w:rPr>
              <w:t>高工</w:t>
            </w:r>
          </w:p>
        </w:tc>
        <w:tc>
          <w:tcPr>
            <w:tcW w:w="916" w:type="dxa"/>
            <w:vAlign w:val="center"/>
          </w:tcPr>
          <w:p>
            <w:pPr>
              <w:spacing w:line="480" w:lineRule="exact"/>
              <w:jc w:val="center"/>
              <w:rPr>
                <w:szCs w:val="21"/>
              </w:rPr>
            </w:pPr>
            <w:r>
              <w:rPr>
                <w:rFonts w:hint="eastAsia"/>
                <w:szCs w:val="21"/>
              </w:rPr>
              <w:t>研究生</w:t>
            </w:r>
          </w:p>
        </w:tc>
        <w:tc>
          <w:tcPr>
            <w:tcW w:w="1317" w:type="dxa"/>
            <w:vAlign w:val="center"/>
          </w:tcPr>
          <w:p>
            <w:pPr>
              <w:jc w:val="center"/>
              <w:rPr>
                <w:szCs w:val="21"/>
              </w:rPr>
            </w:pPr>
            <w:r>
              <w:rPr>
                <w:rFonts w:hint="eastAsia"/>
                <w:szCs w:val="21"/>
              </w:rPr>
              <w:t>有机合成</w:t>
            </w:r>
          </w:p>
        </w:tc>
        <w:tc>
          <w:tcPr>
            <w:tcW w:w="2400" w:type="dxa"/>
            <w:vAlign w:val="center"/>
          </w:tcPr>
          <w:p>
            <w:pPr>
              <w:spacing w:line="480" w:lineRule="exact"/>
              <w:jc w:val="center"/>
              <w:rPr>
                <w:szCs w:val="21"/>
              </w:rPr>
            </w:pPr>
            <w:r>
              <w:rPr>
                <w:rFonts w:hint="eastAsia"/>
                <w:szCs w:val="21"/>
              </w:rPr>
              <w:t>苏州大学化工学院</w:t>
            </w:r>
          </w:p>
        </w:tc>
        <w:tc>
          <w:tcPr>
            <w:tcW w:w="1400" w:type="dxa"/>
            <w:vAlign w:val="center"/>
          </w:tcPr>
          <w:p>
            <w:pPr>
              <w:spacing w:line="480" w:lineRule="exact"/>
              <w:jc w:val="center"/>
              <w:rPr>
                <w:szCs w:val="21"/>
              </w:rPr>
            </w:pPr>
            <w:r>
              <w:rPr>
                <w:rFonts w:hint="eastAsia"/>
                <w:szCs w:val="21"/>
              </w:rPr>
              <w:t>13912638420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Align w:val="center"/>
          </w:tcPr>
          <w:p>
            <w:pPr>
              <w:spacing w:line="480" w:lineRule="exact"/>
              <w:jc w:val="center"/>
              <w:rPr>
                <w:szCs w:val="21"/>
              </w:rPr>
            </w:pPr>
            <w:r>
              <w:rPr>
                <w:rFonts w:hint="eastAsia"/>
                <w:szCs w:val="21"/>
              </w:rPr>
              <w:t>6</w:t>
            </w:r>
          </w:p>
        </w:tc>
        <w:tc>
          <w:tcPr>
            <w:tcW w:w="850" w:type="dxa"/>
            <w:vAlign w:val="center"/>
          </w:tcPr>
          <w:p>
            <w:pPr>
              <w:spacing w:line="480" w:lineRule="exact"/>
              <w:jc w:val="center"/>
              <w:rPr>
                <w:szCs w:val="21"/>
              </w:rPr>
            </w:pPr>
            <w:r>
              <w:rPr>
                <w:rFonts w:hint="eastAsia"/>
                <w:szCs w:val="21"/>
              </w:rPr>
              <w:t>许惠中</w:t>
            </w:r>
          </w:p>
        </w:tc>
        <w:tc>
          <w:tcPr>
            <w:tcW w:w="1083" w:type="dxa"/>
            <w:vAlign w:val="center"/>
          </w:tcPr>
          <w:p>
            <w:pPr>
              <w:spacing w:line="480" w:lineRule="exact"/>
              <w:jc w:val="center"/>
              <w:rPr>
                <w:szCs w:val="21"/>
              </w:rPr>
            </w:pPr>
            <w:r>
              <w:rPr>
                <w:rFonts w:hint="eastAsia"/>
                <w:szCs w:val="21"/>
              </w:rPr>
              <w:t>1938.11</w:t>
            </w:r>
          </w:p>
        </w:tc>
        <w:tc>
          <w:tcPr>
            <w:tcW w:w="1284" w:type="dxa"/>
            <w:vAlign w:val="center"/>
          </w:tcPr>
          <w:p>
            <w:pPr>
              <w:spacing w:line="480" w:lineRule="exact"/>
              <w:jc w:val="center"/>
              <w:rPr>
                <w:szCs w:val="21"/>
              </w:rPr>
            </w:pPr>
            <w:r>
              <w:rPr>
                <w:rFonts w:hint="eastAsia"/>
                <w:szCs w:val="21"/>
              </w:rPr>
              <w:t>高工</w:t>
            </w:r>
          </w:p>
        </w:tc>
        <w:tc>
          <w:tcPr>
            <w:tcW w:w="916" w:type="dxa"/>
            <w:vAlign w:val="center"/>
          </w:tcPr>
          <w:p>
            <w:pPr>
              <w:spacing w:line="480" w:lineRule="exact"/>
              <w:jc w:val="center"/>
              <w:rPr>
                <w:szCs w:val="21"/>
              </w:rPr>
            </w:pPr>
            <w:r>
              <w:rPr>
                <w:rFonts w:hint="eastAsia"/>
                <w:szCs w:val="21"/>
              </w:rPr>
              <w:t>大学</w:t>
            </w:r>
          </w:p>
        </w:tc>
        <w:tc>
          <w:tcPr>
            <w:tcW w:w="1317" w:type="dxa"/>
            <w:vAlign w:val="center"/>
          </w:tcPr>
          <w:p>
            <w:pPr>
              <w:jc w:val="center"/>
              <w:rPr>
                <w:szCs w:val="21"/>
              </w:rPr>
            </w:pPr>
            <w:r>
              <w:rPr>
                <w:rFonts w:hint="eastAsia"/>
                <w:szCs w:val="21"/>
              </w:rPr>
              <w:t>有机合成工艺学</w:t>
            </w:r>
          </w:p>
        </w:tc>
        <w:tc>
          <w:tcPr>
            <w:tcW w:w="2400" w:type="dxa"/>
            <w:vAlign w:val="center"/>
          </w:tcPr>
          <w:p>
            <w:pPr>
              <w:spacing w:line="480" w:lineRule="exact"/>
              <w:jc w:val="center"/>
              <w:rPr>
                <w:szCs w:val="21"/>
              </w:rPr>
            </w:pPr>
            <w:r>
              <w:rPr>
                <w:rFonts w:hint="eastAsia"/>
                <w:szCs w:val="21"/>
              </w:rPr>
              <w:t>苏州市化工研究所</w:t>
            </w:r>
          </w:p>
        </w:tc>
        <w:tc>
          <w:tcPr>
            <w:tcW w:w="1400" w:type="dxa"/>
            <w:vAlign w:val="center"/>
          </w:tcPr>
          <w:p>
            <w:pPr>
              <w:spacing w:line="480" w:lineRule="exact"/>
              <w:jc w:val="center"/>
              <w:rPr>
                <w:szCs w:val="21"/>
              </w:rPr>
            </w:pPr>
            <w:r>
              <w:rPr>
                <w:rFonts w:hint="eastAsia"/>
                <w:szCs w:val="21"/>
              </w:rPr>
              <w:t>13862165480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Align w:val="center"/>
          </w:tcPr>
          <w:p>
            <w:pPr>
              <w:spacing w:line="480" w:lineRule="exact"/>
              <w:jc w:val="center"/>
              <w:rPr>
                <w:szCs w:val="21"/>
              </w:rPr>
            </w:pPr>
            <w:r>
              <w:rPr>
                <w:rFonts w:hint="eastAsia"/>
                <w:szCs w:val="21"/>
              </w:rPr>
              <w:t>7</w:t>
            </w:r>
          </w:p>
        </w:tc>
        <w:tc>
          <w:tcPr>
            <w:tcW w:w="850" w:type="dxa"/>
            <w:vAlign w:val="center"/>
          </w:tcPr>
          <w:p>
            <w:pPr>
              <w:spacing w:line="480" w:lineRule="exact"/>
              <w:jc w:val="center"/>
              <w:rPr>
                <w:szCs w:val="21"/>
              </w:rPr>
            </w:pPr>
            <w:r>
              <w:rPr>
                <w:rFonts w:hint="eastAsia"/>
                <w:szCs w:val="21"/>
              </w:rPr>
              <w:t>赵兴农</w:t>
            </w:r>
          </w:p>
        </w:tc>
        <w:tc>
          <w:tcPr>
            <w:tcW w:w="1083" w:type="dxa"/>
            <w:vAlign w:val="center"/>
          </w:tcPr>
          <w:p>
            <w:pPr>
              <w:spacing w:line="480" w:lineRule="exact"/>
              <w:jc w:val="center"/>
              <w:rPr>
                <w:szCs w:val="21"/>
              </w:rPr>
            </w:pPr>
            <w:r>
              <w:rPr>
                <w:rFonts w:hint="eastAsia"/>
                <w:szCs w:val="21"/>
              </w:rPr>
              <w:t>1946.07</w:t>
            </w:r>
          </w:p>
        </w:tc>
        <w:tc>
          <w:tcPr>
            <w:tcW w:w="1284" w:type="dxa"/>
            <w:vAlign w:val="center"/>
          </w:tcPr>
          <w:p>
            <w:pPr>
              <w:spacing w:line="480" w:lineRule="exact"/>
              <w:jc w:val="center"/>
              <w:rPr>
                <w:szCs w:val="21"/>
              </w:rPr>
            </w:pPr>
            <w:r>
              <w:rPr>
                <w:rFonts w:hint="eastAsia"/>
                <w:szCs w:val="21"/>
              </w:rPr>
              <w:t>高工</w:t>
            </w:r>
          </w:p>
        </w:tc>
        <w:tc>
          <w:tcPr>
            <w:tcW w:w="916" w:type="dxa"/>
            <w:vAlign w:val="center"/>
          </w:tcPr>
          <w:p>
            <w:pPr>
              <w:spacing w:line="480" w:lineRule="exact"/>
              <w:jc w:val="center"/>
              <w:rPr>
                <w:szCs w:val="21"/>
              </w:rPr>
            </w:pPr>
            <w:r>
              <w:rPr>
                <w:rFonts w:hint="eastAsia"/>
                <w:szCs w:val="21"/>
              </w:rPr>
              <w:t>本科</w:t>
            </w:r>
          </w:p>
        </w:tc>
        <w:tc>
          <w:tcPr>
            <w:tcW w:w="1317" w:type="dxa"/>
            <w:vAlign w:val="center"/>
          </w:tcPr>
          <w:p>
            <w:pPr>
              <w:jc w:val="center"/>
              <w:rPr>
                <w:szCs w:val="21"/>
              </w:rPr>
            </w:pPr>
            <w:r>
              <w:rPr>
                <w:rFonts w:hint="eastAsia"/>
                <w:szCs w:val="21"/>
              </w:rPr>
              <w:t>高分子</w:t>
            </w:r>
          </w:p>
        </w:tc>
        <w:tc>
          <w:tcPr>
            <w:tcW w:w="2400" w:type="dxa"/>
            <w:vAlign w:val="center"/>
          </w:tcPr>
          <w:p>
            <w:pPr>
              <w:spacing w:line="480" w:lineRule="exact"/>
              <w:jc w:val="center"/>
              <w:rPr>
                <w:szCs w:val="21"/>
              </w:rPr>
            </w:pPr>
            <w:r>
              <w:rPr>
                <w:rFonts w:hint="eastAsia"/>
                <w:szCs w:val="21"/>
              </w:rPr>
              <w:t>原苏州化工局</w:t>
            </w:r>
          </w:p>
        </w:tc>
        <w:tc>
          <w:tcPr>
            <w:tcW w:w="1400" w:type="dxa"/>
            <w:vAlign w:val="center"/>
          </w:tcPr>
          <w:p>
            <w:pPr>
              <w:spacing w:line="480" w:lineRule="exact"/>
              <w:jc w:val="center"/>
              <w:rPr>
                <w:szCs w:val="21"/>
              </w:rPr>
            </w:pPr>
            <w:r>
              <w:rPr>
                <w:rFonts w:hint="eastAsia"/>
                <w:szCs w:val="21"/>
              </w:rPr>
              <w:t>13052809386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Align w:val="center"/>
          </w:tcPr>
          <w:p>
            <w:pPr>
              <w:spacing w:line="480" w:lineRule="exact"/>
              <w:jc w:val="center"/>
              <w:rPr>
                <w:szCs w:val="21"/>
              </w:rPr>
            </w:pPr>
            <w:r>
              <w:rPr>
                <w:rFonts w:hint="eastAsia"/>
                <w:szCs w:val="21"/>
              </w:rPr>
              <w:t>8</w:t>
            </w:r>
          </w:p>
        </w:tc>
        <w:tc>
          <w:tcPr>
            <w:tcW w:w="850" w:type="dxa"/>
            <w:vAlign w:val="center"/>
          </w:tcPr>
          <w:p>
            <w:pPr>
              <w:spacing w:line="480" w:lineRule="exact"/>
              <w:jc w:val="center"/>
              <w:rPr>
                <w:szCs w:val="21"/>
              </w:rPr>
            </w:pPr>
            <w:r>
              <w:rPr>
                <w:rFonts w:hint="eastAsia"/>
                <w:szCs w:val="21"/>
              </w:rPr>
              <w:t>蒋焕华</w:t>
            </w:r>
          </w:p>
        </w:tc>
        <w:tc>
          <w:tcPr>
            <w:tcW w:w="1083" w:type="dxa"/>
            <w:vAlign w:val="center"/>
          </w:tcPr>
          <w:p>
            <w:pPr>
              <w:spacing w:line="480" w:lineRule="exact"/>
              <w:jc w:val="center"/>
              <w:rPr>
                <w:szCs w:val="21"/>
              </w:rPr>
            </w:pPr>
            <w:r>
              <w:rPr>
                <w:rFonts w:hint="eastAsia"/>
                <w:szCs w:val="21"/>
              </w:rPr>
              <w:t>1945.12</w:t>
            </w:r>
          </w:p>
        </w:tc>
        <w:tc>
          <w:tcPr>
            <w:tcW w:w="1284" w:type="dxa"/>
            <w:vAlign w:val="center"/>
          </w:tcPr>
          <w:p>
            <w:pPr>
              <w:spacing w:line="480" w:lineRule="exact"/>
              <w:jc w:val="center"/>
              <w:rPr>
                <w:szCs w:val="21"/>
              </w:rPr>
            </w:pPr>
            <w:r>
              <w:rPr>
                <w:rFonts w:hint="eastAsia"/>
                <w:szCs w:val="21"/>
              </w:rPr>
              <w:t>高工</w:t>
            </w:r>
          </w:p>
        </w:tc>
        <w:tc>
          <w:tcPr>
            <w:tcW w:w="916" w:type="dxa"/>
            <w:vAlign w:val="center"/>
          </w:tcPr>
          <w:p>
            <w:pPr>
              <w:spacing w:line="480" w:lineRule="exact"/>
              <w:jc w:val="center"/>
              <w:rPr>
                <w:szCs w:val="21"/>
              </w:rPr>
            </w:pPr>
            <w:r>
              <w:rPr>
                <w:rFonts w:hint="eastAsia"/>
                <w:szCs w:val="21"/>
              </w:rPr>
              <w:t>本科</w:t>
            </w:r>
          </w:p>
        </w:tc>
        <w:tc>
          <w:tcPr>
            <w:tcW w:w="1317" w:type="dxa"/>
            <w:vAlign w:val="center"/>
          </w:tcPr>
          <w:p>
            <w:pPr>
              <w:jc w:val="center"/>
              <w:rPr>
                <w:szCs w:val="21"/>
              </w:rPr>
            </w:pPr>
            <w:r>
              <w:rPr>
                <w:rFonts w:hint="eastAsia"/>
                <w:szCs w:val="21"/>
              </w:rPr>
              <w:t>基本有机合成化学</w:t>
            </w:r>
          </w:p>
        </w:tc>
        <w:tc>
          <w:tcPr>
            <w:tcW w:w="2400" w:type="dxa"/>
            <w:vAlign w:val="center"/>
          </w:tcPr>
          <w:p>
            <w:pPr>
              <w:jc w:val="center"/>
              <w:rPr>
                <w:szCs w:val="21"/>
              </w:rPr>
            </w:pPr>
            <w:r>
              <w:rPr>
                <w:rFonts w:hint="eastAsia"/>
                <w:szCs w:val="21"/>
              </w:rPr>
              <w:t>苏州嘉乐威企业发展有限公司</w:t>
            </w:r>
          </w:p>
        </w:tc>
        <w:tc>
          <w:tcPr>
            <w:tcW w:w="1400" w:type="dxa"/>
            <w:vAlign w:val="center"/>
          </w:tcPr>
          <w:p>
            <w:pPr>
              <w:spacing w:line="480" w:lineRule="exact"/>
              <w:jc w:val="center"/>
              <w:rPr>
                <w:szCs w:val="21"/>
              </w:rPr>
            </w:pPr>
            <w:r>
              <w:rPr>
                <w:rFonts w:hint="eastAsia"/>
                <w:szCs w:val="21"/>
              </w:rPr>
              <w:t>13913117642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Align w:val="center"/>
          </w:tcPr>
          <w:p>
            <w:pPr>
              <w:spacing w:line="480" w:lineRule="exact"/>
              <w:jc w:val="center"/>
              <w:rPr>
                <w:szCs w:val="21"/>
              </w:rPr>
            </w:pPr>
            <w:r>
              <w:rPr>
                <w:rFonts w:hint="eastAsia"/>
                <w:szCs w:val="21"/>
              </w:rPr>
              <w:t>9</w:t>
            </w:r>
          </w:p>
        </w:tc>
        <w:tc>
          <w:tcPr>
            <w:tcW w:w="850" w:type="dxa"/>
            <w:vAlign w:val="center"/>
          </w:tcPr>
          <w:p>
            <w:pPr>
              <w:spacing w:line="480" w:lineRule="exact"/>
              <w:jc w:val="center"/>
              <w:rPr>
                <w:szCs w:val="21"/>
              </w:rPr>
            </w:pPr>
            <w:r>
              <w:rPr>
                <w:rFonts w:hint="eastAsia"/>
                <w:szCs w:val="21"/>
              </w:rPr>
              <w:t>薛焕清</w:t>
            </w:r>
          </w:p>
        </w:tc>
        <w:tc>
          <w:tcPr>
            <w:tcW w:w="1083" w:type="dxa"/>
            <w:vAlign w:val="center"/>
          </w:tcPr>
          <w:p>
            <w:pPr>
              <w:spacing w:line="480" w:lineRule="exact"/>
              <w:jc w:val="center"/>
              <w:rPr>
                <w:szCs w:val="21"/>
              </w:rPr>
            </w:pPr>
            <w:r>
              <w:rPr>
                <w:rFonts w:hint="eastAsia"/>
                <w:szCs w:val="21"/>
              </w:rPr>
              <w:t>1945.11</w:t>
            </w:r>
          </w:p>
        </w:tc>
        <w:tc>
          <w:tcPr>
            <w:tcW w:w="1284" w:type="dxa"/>
            <w:vAlign w:val="center"/>
          </w:tcPr>
          <w:p>
            <w:pPr>
              <w:spacing w:line="480" w:lineRule="exact"/>
              <w:jc w:val="center"/>
              <w:rPr>
                <w:szCs w:val="21"/>
              </w:rPr>
            </w:pPr>
            <w:r>
              <w:rPr>
                <w:rFonts w:hint="eastAsia"/>
                <w:szCs w:val="21"/>
              </w:rPr>
              <w:t>高工</w:t>
            </w:r>
          </w:p>
        </w:tc>
        <w:tc>
          <w:tcPr>
            <w:tcW w:w="916" w:type="dxa"/>
            <w:vAlign w:val="center"/>
          </w:tcPr>
          <w:p>
            <w:pPr>
              <w:spacing w:line="480" w:lineRule="exact"/>
              <w:jc w:val="center"/>
              <w:rPr>
                <w:szCs w:val="21"/>
              </w:rPr>
            </w:pPr>
            <w:r>
              <w:rPr>
                <w:rFonts w:hint="eastAsia"/>
                <w:szCs w:val="21"/>
              </w:rPr>
              <w:t>本科</w:t>
            </w:r>
          </w:p>
        </w:tc>
        <w:tc>
          <w:tcPr>
            <w:tcW w:w="1317" w:type="dxa"/>
            <w:vAlign w:val="center"/>
          </w:tcPr>
          <w:p>
            <w:pPr>
              <w:jc w:val="center"/>
              <w:rPr>
                <w:szCs w:val="21"/>
              </w:rPr>
            </w:pPr>
            <w:r>
              <w:rPr>
                <w:rFonts w:hint="eastAsia"/>
                <w:szCs w:val="21"/>
              </w:rPr>
              <w:t>弱电专业</w:t>
            </w:r>
          </w:p>
        </w:tc>
        <w:tc>
          <w:tcPr>
            <w:tcW w:w="2400" w:type="dxa"/>
            <w:vAlign w:val="center"/>
          </w:tcPr>
          <w:p>
            <w:pPr>
              <w:spacing w:line="480" w:lineRule="exact"/>
              <w:jc w:val="center"/>
              <w:rPr>
                <w:szCs w:val="21"/>
              </w:rPr>
            </w:pPr>
            <w:r>
              <w:rPr>
                <w:rFonts w:hint="eastAsia"/>
                <w:szCs w:val="21"/>
              </w:rPr>
              <w:t>原苏州化学工业局</w:t>
            </w:r>
          </w:p>
        </w:tc>
        <w:tc>
          <w:tcPr>
            <w:tcW w:w="1400" w:type="dxa"/>
            <w:vAlign w:val="center"/>
          </w:tcPr>
          <w:p>
            <w:pPr>
              <w:spacing w:line="480" w:lineRule="exact"/>
              <w:jc w:val="center"/>
              <w:rPr>
                <w:szCs w:val="21"/>
              </w:rPr>
            </w:pPr>
            <w:r>
              <w:rPr>
                <w:rFonts w:hint="eastAsia"/>
                <w:szCs w:val="21"/>
              </w:rPr>
              <w:t>13862153326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Align w:val="center"/>
          </w:tcPr>
          <w:p>
            <w:pPr>
              <w:spacing w:line="480" w:lineRule="exact"/>
              <w:jc w:val="center"/>
              <w:rPr>
                <w:szCs w:val="21"/>
              </w:rPr>
            </w:pPr>
            <w:r>
              <w:rPr>
                <w:rFonts w:hint="eastAsia"/>
                <w:szCs w:val="21"/>
              </w:rPr>
              <w:t>10</w:t>
            </w:r>
          </w:p>
        </w:tc>
        <w:tc>
          <w:tcPr>
            <w:tcW w:w="850" w:type="dxa"/>
            <w:vAlign w:val="center"/>
          </w:tcPr>
          <w:p>
            <w:pPr>
              <w:spacing w:line="480" w:lineRule="exact"/>
              <w:jc w:val="center"/>
              <w:rPr>
                <w:szCs w:val="21"/>
              </w:rPr>
            </w:pPr>
            <w:r>
              <w:rPr>
                <w:rFonts w:hint="eastAsia"/>
                <w:szCs w:val="21"/>
              </w:rPr>
              <w:t>周景康</w:t>
            </w:r>
          </w:p>
        </w:tc>
        <w:tc>
          <w:tcPr>
            <w:tcW w:w="1083" w:type="dxa"/>
            <w:vAlign w:val="center"/>
          </w:tcPr>
          <w:p>
            <w:pPr>
              <w:spacing w:line="480" w:lineRule="exact"/>
              <w:jc w:val="center"/>
              <w:rPr>
                <w:szCs w:val="21"/>
              </w:rPr>
            </w:pPr>
            <w:r>
              <w:rPr>
                <w:rFonts w:hint="eastAsia"/>
                <w:szCs w:val="21"/>
              </w:rPr>
              <w:t>1942.07</w:t>
            </w:r>
          </w:p>
        </w:tc>
        <w:tc>
          <w:tcPr>
            <w:tcW w:w="1284" w:type="dxa"/>
            <w:vAlign w:val="center"/>
          </w:tcPr>
          <w:p>
            <w:pPr>
              <w:spacing w:line="480" w:lineRule="exact"/>
              <w:jc w:val="center"/>
              <w:rPr>
                <w:szCs w:val="21"/>
              </w:rPr>
            </w:pPr>
            <w:r>
              <w:rPr>
                <w:rFonts w:hint="eastAsia"/>
                <w:szCs w:val="21"/>
              </w:rPr>
              <w:t>高工</w:t>
            </w:r>
          </w:p>
        </w:tc>
        <w:tc>
          <w:tcPr>
            <w:tcW w:w="916" w:type="dxa"/>
            <w:vAlign w:val="center"/>
          </w:tcPr>
          <w:p>
            <w:pPr>
              <w:spacing w:line="480" w:lineRule="exact"/>
              <w:jc w:val="center"/>
              <w:rPr>
                <w:szCs w:val="21"/>
              </w:rPr>
            </w:pPr>
            <w:r>
              <w:rPr>
                <w:rFonts w:hint="eastAsia"/>
                <w:szCs w:val="21"/>
              </w:rPr>
              <w:t>大专</w:t>
            </w:r>
          </w:p>
        </w:tc>
        <w:tc>
          <w:tcPr>
            <w:tcW w:w="1317" w:type="dxa"/>
            <w:vAlign w:val="center"/>
          </w:tcPr>
          <w:p>
            <w:pPr>
              <w:jc w:val="center"/>
              <w:rPr>
                <w:szCs w:val="21"/>
              </w:rPr>
            </w:pPr>
            <w:r>
              <w:rPr>
                <w:rFonts w:hint="eastAsia"/>
                <w:szCs w:val="21"/>
              </w:rPr>
              <w:t>机械制造</w:t>
            </w:r>
          </w:p>
        </w:tc>
        <w:tc>
          <w:tcPr>
            <w:tcW w:w="2400" w:type="dxa"/>
            <w:vAlign w:val="center"/>
          </w:tcPr>
          <w:p>
            <w:pPr>
              <w:spacing w:line="480" w:lineRule="exact"/>
              <w:jc w:val="center"/>
              <w:rPr>
                <w:szCs w:val="21"/>
              </w:rPr>
            </w:pPr>
            <w:r>
              <w:rPr>
                <w:rFonts w:hint="eastAsia"/>
                <w:szCs w:val="21"/>
              </w:rPr>
              <w:t>苏州益民化工厂</w:t>
            </w:r>
          </w:p>
        </w:tc>
        <w:tc>
          <w:tcPr>
            <w:tcW w:w="1400" w:type="dxa"/>
            <w:vAlign w:val="center"/>
          </w:tcPr>
          <w:p>
            <w:pPr>
              <w:spacing w:line="480" w:lineRule="exact"/>
              <w:jc w:val="center"/>
              <w:rPr>
                <w:szCs w:val="21"/>
              </w:rPr>
            </w:pPr>
            <w:r>
              <w:rPr>
                <w:rFonts w:hint="eastAsia"/>
                <w:szCs w:val="21"/>
              </w:rPr>
              <w:t>13862590533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Align w:val="center"/>
          </w:tcPr>
          <w:p>
            <w:pPr>
              <w:spacing w:line="480" w:lineRule="exact"/>
              <w:jc w:val="center"/>
              <w:rPr>
                <w:szCs w:val="21"/>
              </w:rPr>
            </w:pPr>
            <w:r>
              <w:rPr>
                <w:rFonts w:hint="eastAsia"/>
                <w:szCs w:val="21"/>
              </w:rPr>
              <w:t>11</w:t>
            </w:r>
          </w:p>
        </w:tc>
        <w:tc>
          <w:tcPr>
            <w:tcW w:w="850" w:type="dxa"/>
            <w:vAlign w:val="center"/>
          </w:tcPr>
          <w:p>
            <w:pPr>
              <w:spacing w:line="480" w:lineRule="exact"/>
              <w:jc w:val="center"/>
              <w:rPr>
                <w:szCs w:val="21"/>
              </w:rPr>
            </w:pPr>
            <w:r>
              <w:rPr>
                <w:rFonts w:hint="eastAsia"/>
                <w:szCs w:val="21"/>
              </w:rPr>
              <w:t>屠恒德</w:t>
            </w:r>
          </w:p>
        </w:tc>
        <w:tc>
          <w:tcPr>
            <w:tcW w:w="1083" w:type="dxa"/>
            <w:vAlign w:val="center"/>
          </w:tcPr>
          <w:p>
            <w:pPr>
              <w:spacing w:line="480" w:lineRule="exact"/>
              <w:jc w:val="center"/>
              <w:rPr>
                <w:szCs w:val="21"/>
              </w:rPr>
            </w:pPr>
            <w:r>
              <w:rPr>
                <w:rFonts w:hint="eastAsia"/>
                <w:szCs w:val="21"/>
              </w:rPr>
              <w:t>1944.09</w:t>
            </w:r>
          </w:p>
        </w:tc>
        <w:tc>
          <w:tcPr>
            <w:tcW w:w="1284" w:type="dxa"/>
            <w:vAlign w:val="center"/>
          </w:tcPr>
          <w:p>
            <w:pPr>
              <w:spacing w:line="480" w:lineRule="exact"/>
              <w:jc w:val="center"/>
              <w:rPr>
                <w:szCs w:val="21"/>
              </w:rPr>
            </w:pPr>
            <w:r>
              <w:rPr>
                <w:rFonts w:hint="eastAsia"/>
                <w:szCs w:val="21"/>
              </w:rPr>
              <w:t>高工</w:t>
            </w:r>
          </w:p>
        </w:tc>
        <w:tc>
          <w:tcPr>
            <w:tcW w:w="916" w:type="dxa"/>
            <w:vAlign w:val="center"/>
          </w:tcPr>
          <w:p>
            <w:pPr>
              <w:spacing w:line="480" w:lineRule="exact"/>
              <w:jc w:val="center"/>
              <w:rPr>
                <w:szCs w:val="21"/>
              </w:rPr>
            </w:pPr>
            <w:r>
              <w:rPr>
                <w:rFonts w:hint="eastAsia"/>
                <w:szCs w:val="21"/>
              </w:rPr>
              <w:t>本科</w:t>
            </w:r>
          </w:p>
        </w:tc>
        <w:tc>
          <w:tcPr>
            <w:tcW w:w="1317" w:type="dxa"/>
            <w:vAlign w:val="center"/>
          </w:tcPr>
          <w:p>
            <w:pPr>
              <w:jc w:val="center"/>
              <w:rPr>
                <w:szCs w:val="21"/>
              </w:rPr>
            </w:pPr>
            <w:r>
              <w:rPr>
                <w:rFonts w:hint="eastAsia"/>
                <w:szCs w:val="21"/>
              </w:rPr>
              <w:t>化工机械</w:t>
            </w:r>
          </w:p>
        </w:tc>
        <w:tc>
          <w:tcPr>
            <w:tcW w:w="2400" w:type="dxa"/>
            <w:vAlign w:val="center"/>
          </w:tcPr>
          <w:p>
            <w:pPr>
              <w:spacing w:line="480" w:lineRule="exact"/>
              <w:jc w:val="center"/>
              <w:rPr>
                <w:szCs w:val="21"/>
              </w:rPr>
            </w:pPr>
            <w:r>
              <w:rPr>
                <w:rFonts w:hint="eastAsia"/>
                <w:szCs w:val="21"/>
              </w:rPr>
              <w:t>原苏州染料厂</w:t>
            </w:r>
          </w:p>
        </w:tc>
        <w:tc>
          <w:tcPr>
            <w:tcW w:w="1400" w:type="dxa"/>
            <w:vAlign w:val="center"/>
          </w:tcPr>
          <w:p>
            <w:pPr>
              <w:spacing w:line="480" w:lineRule="exact"/>
              <w:jc w:val="center"/>
              <w:rPr>
                <w:szCs w:val="21"/>
              </w:rPr>
            </w:pPr>
            <w:r>
              <w:rPr>
                <w:rFonts w:hint="eastAsia"/>
                <w:szCs w:val="21"/>
              </w:rPr>
              <w:t>13179600119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Align w:val="center"/>
          </w:tcPr>
          <w:p>
            <w:pPr>
              <w:spacing w:line="480" w:lineRule="exact"/>
              <w:jc w:val="center"/>
              <w:rPr>
                <w:szCs w:val="21"/>
              </w:rPr>
            </w:pPr>
            <w:r>
              <w:rPr>
                <w:rFonts w:hint="eastAsia"/>
                <w:szCs w:val="21"/>
              </w:rPr>
              <w:t>12</w:t>
            </w:r>
          </w:p>
        </w:tc>
        <w:tc>
          <w:tcPr>
            <w:tcW w:w="850" w:type="dxa"/>
            <w:vAlign w:val="center"/>
          </w:tcPr>
          <w:p>
            <w:pPr>
              <w:spacing w:line="480" w:lineRule="exact"/>
              <w:jc w:val="center"/>
              <w:rPr>
                <w:szCs w:val="21"/>
              </w:rPr>
            </w:pPr>
            <w:r>
              <w:rPr>
                <w:rFonts w:hint="eastAsia"/>
                <w:szCs w:val="21"/>
              </w:rPr>
              <w:t>游泳平</w:t>
            </w:r>
          </w:p>
        </w:tc>
        <w:tc>
          <w:tcPr>
            <w:tcW w:w="1083" w:type="dxa"/>
            <w:vAlign w:val="center"/>
          </w:tcPr>
          <w:p>
            <w:pPr>
              <w:spacing w:line="480" w:lineRule="exact"/>
              <w:jc w:val="center"/>
              <w:rPr>
                <w:szCs w:val="21"/>
              </w:rPr>
            </w:pPr>
          </w:p>
        </w:tc>
        <w:tc>
          <w:tcPr>
            <w:tcW w:w="1284" w:type="dxa"/>
            <w:vAlign w:val="center"/>
          </w:tcPr>
          <w:p>
            <w:pPr>
              <w:spacing w:line="480" w:lineRule="exact"/>
              <w:jc w:val="center"/>
              <w:rPr>
                <w:szCs w:val="21"/>
              </w:rPr>
            </w:pPr>
            <w:r>
              <w:rPr>
                <w:rFonts w:hint="eastAsia"/>
                <w:szCs w:val="21"/>
              </w:rPr>
              <w:t>高工</w:t>
            </w:r>
          </w:p>
        </w:tc>
        <w:tc>
          <w:tcPr>
            <w:tcW w:w="916" w:type="dxa"/>
            <w:vAlign w:val="center"/>
          </w:tcPr>
          <w:p>
            <w:pPr>
              <w:spacing w:line="480" w:lineRule="exact"/>
              <w:jc w:val="center"/>
              <w:rPr>
                <w:szCs w:val="21"/>
              </w:rPr>
            </w:pPr>
            <w:r>
              <w:rPr>
                <w:rFonts w:hint="eastAsia"/>
                <w:szCs w:val="21"/>
              </w:rPr>
              <w:t>本科</w:t>
            </w:r>
          </w:p>
        </w:tc>
        <w:tc>
          <w:tcPr>
            <w:tcW w:w="1317" w:type="dxa"/>
            <w:vAlign w:val="center"/>
          </w:tcPr>
          <w:p>
            <w:pPr>
              <w:jc w:val="center"/>
              <w:rPr>
                <w:szCs w:val="21"/>
              </w:rPr>
            </w:pPr>
          </w:p>
        </w:tc>
        <w:tc>
          <w:tcPr>
            <w:tcW w:w="2400" w:type="dxa"/>
            <w:vAlign w:val="center"/>
          </w:tcPr>
          <w:p>
            <w:pPr>
              <w:spacing w:line="480" w:lineRule="exact"/>
              <w:jc w:val="center"/>
              <w:rPr>
                <w:szCs w:val="21"/>
              </w:rPr>
            </w:pPr>
            <w:r>
              <w:rPr>
                <w:rFonts w:hint="eastAsia"/>
                <w:szCs w:val="21"/>
              </w:rPr>
              <w:t>原吴县化肥厂</w:t>
            </w:r>
          </w:p>
        </w:tc>
        <w:tc>
          <w:tcPr>
            <w:tcW w:w="1400" w:type="dxa"/>
            <w:vAlign w:val="center"/>
          </w:tcPr>
          <w:p>
            <w:pPr>
              <w:spacing w:line="480" w:lineRule="exact"/>
              <w:jc w:val="center"/>
              <w:rPr>
                <w:szCs w:val="21"/>
              </w:rPr>
            </w:pPr>
            <w:r>
              <w:rPr>
                <w:rFonts w:hint="eastAsia"/>
                <w:szCs w:val="21"/>
              </w:rPr>
              <w:t>13906209578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Align w:val="center"/>
          </w:tcPr>
          <w:p>
            <w:pPr>
              <w:spacing w:line="480" w:lineRule="exact"/>
              <w:jc w:val="center"/>
              <w:rPr>
                <w:szCs w:val="21"/>
              </w:rPr>
            </w:pPr>
            <w:r>
              <w:rPr>
                <w:rFonts w:hint="eastAsia"/>
                <w:szCs w:val="21"/>
              </w:rPr>
              <w:t>13</w:t>
            </w:r>
          </w:p>
        </w:tc>
        <w:tc>
          <w:tcPr>
            <w:tcW w:w="850" w:type="dxa"/>
            <w:vAlign w:val="center"/>
          </w:tcPr>
          <w:p>
            <w:pPr>
              <w:spacing w:line="480" w:lineRule="exact"/>
              <w:jc w:val="center"/>
              <w:rPr>
                <w:szCs w:val="21"/>
              </w:rPr>
            </w:pPr>
            <w:r>
              <w:rPr>
                <w:rFonts w:hint="eastAsia"/>
                <w:szCs w:val="21"/>
              </w:rPr>
              <w:t>张建平</w:t>
            </w:r>
          </w:p>
        </w:tc>
        <w:tc>
          <w:tcPr>
            <w:tcW w:w="1083" w:type="dxa"/>
            <w:vAlign w:val="center"/>
          </w:tcPr>
          <w:p>
            <w:pPr>
              <w:spacing w:line="480" w:lineRule="exact"/>
              <w:jc w:val="center"/>
              <w:rPr>
                <w:szCs w:val="21"/>
              </w:rPr>
            </w:pPr>
          </w:p>
        </w:tc>
        <w:tc>
          <w:tcPr>
            <w:tcW w:w="1284" w:type="dxa"/>
            <w:vAlign w:val="center"/>
          </w:tcPr>
          <w:p>
            <w:pPr>
              <w:spacing w:line="480" w:lineRule="exact"/>
              <w:jc w:val="center"/>
              <w:rPr>
                <w:szCs w:val="21"/>
              </w:rPr>
            </w:pPr>
            <w:r>
              <w:rPr>
                <w:rFonts w:hint="eastAsia"/>
                <w:szCs w:val="21"/>
              </w:rPr>
              <w:t>高工</w:t>
            </w:r>
          </w:p>
        </w:tc>
        <w:tc>
          <w:tcPr>
            <w:tcW w:w="916" w:type="dxa"/>
            <w:vAlign w:val="center"/>
          </w:tcPr>
          <w:p>
            <w:pPr>
              <w:spacing w:line="480" w:lineRule="exact"/>
              <w:jc w:val="center"/>
              <w:rPr>
                <w:szCs w:val="21"/>
              </w:rPr>
            </w:pPr>
          </w:p>
        </w:tc>
        <w:tc>
          <w:tcPr>
            <w:tcW w:w="1317" w:type="dxa"/>
            <w:vAlign w:val="center"/>
          </w:tcPr>
          <w:p>
            <w:pPr>
              <w:jc w:val="center"/>
              <w:rPr>
                <w:szCs w:val="21"/>
              </w:rPr>
            </w:pPr>
          </w:p>
        </w:tc>
        <w:tc>
          <w:tcPr>
            <w:tcW w:w="2400" w:type="dxa"/>
            <w:vAlign w:val="center"/>
          </w:tcPr>
          <w:p>
            <w:pPr>
              <w:spacing w:line="480" w:lineRule="exact"/>
              <w:jc w:val="center"/>
              <w:rPr>
                <w:szCs w:val="21"/>
              </w:rPr>
            </w:pPr>
            <w:r>
              <w:rPr>
                <w:rFonts w:hint="eastAsia"/>
                <w:szCs w:val="21"/>
              </w:rPr>
              <w:t>苏化集团</w:t>
            </w:r>
          </w:p>
        </w:tc>
        <w:tc>
          <w:tcPr>
            <w:tcW w:w="1400" w:type="dxa"/>
            <w:vAlign w:val="center"/>
          </w:tcPr>
          <w:p>
            <w:pPr>
              <w:spacing w:line="480" w:lineRule="exact"/>
              <w:jc w:val="center"/>
              <w:rPr>
                <w:szCs w:val="21"/>
              </w:rPr>
            </w:pPr>
            <w:r>
              <w:rPr>
                <w:rFonts w:hint="eastAsia"/>
                <w:szCs w:val="21"/>
              </w:rPr>
              <w:t>13962153614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Align w:val="center"/>
          </w:tcPr>
          <w:p>
            <w:pPr>
              <w:spacing w:line="480" w:lineRule="exact"/>
              <w:jc w:val="center"/>
              <w:rPr>
                <w:szCs w:val="21"/>
              </w:rPr>
            </w:pPr>
            <w:r>
              <w:rPr>
                <w:rFonts w:hint="eastAsia"/>
                <w:szCs w:val="21"/>
              </w:rPr>
              <w:t>14</w:t>
            </w:r>
          </w:p>
        </w:tc>
        <w:tc>
          <w:tcPr>
            <w:tcW w:w="850" w:type="dxa"/>
            <w:vAlign w:val="center"/>
          </w:tcPr>
          <w:p>
            <w:pPr>
              <w:spacing w:line="480" w:lineRule="exact"/>
              <w:jc w:val="center"/>
              <w:rPr>
                <w:szCs w:val="21"/>
              </w:rPr>
            </w:pPr>
            <w:r>
              <w:rPr>
                <w:rFonts w:hint="eastAsia"/>
                <w:szCs w:val="21"/>
              </w:rPr>
              <w:t>顾建萍</w:t>
            </w:r>
          </w:p>
        </w:tc>
        <w:tc>
          <w:tcPr>
            <w:tcW w:w="1083" w:type="dxa"/>
            <w:vAlign w:val="center"/>
          </w:tcPr>
          <w:p>
            <w:pPr>
              <w:spacing w:line="480" w:lineRule="exact"/>
              <w:jc w:val="center"/>
              <w:rPr>
                <w:szCs w:val="21"/>
              </w:rPr>
            </w:pPr>
            <w:r>
              <w:rPr>
                <w:rFonts w:hint="eastAsia"/>
                <w:szCs w:val="21"/>
              </w:rPr>
              <w:t>1960.03</w:t>
            </w:r>
          </w:p>
        </w:tc>
        <w:tc>
          <w:tcPr>
            <w:tcW w:w="1284" w:type="dxa"/>
            <w:vAlign w:val="center"/>
          </w:tcPr>
          <w:p>
            <w:pPr>
              <w:spacing w:line="480" w:lineRule="exact"/>
              <w:jc w:val="center"/>
              <w:rPr>
                <w:szCs w:val="21"/>
              </w:rPr>
            </w:pPr>
            <w:r>
              <w:rPr>
                <w:rFonts w:hint="eastAsia"/>
                <w:szCs w:val="21"/>
              </w:rPr>
              <w:t>高工</w:t>
            </w:r>
          </w:p>
        </w:tc>
        <w:tc>
          <w:tcPr>
            <w:tcW w:w="916" w:type="dxa"/>
            <w:vAlign w:val="center"/>
          </w:tcPr>
          <w:p>
            <w:pPr>
              <w:spacing w:line="480" w:lineRule="exact"/>
              <w:jc w:val="center"/>
              <w:rPr>
                <w:szCs w:val="21"/>
              </w:rPr>
            </w:pPr>
            <w:r>
              <w:rPr>
                <w:rFonts w:hint="eastAsia"/>
                <w:szCs w:val="21"/>
              </w:rPr>
              <w:t>本科</w:t>
            </w:r>
          </w:p>
        </w:tc>
        <w:tc>
          <w:tcPr>
            <w:tcW w:w="1317" w:type="dxa"/>
            <w:vAlign w:val="center"/>
          </w:tcPr>
          <w:p>
            <w:pPr>
              <w:jc w:val="center"/>
              <w:rPr>
                <w:szCs w:val="21"/>
              </w:rPr>
            </w:pPr>
            <w:r>
              <w:rPr>
                <w:rFonts w:hint="eastAsia"/>
                <w:szCs w:val="21"/>
              </w:rPr>
              <w:t>化学工程</w:t>
            </w:r>
          </w:p>
        </w:tc>
        <w:tc>
          <w:tcPr>
            <w:tcW w:w="2400" w:type="dxa"/>
            <w:vAlign w:val="center"/>
          </w:tcPr>
          <w:p>
            <w:pPr>
              <w:spacing w:line="480" w:lineRule="exact"/>
              <w:jc w:val="center"/>
              <w:rPr>
                <w:szCs w:val="21"/>
              </w:rPr>
            </w:pPr>
            <w:r>
              <w:rPr>
                <w:rFonts w:hint="eastAsia"/>
                <w:szCs w:val="21"/>
              </w:rPr>
              <w:t>原苏州三威集团</w:t>
            </w:r>
          </w:p>
        </w:tc>
        <w:tc>
          <w:tcPr>
            <w:tcW w:w="1400" w:type="dxa"/>
            <w:vAlign w:val="center"/>
          </w:tcPr>
          <w:p>
            <w:pPr>
              <w:spacing w:line="480" w:lineRule="exact"/>
              <w:jc w:val="center"/>
              <w:rPr>
                <w:szCs w:val="21"/>
              </w:rPr>
            </w:pPr>
            <w:r>
              <w:rPr>
                <w:rFonts w:hint="eastAsia"/>
                <w:szCs w:val="21"/>
              </w:rPr>
              <w:t>13962122667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Align w:val="center"/>
          </w:tcPr>
          <w:p>
            <w:pPr>
              <w:spacing w:line="480" w:lineRule="exact"/>
              <w:jc w:val="center"/>
              <w:rPr>
                <w:szCs w:val="21"/>
              </w:rPr>
            </w:pPr>
            <w:r>
              <w:rPr>
                <w:rFonts w:hint="eastAsia"/>
                <w:szCs w:val="21"/>
              </w:rPr>
              <w:t>15</w:t>
            </w:r>
          </w:p>
        </w:tc>
        <w:tc>
          <w:tcPr>
            <w:tcW w:w="850" w:type="dxa"/>
            <w:vAlign w:val="center"/>
          </w:tcPr>
          <w:p>
            <w:pPr>
              <w:spacing w:line="480" w:lineRule="exact"/>
              <w:jc w:val="center"/>
              <w:rPr>
                <w:szCs w:val="21"/>
              </w:rPr>
            </w:pPr>
            <w:r>
              <w:rPr>
                <w:rFonts w:hint="eastAsia"/>
                <w:szCs w:val="21"/>
              </w:rPr>
              <w:t>张红卫</w:t>
            </w:r>
          </w:p>
        </w:tc>
        <w:tc>
          <w:tcPr>
            <w:tcW w:w="1083" w:type="dxa"/>
            <w:vAlign w:val="center"/>
          </w:tcPr>
          <w:p>
            <w:pPr>
              <w:spacing w:line="480" w:lineRule="exact"/>
              <w:jc w:val="center"/>
              <w:rPr>
                <w:szCs w:val="21"/>
              </w:rPr>
            </w:pPr>
            <w:r>
              <w:rPr>
                <w:rFonts w:hint="eastAsia"/>
                <w:szCs w:val="21"/>
              </w:rPr>
              <w:t>1963.01</w:t>
            </w:r>
          </w:p>
        </w:tc>
        <w:tc>
          <w:tcPr>
            <w:tcW w:w="1284" w:type="dxa"/>
            <w:vAlign w:val="center"/>
          </w:tcPr>
          <w:p>
            <w:pPr>
              <w:spacing w:line="480" w:lineRule="exact"/>
              <w:jc w:val="center"/>
              <w:rPr>
                <w:szCs w:val="21"/>
              </w:rPr>
            </w:pPr>
            <w:r>
              <w:rPr>
                <w:rFonts w:hint="eastAsia"/>
                <w:szCs w:val="21"/>
              </w:rPr>
              <w:t>高工</w:t>
            </w:r>
          </w:p>
        </w:tc>
        <w:tc>
          <w:tcPr>
            <w:tcW w:w="916" w:type="dxa"/>
            <w:vAlign w:val="center"/>
          </w:tcPr>
          <w:p>
            <w:pPr>
              <w:spacing w:line="480" w:lineRule="exact"/>
              <w:jc w:val="center"/>
              <w:rPr>
                <w:szCs w:val="21"/>
              </w:rPr>
            </w:pPr>
            <w:r>
              <w:rPr>
                <w:rFonts w:hint="eastAsia"/>
                <w:szCs w:val="21"/>
              </w:rPr>
              <w:t>本科</w:t>
            </w:r>
          </w:p>
        </w:tc>
        <w:tc>
          <w:tcPr>
            <w:tcW w:w="1317" w:type="dxa"/>
            <w:vAlign w:val="center"/>
          </w:tcPr>
          <w:p>
            <w:pPr>
              <w:jc w:val="center"/>
              <w:rPr>
                <w:szCs w:val="21"/>
              </w:rPr>
            </w:pPr>
            <w:r>
              <w:rPr>
                <w:rFonts w:hint="eastAsia"/>
                <w:szCs w:val="21"/>
              </w:rPr>
              <w:t>高分子化工</w:t>
            </w:r>
          </w:p>
        </w:tc>
        <w:tc>
          <w:tcPr>
            <w:tcW w:w="2400" w:type="dxa"/>
            <w:vAlign w:val="center"/>
          </w:tcPr>
          <w:p>
            <w:pPr>
              <w:jc w:val="center"/>
              <w:rPr>
                <w:szCs w:val="21"/>
              </w:rPr>
            </w:pPr>
            <w:r>
              <w:rPr>
                <w:rFonts w:hint="eastAsia"/>
                <w:szCs w:val="21"/>
              </w:rPr>
              <w:t>河北省石油化工设计院有限公司苏州分院</w:t>
            </w:r>
          </w:p>
        </w:tc>
        <w:tc>
          <w:tcPr>
            <w:tcW w:w="1400" w:type="dxa"/>
            <w:vAlign w:val="center"/>
          </w:tcPr>
          <w:p>
            <w:pPr>
              <w:spacing w:line="480" w:lineRule="exact"/>
              <w:jc w:val="center"/>
              <w:rPr>
                <w:szCs w:val="21"/>
              </w:rPr>
            </w:pPr>
            <w:r>
              <w:rPr>
                <w:rFonts w:hint="eastAsia"/>
                <w:szCs w:val="21"/>
              </w:rPr>
              <w:t>13915536059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Align w:val="center"/>
          </w:tcPr>
          <w:p>
            <w:pPr>
              <w:spacing w:line="480" w:lineRule="exact"/>
              <w:jc w:val="center"/>
              <w:rPr>
                <w:szCs w:val="21"/>
              </w:rPr>
            </w:pPr>
            <w:r>
              <w:rPr>
                <w:rFonts w:hint="eastAsia"/>
                <w:szCs w:val="21"/>
              </w:rPr>
              <w:t>16</w:t>
            </w:r>
          </w:p>
        </w:tc>
        <w:tc>
          <w:tcPr>
            <w:tcW w:w="850" w:type="dxa"/>
            <w:vAlign w:val="center"/>
          </w:tcPr>
          <w:p>
            <w:pPr>
              <w:spacing w:line="480" w:lineRule="exact"/>
              <w:jc w:val="center"/>
              <w:rPr>
                <w:szCs w:val="21"/>
              </w:rPr>
            </w:pPr>
            <w:r>
              <w:rPr>
                <w:rFonts w:hint="eastAsia"/>
                <w:szCs w:val="21"/>
              </w:rPr>
              <w:t>韩菊泉</w:t>
            </w:r>
          </w:p>
        </w:tc>
        <w:tc>
          <w:tcPr>
            <w:tcW w:w="1083" w:type="dxa"/>
            <w:vAlign w:val="center"/>
          </w:tcPr>
          <w:p>
            <w:pPr>
              <w:spacing w:line="480" w:lineRule="exact"/>
              <w:jc w:val="center"/>
              <w:rPr>
                <w:szCs w:val="21"/>
              </w:rPr>
            </w:pPr>
            <w:r>
              <w:rPr>
                <w:rFonts w:hint="eastAsia"/>
                <w:szCs w:val="21"/>
              </w:rPr>
              <w:t>1962.01</w:t>
            </w:r>
          </w:p>
        </w:tc>
        <w:tc>
          <w:tcPr>
            <w:tcW w:w="1284" w:type="dxa"/>
            <w:vAlign w:val="center"/>
          </w:tcPr>
          <w:p>
            <w:pPr>
              <w:spacing w:line="480" w:lineRule="exact"/>
              <w:jc w:val="center"/>
              <w:rPr>
                <w:szCs w:val="21"/>
              </w:rPr>
            </w:pPr>
            <w:r>
              <w:rPr>
                <w:rFonts w:hint="eastAsia"/>
                <w:szCs w:val="21"/>
              </w:rPr>
              <w:t>高工</w:t>
            </w:r>
          </w:p>
        </w:tc>
        <w:tc>
          <w:tcPr>
            <w:tcW w:w="916" w:type="dxa"/>
            <w:vAlign w:val="center"/>
          </w:tcPr>
          <w:p>
            <w:pPr>
              <w:spacing w:line="480" w:lineRule="exact"/>
              <w:jc w:val="center"/>
              <w:rPr>
                <w:szCs w:val="21"/>
              </w:rPr>
            </w:pPr>
            <w:r>
              <w:rPr>
                <w:rFonts w:hint="eastAsia"/>
                <w:szCs w:val="21"/>
              </w:rPr>
              <w:t>大学</w:t>
            </w:r>
          </w:p>
        </w:tc>
        <w:tc>
          <w:tcPr>
            <w:tcW w:w="1317" w:type="dxa"/>
            <w:vAlign w:val="center"/>
          </w:tcPr>
          <w:p>
            <w:pPr>
              <w:jc w:val="center"/>
              <w:rPr>
                <w:szCs w:val="21"/>
              </w:rPr>
            </w:pPr>
            <w:r>
              <w:rPr>
                <w:rFonts w:hint="eastAsia"/>
                <w:szCs w:val="21"/>
              </w:rPr>
              <w:t>化工</w:t>
            </w:r>
          </w:p>
        </w:tc>
        <w:tc>
          <w:tcPr>
            <w:tcW w:w="2400" w:type="dxa"/>
            <w:vAlign w:val="center"/>
          </w:tcPr>
          <w:p>
            <w:pPr>
              <w:jc w:val="center"/>
              <w:rPr>
                <w:szCs w:val="21"/>
              </w:rPr>
            </w:pPr>
            <w:r>
              <w:rPr>
                <w:rFonts w:hint="eastAsia"/>
                <w:szCs w:val="21"/>
              </w:rPr>
              <w:t>中蓝连海设计研究院苏州园区分院</w:t>
            </w:r>
          </w:p>
        </w:tc>
        <w:tc>
          <w:tcPr>
            <w:tcW w:w="1400" w:type="dxa"/>
            <w:vAlign w:val="center"/>
          </w:tcPr>
          <w:p>
            <w:pPr>
              <w:spacing w:line="480" w:lineRule="exact"/>
              <w:jc w:val="center"/>
              <w:rPr>
                <w:szCs w:val="21"/>
              </w:rPr>
            </w:pPr>
            <w:r>
              <w:rPr>
                <w:rFonts w:hint="eastAsia"/>
                <w:szCs w:val="21"/>
              </w:rPr>
              <w:t>13862095999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Align w:val="center"/>
          </w:tcPr>
          <w:p>
            <w:pPr>
              <w:spacing w:line="480" w:lineRule="exact"/>
              <w:jc w:val="center"/>
              <w:rPr>
                <w:szCs w:val="21"/>
              </w:rPr>
            </w:pPr>
            <w:r>
              <w:rPr>
                <w:rFonts w:hint="eastAsia"/>
                <w:szCs w:val="21"/>
              </w:rPr>
              <w:t>17</w:t>
            </w:r>
          </w:p>
        </w:tc>
        <w:tc>
          <w:tcPr>
            <w:tcW w:w="850" w:type="dxa"/>
            <w:vAlign w:val="center"/>
          </w:tcPr>
          <w:p>
            <w:pPr>
              <w:spacing w:line="480" w:lineRule="exact"/>
              <w:jc w:val="center"/>
              <w:rPr>
                <w:szCs w:val="21"/>
              </w:rPr>
            </w:pPr>
            <w:r>
              <w:rPr>
                <w:rFonts w:hint="eastAsia"/>
                <w:szCs w:val="21"/>
              </w:rPr>
              <w:t>赵尔壁</w:t>
            </w:r>
          </w:p>
        </w:tc>
        <w:tc>
          <w:tcPr>
            <w:tcW w:w="1083" w:type="dxa"/>
            <w:vAlign w:val="center"/>
          </w:tcPr>
          <w:p>
            <w:pPr>
              <w:spacing w:line="480" w:lineRule="exact"/>
              <w:jc w:val="center"/>
              <w:rPr>
                <w:szCs w:val="21"/>
              </w:rPr>
            </w:pPr>
            <w:r>
              <w:rPr>
                <w:rFonts w:hint="eastAsia"/>
                <w:szCs w:val="21"/>
              </w:rPr>
              <w:t>1949.02</w:t>
            </w:r>
          </w:p>
        </w:tc>
        <w:tc>
          <w:tcPr>
            <w:tcW w:w="1284" w:type="dxa"/>
            <w:vAlign w:val="center"/>
          </w:tcPr>
          <w:p>
            <w:pPr>
              <w:spacing w:line="480" w:lineRule="exact"/>
              <w:jc w:val="center"/>
              <w:rPr>
                <w:szCs w:val="21"/>
              </w:rPr>
            </w:pPr>
            <w:r>
              <w:rPr>
                <w:rFonts w:hint="eastAsia"/>
                <w:szCs w:val="21"/>
              </w:rPr>
              <w:t>副主任医师</w:t>
            </w:r>
          </w:p>
        </w:tc>
        <w:tc>
          <w:tcPr>
            <w:tcW w:w="916" w:type="dxa"/>
            <w:vAlign w:val="center"/>
          </w:tcPr>
          <w:p>
            <w:pPr>
              <w:spacing w:line="480" w:lineRule="exact"/>
              <w:jc w:val="center"/>
              <w:rPr>
                <w:szCs w:val="21"/>
              </w:rPr>
            </w:pPr>
            <w:r>
              <w:rPr>
                <w:rFonts w:hint="eastAsia"/>
                <w:szCs w:val="21"/>
              </w:rPr>
              <w:t>大学</w:t>
            </w:r>
          </w:p>
        </w:tc>
        <w:tc>
          <w:tcPr>
            <w:tcW w:w="1317" w:type="dxa"/>
            <w:vAlign w:val="center"/>
          </w:tcPr>
          <w:p>
            <w:pPr>
              <w:jc w:val="center"/>
              <w:rPr>
                <w:szCs w:val="21"/>
              </w:rPr>
            </w:pPr>
            <w:r>
              <w:rPr>
                <w:rFonts w:hint="eastAsia"/>
                <w:szCs w:val="21"/>
              </w:rPr>
              <w:t>医疗</w:t>
            </w:r>
          </w:p>
        </w:tc>
        <w:tc>
          <w:tcPr>
            <w:tcW w:w="2400" w:type="dxa"/>
            <w:vAlign w:val="center"/>
          </w:tcPr>
          <w:p>
            <w:pPr>
              <w:jc w:val="center"/>
              <w:rPr>
                <w:szCs w:val="21"/>
              </w:rPr>
            </w:pPr>
            <w:r>
              <w:rPr>
                <w:rFonts w:hint="eastAsia"/>
                <w:szCs w:val="21"/>
              </w:rPr>
              <w:t>苏州国环环境检测有限公司</w:t>
            </w:r>
          </w:p>
        </w:tc>
        <w:tc>
          <w:tcPr>
            <w:tcW w:w="1400" w:type="dxa"/>
            <w:vAlign w:val="center"/>
          </w:tcPr>
          <w:p>
            <w:pPr>
              <w:spacing w:line="480" w:lineRule="exact"/>
              <w:jc w:val="center"/>
              <w:rPr>
                <w:szCs w:val="21"/>
              </w:rPr>
            </w:pPr>
            <w:r>
              <w:rPr>
                <w:rFonts w:hint="eastAsia"/>
                <w:szCs w:val="21"/>
              </w:rPr>
              <w:t>13862005938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Align w:val="center"/>
          </w:tcPr>
          <w:p>
            <w:pPr>
              <w:spacing w:line="480" w:lineRule="exact"/>
              <w:jc w:val="center"/>
              <w:rPr>
                <w:szCs w:val="21"/>
              </w:rPr>
            </w:pPr>
            <w:r>
              <w:rPr>
                <w:rFonts w:hint="eastAsia"/>
                <w:szCs w:val="21"/>
              </w:rPr>
              <w:t>18</w:t>
            </w:r>
          </w:p>
        </w:tc>
        <w:tc>
          <w:tcPr>
            <w:tcW w:w="850" w:type="dxa"/>
            <w:vAlign w:val="center"/>
          </w:tcPr>
          <w:p>
            <w:pPr>
              <w:spacing w:line="480" w:lineRule="exact"/>
              <w:jc w:val="center"/>
              <w:rPr>
                <w:szCs w:val="21"/>
              </w:rPr>
            </w:pPr>
            <w:r>
              <w:rPr>
                <w:rFonts w:hint="eastAsia"/>
                <w:szCs w:val="21"/>
              </w:rPr>
              <w:t>汤忆眉</w:t>
            </w:r>
          </w:p>
        </w:tc>
        <w:tc>
          <w:tcPr>
            <w:tcW w:w="1083" w:type="dxa"/>
            <w:vAlign w:val="center"/>
          </w:tcPr>
          <w:p>
            <w:pPr>
              <w:spacing w:line="480" w:lineRule="exact"/>
              <w:jc w:val="center"/>
              <w:rPr>
                <w:szCs w:val="21"/>
              </w:rPr>
            </w:pPr>
          </w:p>
        </w:tc>
        <w:tc>
          <w:tcPr>
            <w:tcW w:w="1284" w:type="dxa"/>
            <w:vAlign w:val="center"/>
          </w:tcPr>
          <w:p>
            <w:pPr>
              <w:spacing w:line="480" w:lineRule="exact"/>
              <w:jc w:val="center"/>
              <w:rPr>
                <w:szCs w:val="21"/>
              </w:rPr>
            </w:pPr>
            <w:r>
              <w:rPr>
                <w:rFonts w:hint="eastAsia"/>
                <w:szCs w:val="21"/>
              </w:rPr>
              <w:t>副主任医师</w:t>
            </w:r>
          </w:p>
        </w:tc>
        <w:tc>
          <w:tcPr>
            <w:tcW w:w="916" w:type="dxa"/>
            <w:vAlign w:val="center"/>
          </w:tcPr>
          <w:p>
            <w:pPr>
              <w:spacing w:line="480" w:lineRule="exact"/>
              <w:jc w:val="center"/>
              <w:rPr>
                <w:szCs w:val="21"/>
              </w:rPr>
            </w:pPr>
          </w:p>
        </w:tc>
        <w:tc>
          <w:tcPr>
            <w:tcW w:w="1317" w:type="dxa"/>
            <w:vAlign w:val="center"/>
          </w:tcPr>
          <w:p>
            <w:pPr>
              <w:jc w:val="center"/>
              <w:rPr>
                <w:szCs w:val="21"/>
              </w:rPr>
            </w:pPr>
          </w:p>
        </w:tc>
        <w:tc>
          <w:tcPr>
            <w:tcW w:w="2400" w:type="dxa"/>
            <w:vAlign w:val="center"/>
          </w:tcPr>
          <w:p>
            <w:pPr>
              <w:spacing w:line="480" w:lineRule="exact"/>
              <w:jc w:val="center"/>
              <w:rPr>
                <w:szCs w:val="21"/>
              </w:rPr>
            </w:pPr>
            <w:r>
              <w:rPr>
                <w:rFonts w:hint="eastAsia"/>
                <w:szCs w:val="21"/>
              </w:rPr>
              <w:t>苏州市卫生局</w:t>
            </w:r>
          </w:p>
        </w:tc>
        <w:tc>
          <w:tcPr>
            <w:tcW w:w="1400" w:type="dxa"/>
            <w:vAlign w:val="center"/>
          </w:tcPr>
          <w:p>
            <w:pPr>
              <w:spacing w:line="480" w:lineRule="exact"/>
              <w:jc w:val="center"/>
              <w:rPr>
                <w:szCs w:val="21"/>
              </w:rPr>
            </w:pPr>
            <w:r>
              <w:rPr>
                <w:rFonts w:hint="eastAsia"/>
                <w:szCs w:val="21"/>
              </w:rPr>
              <w:t>13616219797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Align w:val="center"/>
          </w:tcPr>
          <w:p>
            <w:pPr>
              <w:spacing w:line="480" w:lineRule="exact"/>
              <w:jc w:val="center"/>
              <w:rPr>
                <w:szCs w:val="21"/>
              </w:rPr>
            </w:pPr>
            <w:r>
              <w:rPr>
                <w:rFonts w:hint="eastAsia"/>
                <w:szCs w:val="21"/>
              </w:rPr>
              <w:t>19</w:t>
            </w:r>
          </w:p>
        </w:tc>
        <w:tc>
          <w:tcPr>
            <w:tcW w:w="850" w:type="dxa"/>
            <w:vAlign w:val="center"/>
          </w:tcPr>
          <w:p>
            <w:pPr>
              <w:spacing w:line="480" w:lineRule="exact"/>
              <w:jc w:val="center"/>
              <w:rPr>
                <w:szCs w:val="21"/>
              </w:rPr>
            </w:pPr>
            <w:r>
              <w:rPr>
                <w:rFonts w:hint="eastAsia"/>
                <w:szCs w:val="21"/>
              </w:rPr>
              <w:t>肖卫</w:t>
            </w:r>
          </w:p>
        </w:tc>
        <w:tc>
          <w:tcPr>
            <w:tcW w:w="1083" w:type="dxa"/>
            <w:vAlign w:val="center"/>
          </w:tcPr>
          <w:p>
            <w:pPr>
              <w:spacing w:line="480" w:lineRule="exact"/>
              <w:jc w:val="center"/>
              <w:rPr>
                <w:szCs w:val="21"/>
              </w:rPr>
            </w:pPr>
          </w:p>
        </w:tc>
        <w:tc>
          <w:tcPr>
            <w:tcW w:w="1284" w:type="dxa"/>
            <w:vAlign w:val="center"/>
          </w:tcPr>
          <w:p>
            <w:pPr>
              <w:spacing w:line="480" w:lineRule="exact"/>
              <w:jc w:val="center"/>
              <w:rPr>
                <w:szCs w:val="21"/>
              </w:rPr>
            </w:pPr>
            <w:r>
              <w:rPr>
                <w:rFonts w:hint="eastAsia"/>
                <w:szCs w:val="21"/>
              </w:rPr>
              <w:t>教授</w:t>
            </w:r>
          </w:p>
        </w:tc>
        <w:tc>
          <w:tcPr>
            <w:tcW w:w="916" w:type="dxa"/>
            <w:vAlign w:val="center"/>
          </w:tcPr>
          <w:p>
            <w:pPr>
              <w:spacing w:line="480" w:lineRule="exact"/>
              <w:jc w:val="center"/>
              <w:rPr>
                <w:szCs w:val="21"/>
              </w:rPr>
            </w:pPr>
          </w:p>
        </w:tc>
        <w:tc>
          <w:tcPr>
            <w:tcW w:w="1317" w:type="dxa"/>
            <w:vAlign w:val="center"/>
          </w:tcPr>
          <w:p>
            <w:pPr>
              <w:jc w:val="center"/>
              <w:rPr>
                <w:szCs w:val="21"/>
              </w:rPr>
            </w:pPr>
          </w:p>
        </w:tc>
        <w:tc>
          <w:tcPr>
            <w:tcW w:w="2400" w:type="dxa"/>
            <w:vAlign w:val="center"/>
          </w:tcPr>
          <w:p>
            <w:pPr>
              <w:spacing w:line="480" w:lineRule="exact"/>
              <w:jc w:val="center"/>
              <w:rPr>
                <w:szCs w:val="21"/>
              </w:rPr>
            </w:pPr>
            <w:r>
              <w:rPr>
                <w:rFonts w:hint="eastAsia"/>
                <w:szCs w:val="21"/>
              </w:rPr>
              <w:t>苏州大学</w:t>
            </w:r>
          </w:p>
        </w:tc>
        <w:tc>
          <w:tcPr>
            <w:tcW w:w="1400" w:type="dxa"/>
            <w:vAlign w:val="center"/>
          </w:tcPr>
          <w:p>
            <w:pPr>
              <w:spacing w:line="480" w:lineRule="exact"/>
              <w:jc w:val="center"/>
              <w:rPr>
                <w:szCs w:val="21"/>
              </w:rPr>
            </w:pPr>
            <w:r>
              <w:rPr>
                <w:rFonts w:hint="eastAsia"/>
                <w:szCs w:val="21"/>
              </w:rPr>
              <w:t>18994437986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dxa"/>
            <w:vAlign w:val="center"/>
          </w:tcPr>
          <w:p>
            <w:pPr>
              <w:spacing w:line="480" w:lineRule="exact"/>
              <w:jc w:val="center"/>
              <w:rPr>
                <w:szCs w:val="21"/>
              </w:rPr>
            </w:pPr>
            <w:r>
              <w:rPr>
                <w:rFonts w:hint="eastAsia"/>
                <w:szCs w:val="21"/>
              </w:rPr>
              <w:t>20</w:t>
            </w:r>
          </w:p>
        </w:tc>
        <w:tc>
          <w:tcPr>
            <w:tcW w:w="850" w:type="dxa"/>
            <w:vAlign w:val="center"/>
          </w:tcPr>
          <w:p>
            <w:pPr>
              <w:spacing w:line="480" w:lineRule="exact"/>
              <w:jc w:val="center"/>
              <w:rPr>
                <w:szCs w:val="21"/>
              </w:rPr>
            </w:pPr>
            <w:r>
              <w:rPr>
                <w:rFonts w:hint="eastAsia"/>
                <w:szCs w:val="21"/>
              </w:rPr>
              <w:t>张友久</w:t>
            </w:r>
          </w:p>
        </w:tc>
        <w:tc>
          <w:tcPr>
            <w:tcW w:w="1083" w:type="dxa"/>
            <w:vAlign w:val="center"/>
          </w:tcPr>
          <w:p>
            <w:pPr>
              <w:spacing w:line="480" w:lineRule="exact"/>
              <w:jc w:val="center"/>
              <w:rPr>
                <w:szCs w:val="21"/>
              </w:rPr>
            </w:pPr>
          </w:p>
        </w:tc>
        <w:tc>
          <w:tcPr>
            <w:tcW w:w="1284" w:type="dxa"/>
            <w:vAlign w:val="center"/>
          </w:tcPr>
          <w:p>
            <w:pPr>
              <w:spacing w:line="480" w:lineRule="exact"/>
              <w:jc w:val="center"/>
              <w:rPr>
                <w:szCs w:val="21"/>
              </w:rPr>
            </w:pPr>
            <w:r>
              <w:rPr>
                <w:rFonts w:hint="eastAsia"/>
                <w:szCs w:val="21"/>
              </w:rPr>
              <w:t>副研究员</w:t>
            </w:r>
          </w:p>
        </w:tc>
        <w:tc>
          <w:tcPr>
            <w:tcW w:w="916" w:type="dxa"/>
            <w:vAlign w:val="center"/>
          </w:tcPr>
          <w:p>
            <w:pPr>
              <w:spacing w:line="480" w:lineRule="exact"/>
              <w:jc w:val="center"/>
              <w:rPr>
                <w:szCs w:val="21"/>
              </w:rPr>
            </w:pPr>
          </w:p>
        </w:tc>
        <w:tc>
          <w:tcPr>
            <w:tcW w:w="1317" w:type="dxa"/>
            <w:vAlign w:val="center"/>
          </w:tcPr>
          <w:p>
            <w:pPr>
              <w:jc w:val="center"/>
              <w:rPr>
                <w:szCs w:val="21"/>
              </w:rPr>
            </w:pPr>
            <w:r>
              <w:rPr>
                <w:rFonts w:hint="eastAsia"/>
                <w:szCs w:val="21"/>
              </w:rPr>
              <w:t>放射专业</w:t>
            </w:r>
          </w:p>
        </w:tc>
        <w:tc>
          <w:tcPr>
            <w:tcW w:w="2400" w:type="dxa"/>
            <w:vAlign w:val="center"/>
          </w:tcPr>
          <w:p>
            <w:pPr>
              <w:spacing w:line="480" w:lineRule="exact"/>
              <w:jc w:val="center"/>
              <w:rPr>
                <w:szCs w:val="21"/>
              </w:rPr>
            </w:pPr>
            <w:r>
              <w:rPr>
                <w:rFonts w:hint="eastAsia"/>
                <w:szCs w:val="21"/>
              </w:rPr>
              <w:t>苏州大学</w:t>
            </w:r>
          </w:p>
        </w:tc>
        <w:tc>
          <w:tcPr>
            <w:tcW w:w="1400" w:type="dxa"/>
            <w:vAlign w:val="center"/>
          </w:tcPr>
          <w:p>
            <w:pPr>
              <w:spacing w:line="480" w:lineRule="exact"/>
              <w:jc w:val="center"/>
              <w:rPr>
                <w:szCs w:val="21"/>
              </w:rPr>
            </w:pPr>
            <w:r>
              <w:rPr>
                <w:rFonts w:hint="eastAsia"/>
                <w:szCs w:val="21"/>
              </w:rPr>
              <w:t>18914029877</w:t>
            </w:r>
          </w:p>
        </w:tc>
      </w:tr>
    </w:tbl>
    <w:p>
      <w:pPr>
        <w:spacing w:line="360" w:lineRule="auto"/>
        <w:ind w:firstLine="560" w:firstLineChars="200"/>
        <w:rPr>
          <w:sz w:val="28"/>
          <w:szCs w:val="28"/>
        </w:rPr>
        <w:sectPr>
          <w:pgSz w:w="11906" w:h="16838"/>
          <w:pgMar w:top="2098" w:right="1474" w:bottom="1843" w:left="1588" w:header="851" w:footer="992" w:gutter="0"/>
          <w:cols w:space="720" w:num="1"/>
          <w:docGrid w:type="lines" w:linePitch="312" w:charSpace="0"/>
        </w:sectPr>
      </w:pPr>
    </w:p>
    <w:p>
      <w:pPr>
        <w:jc w:val="center"/>
        <w:rPr>
          <w:rFonts w:ascii="宋体" w:hAnsi="宋体"/>
          <w:color w:val="000000"/>
          <w:sz w:val="10"/>
          <w:szCs w:val="10"/>
        </w:rPr>
      </w:pPr>
      <w:r>
        <w:rPr>
          <w:rFonts w:hint="eastAsia" w:ascii="宋体" w:hAnsi="宋体" w:cs="宋体"/>
          <w:b/>
          <w:color w:val="000000"/>
          <w:kern w:val="0"/>
          <w:sz w:val="32"/>
          <w:szCs w:val="32"/>
        </w:rPr>
        <w:t>太仓市安全、职业卫生专家名单</w:t>
      </w:r>
    </w:p>
    <w:tbl>
      <w:tblPr>
        <w:tblStyle w:val="12"/>
        <w:tblW w:w="13493" w:type="dxa"/>
        <w:tblInd w:w="0" w:type="dxa"/>
        <w:tblLayout w:type="fixed"/>
        <w:tblCellMar>
          <w:top w:w="15" w:type="dxa"/>
          <w:left w:w="15" w:type="dxa"/>
          <w:bottom w:w="15" w:type="dxa"/>
          <w:right w:w="15" w:type="dxa"/>
        </w:tblCellMar>
      </w:tblPr>
      <w:tblGrid>
        <w:gridCol w:w="656"/>
        <w:gridCol w:w="919"/>
        <w:gridCol w:w="712"/>
        <w:gridCol w:w="1088"/>
        <w:gridCol w:w="3072"/>
        <w:gridCol w:w="1048"/>
        <w:gridCol w:w="2248"/>
        <w:gridCol w:w="1349"/>
        <w:gridCol w:w="1746"/>
        <w:gridCol w:w="655"/>
      </w:tblGrid>
      <w:tr>
        <w:tblPrEx>
          <w:tblCellMar>
            <w:top w:w="15" w:type="dxa"/>
            <w:left w:w="15" w:type="dxa"/>
            <w:bottom w:w="15" w:type="dxa"/>
            <w:right w:w="15" w:type="dxa"/>
          </w:tblCellMar>
        </w:tblPrEx>
        <w:trPr>
          <w:trHeight w:val="28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序号</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姓名</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性别</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专家级别</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单位全称</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单位性质</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职称级别</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现从事专业</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擅长行业专业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备注</w:t>
            </w:r>
          </w:p>
        </w:tc>
      </w:tr>
      <w:tr>
        <w:tblPrEx>
          <w:tblCellMar>
            <w:top w:w="15" w:type="dxa"/>
            <w:left w:w="15" w:type="dxa"/>
            <w:bottom w:w="15" w:type="dxa"/>
            <w:right w:w="15" w:type="dxa"/>
          </w:tblCellMar>
        </w:tblPrEx>
        <w:trPr>
          <w:trHeight w:val="286"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张洪毅</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实用动力（中国）有限公司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外资</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注册安全工程师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安全管理</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化工、机械、轻工</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6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2</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冯星</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太仓奥托立夫申达汽车安全系统有限公司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外资</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注册安全工程师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安全、消防、环境</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橡胶、机械、生物制药</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45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3</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吴穷</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博格华纳汽车零部件（江苏）有限公司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外资</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注册安全工程师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安全管理</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机械、重工、轻工</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4</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刘静洁</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女</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固特瑞模具（太仓）有限公司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外资</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注册安全工程师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EHS管理</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机械、轻工</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4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5</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朱民浩</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和路雪（中国）有限公司太仓分公司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外资</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注册安全工程师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安全管理</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食品、涉氨</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1411"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6</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韩坦</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高级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苏州金江铜业有限公司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民营</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中华人民共和国全国专业标准化技术委员会委员、全国工业产品生产许可证国家注册审查员（2006）</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有色金属加工</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有色金属加工</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57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7</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谢新宇</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太仓协鑫垃圾焚烧发电有限公司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民营</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设备安全管理</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特种设备安全管理、安全管理、汽机专业管理</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73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8</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姜毓民</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原太仓市安监局</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无</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化工、机械、工艺、特种设备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9</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于宁一</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原太仓市安监局</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无</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化工、机械、工艺、特种设备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286"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10</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庞永鑫</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原太仓市安监局</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无</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国家注册安全评价师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安全管理</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企业管理</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57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11</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周国民</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高级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原太仓市安监局</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无</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高级工程师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化工、机械、工艺、特种设备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57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12</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马兴元</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高级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太仓制药厂</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民营</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高级工程师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化工、机械、工艺、特种设备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13</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陆美</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女</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高级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太仓制药厂</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民营</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高级工程师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工艺、技术</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57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14</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陆友俊</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高级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苏州汉斯工业设备有限公司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民营</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高级工程师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化工、机械、工艺、特种设备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48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15</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曹国权</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国药集团致君（苏州）制药有限公司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央企</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注册安全工程师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安全管理</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48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16</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薛建春</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太仓中化环保化工有限公司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央企</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注册安全工程师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安全管理</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6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17</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李金安</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太仓中化环保化工有限公司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央企</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化工、机械、工艺、特种设备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48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18</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周军卫</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太仓洛克伍德颜料有限公司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外资</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注册安全工程师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安全管理</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4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19</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张舟</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凯美科瑞亚（江苏）化工有限公司苏州分公司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外资</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安全管理</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20</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梁秋龙</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中化蓝天霍尼韦尔新材料有限公司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合资</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注册安全工程师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安全管理</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21</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李峰</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太仓沪试试剂有限公司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央企</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注册安全工程师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安全管理</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22</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严晓辉</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艺康化学（太仓）有限公司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外资</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注册安全工程师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安全管理</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23</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周旭峰</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太仓东华能源燃气有限公司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民营</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注册安全工程师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安全管理</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24</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陈正宙</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江苏长江石油化工有限公司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央企</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注册安全工程师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安全管理</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25</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茅伟刚</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高级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太仓新太酒精有限公司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外资</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高级工程师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安全管理</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26</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陆建平</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太仓阳鸿石化有限公司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民营</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安全管理</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27</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钱建峰</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苏州博纳化学科技有限公司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民营</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安全管理</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28</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于翔川</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旭川化学（苏州）有限公司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民营</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安全管理</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29</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栁红毅</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旭川化学（苏州）有限公司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民营</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安全管理</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30</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袁传敏</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雅本化学股份有限公司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民营</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注册安全工程师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安全管理</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31</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倪学仁</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太仓市金阳气体有限公司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民营</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工业气体</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32</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田海峰</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太仓市金阳气体有限公司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民营</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工业气体</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33</w:t>
            </w:r>
          </w:p>
        </w:tc>
        <w:tc>
          <w:tcPr>
            <w:tcW w:w="91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杨卫国</w:t>
            </w:r>
          </w:p>
        </w:tc>
        <w:tc>
          <w:tcPr>
            <w:tcW w:w="71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优缔精细化工（苏州）有限公司</w:t>
            </w:r>
          </w:p>
        </w:tc>
        <w:tc>
          <w:tcPr>
            <w:tcW w:w="104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外资</w:t>
            </w:r>
          </w:p>
        </w:tc>
        <w:tc>
          <w:tcPr>
            <w:tcW w:w="224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工程师</w:t>
            </w:r>
          </w:p>
        </w:tc>
        <w:tc>
          <w:tcPr>
            <w:tcW w:w="134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w:t>
            </w:r>
          </w:p>
        </w:tc>
        <w:tc>
          <w:tcPr>
            <w:tcW w:w="1746"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安全管理</w:t>
            </w:r>
          </w:p>
        </w:tc>
        <w:tc>
          <w:tcPr>
            <w:tcW w:w="655" w:type="dxa"/>
            <w:tcBorders>
              <w:top w:val="single" w:color="000000" w:sz="4" w:space="0"/>
              <w:left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34</w:t>
            </w:r>
          </w:p>
        </w:tc>
        <w:tc>
          <w:tcPr>
            <w:tcW w:w="91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徐波</w:t>
            </w:r>
          </w:p>
        </w:tc>
        <w:tc>
          <w:tcPr>
            <w:tcW w:w="71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太仓市疾病预防控制中心</w:t>
            </w:r>
          </w:p>
        </w:tc>
        <w:tc>
          <w:tcPr>
            <w:tcW w:w="104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事业</w:t>
            </w:r>
          </w:p>
        </w:tc>
        <w:tc>
          <w:tcPr>
            <w:tcW w:w="224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主管医师</w:t>
            </w:r>
          </w:p>
        </w:tc>
        <w:tc>
          <w:tcPr>
            <w:tcW w:w="134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职业卫生</w:t>
            </w:r>
          </w:p>
        </w:tc>
        <w:tc>
          <w:tcPr>
            <w:tcW w:w="1746"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职业卫生</w:t>
            </w:r>
          </w:p>
        </w:tc>
        <w:tc>
          <w:tcPr>
            <w:tcW w:w="655" w:type="dxa"/>
            <w:tcBorders>
              <w:top w:val="single" w:color="000000" w:sz="4" w:space="0"/>
              <w:left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35</w:t>
            </w:r>
          </w:p>
        </w:tc>
        <w:tc>
          <w:tcPr>
            <w:tcW w:w="91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米</w:t>
            </w:r>
            <w:r>
              <w:rPr>
                <w:rStyle w:val="20"/>
                <w:rFonts w:hint="default"/>
                <w:sz w:val="21"/>
                <w:szCs w:val="21"/>
              </w:rPr>
              <w:t>凯</w:t>
            </w:r>
          </w:p>
        </w:tc>
        <w:tc>
          <w:tcPr>
            <w:tcW w:w="71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太仓市疾病预防控制中心</w:t>
            </w:r>
          </w:p>
        </w:tc>
        <w:tc>
          <w:tcPr>
            <w:tcW w:w="104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事业</w:t>
            </w:r>
          </w:p>
        </w:tc>
        <w:tc>
          <w:tcPr>
            <w:tcW w:w="224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主管医师</w:t>
            </w:r>
          </w:p>
        </w:tc>
        <w:tc>
          <w:tcPr>
            <w:tcW w:w="134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职业卫生</w:t>
            </w:r>
          </w:p>
        </w:tc>
        <w:tc>
          <w:tcPr>
            <w:tcW w:w="1746"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职业卫生</w:t>
            </w:r>
          </w:p>
        </w:tc>
        <w:tc>
          <w:tcPr>
            <w:tcW w:w="655" w:type="dxa"/>
            <w:tcBorders>
              <w:top w:val="single" w:color="000000" w:sz="4" w:space="0"/>
              <w:left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36</w:t>
            </w:r>
          </w:p>
        </w:tc>
        <w:tc>
          <w:tcPr>
            <w:tcW w:w="91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江海</w:t>
            </w:r>
          </w:p>
        </w:tc>
        <w:tc>
          <w:tcPr>
            <w:tcW w:w="71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太仓市疾病预防控制中心</w:t>
            </w:r>
          </w:p>
        </w:tc>
        <w:tc>
          <w:tcPr>
            <w:tcW w:w="104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事业</w:t>
            </w:r>
          </w:p>
        </w:tc>
        <w:tc>
          <w:tcPr>
            <w:tcW w:w="224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副主任医师</w:t>
            </w:r>
          </w:p>
        </w:tc>
        <w:tc>
          <w:tcPr>
            <w:tcW w:w="134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职业卫生</w:t>
            </w:r>
          </w:p>
        </w:tc>
        <w:tc>
          <w:tcPr>
            <w:tcW w:w="1746"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职业卫生</w:t>
            </w:r>
          </w:p>
        </w:tc>
        <w:tc>
          <w:tcPr>
            <w:tcW w:w="655" w:type="dxa"/>
            <w:tcBorders>
              <w:top w:val="single" w:color="000000" w:sz="4" w:space="0"/>
              <w:left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37</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蔡凡平</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江苏欣隆药业股份有限公司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民营</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总工程师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化工、职业卫生</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Cs w:val="21"/>
              </w:rPr>
            </w:pPr>
          </w:p>
        </w:tc>
      </w:tr>
      <w:tr>
        <w:tblPrEx>
          <w:tblCellMar>
            <w:top w:w="15" w:type="dxa"/>
            <w:left w:w="15" w:type="dxa"/>
            <w:bottom w:w="15" w:type="dxa"/>
            <w:right w:w="15" w:type="dxa"/>
          </w:tblCellMar>
        </w:tblPrEx>
        <w:trPr>
          <w:trHeight w:val="6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38</w:t>
            </w:r>
          </w:p>
        </w:tc>
        <w:tc>
          <w:tcPr>
            <w:tcW w:w="91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李俊</w:t>
            </w:r>
          </w:p>
        </w:tc>
        <w:tc>
          <w:tcPr>
            <w:tcW w:w="71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中国石化销售有限公司江苏苏州太仓石油分公司</w:t>
            </w:r>
          </w:p>
        </w:tc>
        <w:tc>
          <w:tcPr>
            <w:tcW w:w="104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央企</w:t>
            </w:r>
          </w:p>
        </w:tc>
        <w:tc>
          <w:tcPr>
            <w:tcW w:w="224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无</w:t>
            </w:r>
          </w:p>
        </w:tc>
        <w:tc>
          <w:tcPr>
            <w:tcW w:w="134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加油站管理</w:t>
            </w:r>
          </w:p>
        </w:tc>
        <w:tc>
          <w:tcPr>
            <w:tcW w:w="1746"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成品油油库储运、加油站安全</w:t>
            </w:r>
          </w:p>
        </w:tc>
        <w:tc>
          <w:tcPr>
            <w:tcW w:w="655" w:type="dxa"/>
            <w:tcBorders>
              <w:top w:val="single" w:color="000000" w:sz="4" w:space="0"/>
              <w:left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特需</w:t>
            </w:r>
          </w:p>
        </w:tc>
      </w:tr>
      <w:tr>
        <w:tblPrEx>
          <w:tblCellMar>
            <w:top w:w="15" w:type="dxa"/>
            <w:left w:w="15" w:type="dxa"/>
            <w:bottom w:w="15" w:type="dxa"/>
            <w:right w:w="15" w:type="dxa"/>
          </w:tblCellMar>
        </w:tblPrEx>
        <w:trPr>
          <w:trHeight w:val="6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39</w:t>
            </w:r>
          </w:p>
        </w:tc>
        <w:tc>
          <w:tcPr>
            <w:tcW w:w="91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刘桂松</w:t>
            </w:r>
          </w:p>
        </w:tc>
        <w:tc>
          <w:tcPr>
            <w:tcW w:w="71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中石化壳牌（江苏）石油销售有限公司</w:t>
            </w:r>
          </w:p>
        </w:tc>
        <w:tc>
          <w:tcPr>
            <w:tcW w:w="104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合资</w:t>
            </w:r>
          </w:p>
        </w:tc>
        <w:tc>
          <w:tcPr>
            <w:tcW w:w="224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无</w:t>
            </w:r>
          </w:p>
        </w:tc>
        <w:tc>
          <w:tcPr>
            <w:tcW w:w="134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加油站管理</w:t>
            </w:r>
          </w:p>
        </w:tc>
        <w:tc>
          <w:tcPr>
            <w:tcW w:w="1746"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成品油油库储运、加油站安全</w:t>
            </w:r>
          </w:p>
        </w:tc>
        <w:tc>
          <w:tcPr>
            <w:tcW w:w="655" w:type="dxa"/>
            <w:tcBorders>
              <w:top w:val="single" w:color="000000" w:sz="4" w:space="0"/>
              <w:left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特需</w:t>
            </w:r>
          </w:p>
        </w:tc>
      </w:tr>
      <w:tr>
        <w:tblPrEx>
          <w:tblCellMar>
            <w:top w:w="15" w:type="dxa"/>
            <w:left w:w="15" w:type="dxa"/>
            <w:bottom w:w="15" w:type="dxa"/>
            <w:right w:w="15" w:type="dxa"/>
          </w:tblCellMar>
        </w:tblPrEx>
        <w:trPr>
          <w:trHeight w:val="6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40</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杨俊</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中国石油天然气股份有限公司江苏苏州销售分公司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央企</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无</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加油站管理</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成品油油库储运、加油站安全</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特需</w:t>
            </w:r>
          </w:p>
        </w:tc>
      </w:tr>
    </w:tbl>
    <w:p>
      <w:pPr>
        <w:spacing w:line="360" w:lineRule="auto"/>
        <w:ind w:firstLine="560" w:firstLineChars="200"/>
        <w:rPr>
          <w:sz w:val="28"/>
          <w:szCs w:val="28"/>
        </w:rPr>
        <w:sectPr>
          <w:pgSz w:w="16838" w:h="11906" w:orient="landscape"/>
          <w:pgMar w:top="1588" w:right="2098" w:bottom="1474" w:left="1843" w:header="851" w:footer="992" w:gutter="0"/>
          <w:cols w:space="720" w:num="1"/>
          <w:docGrid w:type="lines" w:linePitch="312" w:charSpace="0"/>
        </w:sectPr>
      </w:pPr>
    </w:p>
    <w:p>
      <w:pPr>
        <w:spacing w:line="360" w:lineRule="auto"/>
        <w:ind w:firstLine="560" w:firstLineChars="200"/>
        <w:outlineLvl w:val="1"/>
        <w:rPr>
          <w:sz w:val="28"/>
          <w:szCs w:val="28"/>
        </w:rPr>
      </w:pPr>
      <w:bookmarkStart w:id="204" w:name="_Toc16246"/>
      <w:r>
        <w:rPr>
          <w:rFonts w:hint="eastAsia"/>
          <w:sz w:val="28"/>
          <w:szCs w:val="28"/>
        </w:rPr>
        <w:t>附件</w:t>
      </w:r>
      <w:r>
        <w:rPr>
          <w:rFonts w:hint="eastAsia"/>
          <w:sz w:val="28"/>
          <w:szCs w:val="28"/>
          <w:lang w:val="en-US" w:eastAsia="zh-CN"/>
        </w:rPr>
        <w:t>4</w:t>
      </w:r>
      <w:r>
        <w:rPr>
          <w:rFonts w:hint="eastAsia"/>
          <w:sz w:val="28"/>
          <w:szCs w:val="28"/>
        </w:rPr>
        <w:t>：社会救援中心及报警电话</w:t>
      </w:r>
      <w:bookmarkEnd w:id="204"/>
    </w:p>
    <w:p>
      <w:pPr>
        <w:pStyle w:val="4"/>
        <w:ind w:firstLine="0"/>
        <w:jc w:val="center"/>
        <w:rPr>
          <w:rFonts w:ascii="宋体" w:hAnsi="宋体" w:eastAsia="宋体"/>
          <w:bCs/>
          <w:sz w:val="44"/>
          <w:szCs w:val="44"/>
        </w:rPr>
      </w:pPr>
      <w:r>
        <w:rPr>
          <w:rFonts w:hint="eastAsia" w:ascii="宋体" w:hAnsi="宋体" w:eastAsia="宋体"/>
          <w:bCs/>
          <w:sz w:val="44"/>
          <w:szCs w:val="44"/>
        </w:rPr>
        <w:t>社会救援中心及报警电话名单</w:t>
      </w:r>
    </w:p>
    <w:tbl>
      <w:tblPr>
        <w:tblStyle w:val="12"/>
        <w:tblW w:w="8116"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0"/>
        <w:gridCol w:w="5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00" w:type="dxa"/>
            <w:tcBorders>
              <w:top w:val="single" w:color="auto" w:sz="4" w:space="0"/>
              <w:left w:val="single" w:color="auto" w:sz="4" w:space="0"/>
              <w:bottom w:val="single" w:color="auto" w:sz="4" w:space="0"/>
              <w:right w:val="single" w:color="auto" w:sz="4" w:space="0"/>
            </w:tcBorders>
          </w:tcPr>
          <w:p>
            <w:pPr>
              <w:pStyle w:val="4"/>
              <w:spacing w:line="360" w:lineRule="auto"/>
              <w:ind w:firstLine="0"/>
              <w:jc w:val="center"/>
              <w:rPr>
                <w:rFonts w:ascii="宋体" w:hAnsi="宋体" w:eastAsia="宋体"/>
                <w:sz w:val="21"/>
                <w:szCs w:val="21"/>
              </w:rPr>
            </w:pPr>
            <w:r>
              <w:rPr>
                <w:rFonts w:hint="eastAsia" w:ascii="宋体" w:hAnsi="宋体" w:eastAsia="宋体"/>
                <w:sz w:val="21"/>
                <w:szCs w:val="21"/>
              </w:rPr>
              <w:t>119</w:t>
            </w:r>
          </w:p>
        </w:tc>
        <w:tc>
          <w:tcPr>
            <w:tcW w:w="5416" w:type="dxa"/>
            <w:tcBorders>
              <w:top w:val="single" w:color="auto" w:sz="4" w:space="0"/>
              <w:left w:val="single" w:color="auto" w:sz="4" w:space="0"/>
              <w:bottom w:val="single" w:color="auto" w:sz="4" w:space="0"/>
              <w:right w:val="single" w:color="auto" w:sz="4" w:space="0"/>
            </w:tcBorders>
            <w:vAlign w:val="center"/>
          </w:tcPr>
          <w:p>
            <w:pPr>
              <w:pStyle w:val="4"/>
              <w:spacing w:line="360" w:lineRule="auto"/>
              <w:ind w:firstLine="0"/>
              <w:rPr>
                <w:rFonts w:ascii="宋体" w:hAnsi="宋体" w:eastAsia="宋体"/>
                <w:sz w:val="21"/>
                <w:szCs w:val="21"/>
              </w:rPr>
            </w:pPr>
            <w:r>
              <w:rPr>
                <w:rFonts w:hint="eastAsia" w:ascii="宋体" w:hAnsi="宋体" w:eastAsia="宋体"/>
                <w:sz w:val="21"/>
                <w:szCs w:val="21"/>
              </w:rPr>
              <w:t>消防报警服务台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700" w:type="dxa"/>
            <w:tcBorders>
              <w:top w:val="single" w:color="auto" w:sz="4" w:space="0"/>
              <w:left w:val="single" w:color="auto" w:sz="4" w:space="0"/>
              <w:bottom w:val="single" w:color="auto" w:sz="4" w:space="0"/>
              <w:right w:val="single" w:color="auto" w:sz="4" w:space="0"/>
            </w:tcBorders>
          </w:tcPr>
          <w:p>
            <w:pPr>
              <w:pStyle w:val="4"/>
              <w:spacing w:line="360" w:lineRule="auto"/>
              <w:ind w:firstLine="0"/>
              <w:jc w:val="center"/>
              <w:rPr>
                <w:rFonts w:ascii="宋体" w:hAnsi="宋体" w:eastAsia="宋体"/>
                <w:sz w:val="21"/>
                <w:szCs w:val="21"/>
              </w:rPr>
            </w:pPr>
            <w:r>
              <w:rPr>
                <w:rFonts w:hint="eastAsia" w:ascii="宋体" w:hAnsi="宋体" w:eastAsia="宋体"/>
                <w:sz w:val="21"/>
                <w:szCs w:val="21"/>
              </w:rPr>
              <w:t>110</w:t>
            </w:r>
          </w:p>
        </w:tc>
        <w:tc>
          <w:tcPr>
            <w:tcW w:w="5416" w:type="dxa"/>
            <w:tcBorders>
              <w:top w:val="single" w:color="auto" w:sz="4" w:space="0"/>
              <w:left w:val="single" w:color="auto" w:sz="4" w:space="0"/>
              <w:bottom w:val="single" w:color="auto" w:sz="4" w:space="0"/>
              <w:right w:val="single" w:color="auto" w:sz="4" w:space="0"/>
            </w:tcBorders>
            <w:vAlign w:val="center"/>
          </w:tcPr>
          <w:p>
            <w:pPr>
              <w:pStyle w:val="4"/>
              <w:spacing w:line="360" w:lineRule="auto"/>
              <w:ind w:firstLine="0"/>
              <w:rPr>
                <w:rFonts w:ascii="宋体" w:hAnsi="宋体" w:eastAsia="宋体"/>
                <w:sz w:val="21"/>
                <w:szCs w:val="21"/>
              </w:rPr>
            </w:pPr>
            <w:r>
              <w:rPr>
                <w:rFonts w:hint="eastAsia" w:ascii="宋体" w:hAnsi="宋体" w:eastAsia="宋体"/>
                <w:sz w:val="21"/>
                <w:szCs w:val="21"/>
              </w:rPr>
              <w:t>报警服务台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700" w:type="dxa"/>
            <w:tcBorders>
              <w:top w:val="single" w:color="auto" w:sz="4" w:space="0"/>
              <w:left w:val="single" w:color="auto" w:sz="4" w:space="0"/>
              <w:bottom w:val="single" w:color="auto" w:sz="4" w:space="0"/>
              <w:right w:val="single" w:color="auto" w:sz="4" w:space="0"/>
            </w:tcBorders>
          </w:tcPr>
          <w:p>
            <w:pPr>
              <w:pStyle w:val="4"/>
              <w:spacing w:line="360" w:lineRule="auto"/>
              <w:ind w:firstLine="0"/>
              <w:jc w:val="center"/>
              <w:rPr>
                <w:rFonts w:ascii="宋体" w:hAnsi="宋体" w:eastAsia="宋体"/>
                <w:sz w:val="21"/>
                <w:szCs w:val="21"/>
              </w:rPr>
            </w:pPr>
            <w:r>
              <w:rPr>
                <w:rFonts w:hint="eastAsia" w:ascii="宋体" w:hAnsi="宋体" w:eastAsia="宋体"/>
                <w:sz w:val="21"/>
                <w:szCs w:val="21"/>
              </w:rPr>
              <w:t>120</w:t>
            </w:r>
          </w:p>
        </w:tc>
        <w:tc>
          <w:tcPr>
            <w:tcW w:w="5416" w:type="dxa"/>
            <w:tcBorders>
              <w:top w:val="single" w:color="auto" w:sz="4" w:space="0"/>
              <w:left w:val="single" w:color="auto" w:sz="4" w:space="0"/>
              <w:bottom w:val="single" w:color="auto" w:sz="4" w:space="0"/>
              <w:right w:val="single" w:color="auto" w:sz="4" w:space="0"/>
            </w:tcBorders>
            <w:vAlign w:val="center"/>
          </w:tcPr>
          <w:p>
            <w:pPr>
              <w:pStyle w:val="4"/>
              <w:spacing w:line="360" w:lineRule="auto"/>
              <w:ind w:firstLine="0"/>
              <w:rPr>
                <w:rFonts w:ascii="宋体" w:hAnsi="宋体" w:eastAsia="宋体"/>
                <w:sz w:val="21"/>
                <w:szCs w:val="21"/>
              </w:rPr>
            </w:pPr>
            <w:r>
              <w:rPr>
                <w:rFonts w:hint="eastAsia" w:ascii="宋体" w:hAnsi="宋体" w:eastAsia="宋体"/>
                <w:sz w:val="21"/>
                <w:szCs w:val="21"/>
              </w:rPr>
              <w:t>医疗急救站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700" w:type="dxa"/>
            <w:tcBorders>
              <w:top w:val="single" w:color="auto" w:sz="4" w:space="0"/>
              <w:left w:val="single" w:color="auto" w:sz="4" w:space="0"/>
              <w:bottom w:val="single" w:color="auto" w:sz="4" w:space="0"/>
              <w:right w:val="single" w:color="auto" w:sz="4" w:space="0"/>
            </w:tcBorders>
          </w:tcPr>
          <w:p>
            <w:pPr>
              <w:pStyle w:val="4"/>
              <w:spacing w:line="360" w:lineRule="auto"/>
              <w:ind w:firstLine="0"/>
              <w:jc w:val="center"/>
              <w:rPr>
                <w:rFonts w:ascii="宋体" w:hAnsi="宋体" w:eastAsia="宋体"/>
                <w:sz w:val="21"/>
                <w:szCs w:val="21"/>
              </w:rPr>
            </w:pPr>
            <w:r>
              <w:rPr>
                <w:rFonts w:hint="eastAsia" w:ascii="宋体" w:hAnsi="宋体" w:eastAsia="宋体"/>
                <w:sz w:val="21"/>
                <w:szCs w:val="21"/>
              </w:rPr>
              <w:t>122</w:t>
            </w:r>
          </w:p>
        </w:tc>
        <w:tc>
          <w:tcPr>
            <w:tcW w:w="5416" w:type="dxa"/>
            <w:tcBorders>
              <w:top w:val="single" w:color="auto" w:sz="4" w:space="0"/>
              <w:left w:val="single" w:color="auto" w:sz="4" w:space="0"/>
              <w:bottom w:val="single" w:color="auto" w:sz="4" w:space="0"/>
              <w:right w:val="single" w:color="auto" w:sz="4" w:space="0"/>
            </w:tcBorders>
            <w:vAlign w:val="center"/>
          </w:tcPr>
          <w:p>
            <w:pPr>
              <w:pStyle w:val="4"/>
              <w:spacing w:line="360" w:lineRule="auto"/>
              <w:ind w:firstLine="0"/>
              <w:rPr>
                <w:rFonts w:ascii="宋体" w:hAnsi="宋体" w:eastAsia="宋体"/>
                <w:sz w:val="21"/>
                <w:szCs w:val="21"/>
              </w:rPr>
            </w:pPr>
            <w:r>
              <w:rPr>
                <w:rFonts w:hint="eastAsia" w:ascii="宋体" w:hAnsi="宋体" w:eastAsia="宋体"/>
                <w:sz w:val="21"/>
                <w:szCs w:val="21"/>
              </w:rPr>
              <w:t>交通事故报警服务台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2700" w:type="dxa"/>
            <w:tcBorders>
              <w:top w:val="single" w:color="auto" w:sz="4" w:space="0"/>
              <w:left w:val="single" w:color="auto" w:sz="4" w:space="0"/>
              <w:bottom w:val="single" w:color="auto" w:sz="4" w:space="0"/>
              <w:right w:val="single" w:color="auto" w:sz="4" w:space="0"/>
            </w:tcBorders>
          </w:tcPr>
          <w:p>
            <w:pPr>
              <w:pStyle w:val="4"/>
              <w:spacing w:line="360" w:lineRule="auto"/>
              <w:ind w:firstLine="0"/>
              <w:jc w:val="center"/>
              <w:rPr>
                <w:rFonts w:ascii="宋体" w:hAnsi="宋体" w:eastAsia="宋体"/>
                <w:sz w:val="21"/>
                <w:szCs w:val="21"/>
              </w:rPr>
            </w:pPr>
            <w:r>
              <w:rPr>
                <w:rFonts w:hint="eastAsia" w:ascii="宋体" w:hAnsi="宋体" w:eastAsia="宋体"/>
                <w:sz w:val="21"/>
                <w:szCs w:val="21"/>
              </w:rPr>
              <w:t>12395</w:t>
            </w:r>
          </w:p>
        </w:tc>
        <w:tc>
          <w:tcPr>
            <w:tcW w:w="5416" w:type="dxa"/>
            <w:tcBorders>
              <w:top w:val="single" w:color="auto" w:sz="4" w:space="0"/>
              <w:left w:val="single" w:color="auto" w:sz="4" w:space="0"/>
              <w:bottom w:val="single" w:color="auto" w:sz="4" w:space="0"/>
              <w:right w:val="single" w:color="auto" w:sz="4" w:space="0"/>
            </w:tcBorders>
            <w:vAlign w:val="center"/>
          </w:tcPr>
          <w:p>
            <w:pPr>
              <w:pStyle w:val="4"/>
              <w:spacing w:line="360" w:lineRule="auto"/>
              <w:ind w:firstLine="0"/>
              <w:rPr>
                <w:rFonts w:ascii="宋体" w:hAnsi="宋体" w:eastAsia="宋体"/>
                <w:sz w:val="21"/>
                <w:szCs w:val="21"/>
              </w:rPr>
            </w:pPr>
            <w:r>
              <w:rPr>
                <w:rFonts w:hint="eastAsia" w:ascii="宋体" w:hAnsi="宋体" w:eastAsia="宋体"/>
                <w:sz w:val="21"/>
                <w:szCs w:val="21"/>
              </w:rPr>
              <w:t>水上搜救报警电话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700" w:type="dxa"/>
            <w:tcBorders>
              <w:top w:val="single" w:color="auto" w:sz="4" w:space="0"/>
              <w:left w:val="single" w:color="auto" w:sz="4" w:space="0"/>
              <w:bottom w:val="single" w:color="auto" w:sz="4" w:space="0"/>
              <w:right w:val="single" w:color="auto" w:sz="4" w:space="0"/>
            </w:tcBorders>
          </w:tcPr>
          <w:p>
            <w:pPr>
              <w:pStyle w:val="4"/>
              <w:spacing w:line="360" w:lineRule="auto"/>
              <w:ind w:firstLine="0"/>
              <w:jc w:val="center"/>
              <w:rPr>
                <w:rFonts w:ascii="宋体" w:hAnsi="宋体" w:eastAsia="宋体"/>
                <w:sz w:val="21"/>
                <w:szCs w:val="21"/>
              </w:rPr>
            </w:pPr>
            <w:r>
              <w:rPr>
                <w:rFonts w:hint="eastAsia" w:ascii="宋体" w:hAnsi="宋体" w:eastAsia="宋体"/>
                <w:sz w:val="21"/>
                <w:szCs w:val="21"/>
              </w:rPr>
              <w:t>123697</w:t>
            </w:r>
          </w:p>
        </w:tc>
        <w:tc>
          <w:tcPr>
            <w:tcW w:w="5416" w:type="dxa"/>
            <w:tcBorders>
              <w:top w:val="single" w:color="auto" w:sz="4" w:space="0"/>
              <w:left w:val="single" w:color="auto" w:sz="4" w:space="0"/>
              <w:bottom w:val="single" w:color="auto" w:sz="4" w:space="0"/>
              <w:right w:val="single" w:color="auto" w:sz="4" w:space="0"/>
            </w:tcBorders>
            <w:vAlign w:val="center"/>
          </w:tcPr>
          <w:p>
            <w:pPr>
              <w:pStyle w:val="4"/>
              <w:spacing w:line="360" w:lineRule="auto"/>
              <w:ind w:firstLine="0"/>
              <w:rPr>
                <w:rFonts w:ascii="宋体" w:hAnsi="宋体" w:eastAsia="宋体"/>
                <w:sz w:val="21"/>
                <w:szCs w:val="21"/>
              </w:rPr>
            </w:pPr>
            <w:r>
              <w:rPr>
                <w:rFonts w:hint="eastAsia" w:ascii="宋体" w:hAnsi="宋体" w:eastAsia="宋体"/>
                <w:sz w:val="21"/>
                <w:szCs w:val="21"/>
              </w:rPr>
              <w:t>环境保护报警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2700" w:type="dxa"/>
            <w:tcBorders>
              <w:top w:val="single" w:color="auto" w:sz="4" w:space="0"/>
              <w:left w:val="single" w:color="auto" w:sz="4" w:space="0"/>
              <w:bottom w:val="single" w:color="auto" w:sz="4" w:space="0"/>
              <w:right w:val="single" w:color="auto" w:sz="4" w:space="0"/>
            </w:tcBorders>
            <w:vAlign w:val="center"/>
          </w:tcPr>
          <w:p>
            <w:pPr>
              <w:pStyle w:val="4"/>
              <w:spacing w:line="360" w:lineRule="auto"/>
              <w:ind w:firstLine="0"/>
              <w:jc w:val="center"/>
              <w:rPr>
                <w:rFonts w:hint="default" w:ascii="宋体" w:hAnsi="宋体" w:eastAsia="宋体"/>
                <w:sz w:val="21"/>
                <w:szCs w:val="21"/>
                <w:highlight w:val="none"/>
                <w:lang w:val="en-US" w:eastAsia="zh-CN"/>
              </w:rPr>
            </w:pPr>
            <w:r>
              <w:rPr>
                <w:rFonts w:hint="eastAsia" w:ascii="宋体" w:hAnsi="宋体" w:eastAsia="宋体"/>
                <w:sz w:val="21"/>
                <w:szCs w:val="21"/>
                <w:highlight w:val="none"/>
                <w:lang w:val="en-US" w:eastAsia="zh-CN"/>
              </w:rPr>
              <w:t>53557972</w:t>
            </w:r>
          </w:p>
        </w:tc>
        <w:tc>
          <w:tcPr>
            <w:tcW w:w="5416" w:type="dxa"/>
            <w:tcBorders>
              <w:top w:val="single" w:color="auto" w:sz="4" w:space="0"/>
              <w:left w:val="single" w:color="auto" w:sz="4" w:space="0"/>
              <w:bottom w:val="single" w:color="auto" w:sz="4" w:space="0"/>
              <w:right w:val="single" w:color="auto" w:sz="4" w:space="0"/>
            </w:tcBorders>
            <w:vAlign w:val="center"/>
          </w:tcPr>
          <w:p>
            <w:pPr>
              <w:pStyle w:val="4"/>
              <w:spacing w:line="360" w:lineRule="auto"/>
              <w:ind w:firstLine="0"/>
              <w:rPr>
                <w:rFonts w:ascii="宋体" w:hAnsi="宋体" w:eastAsia="宋体"/>
                <w:sz w:val="21"/>
                <w:szCs w:val="21"/>
              </w:rPr>
            </w:pPr>
            <w:r>
              <w:rPr>
                <w:rFonts w:hint="eastAsia" w:ascii="宋体" w:hAnsi="宋体" w:eastAsia="宋体"/>
                <w:sz w:val="21"/>
                <w:szCs w:val="21"/>
              </w:rPr>
              <w:t>太仓市城厢镇安委会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2700" w:type="dxa"/>
            <w:tcBorders>
              <w:top w:val="single" w:color="auto" w:sz="4" w:space="0"/>
              <w:left w:val="single" w:color="auto" w:sz="4" w:space="0"/>
              <w:bottom w:val="single" w:color="auto" w:sz="4" w:space="0"/>
              <w:right w:val="single" w:color="auto" w:sz="4" w:space="0"/>
            </w:tcBorders>
            <w:vAlign w:val="center"/>
          </w:tcPr>
          <w:p>
            <w:pPr>
              <w:pStyle w:val="4"/>
              <w:spacing w:line="360" w:lineRule="auto"/>
              <w:ind w:firstLine="0"/>
              <w:jc w:val="center"/>
              <w:rPr>
                <w:rFonts w:ascii="宋体" w:hAnsi="宋体" w:eastAsia="宋体"/>
                <w:sz w:val="21"/>
                <w:szCs w:val="21"/>
                <w:highlight w:val="none"/>
              </w:rPr>
            </w:pPr>
            <w:r>
              <w:rPr>
                <w:rFonts w:hint="eastAsia" w:ascii="宋体" w:hAnsi="宋体" w:eastAsia="宋体"/>
                <w:sz w:val="21"/>
                <w:szCs w:val="21"/>
                <w:highlight w:val="none"/>
              </w:rPr>
              <w:t>53534728</w:t>
            </w:r>
          </w:p>
        </w:tc>
        <w:tc>
          <w:tcPr>
            <w:tcW w:w="5416" w:type="dxa"/>
            <w:tcBorders>
              <w:top w:val="single" w:color="auto" w:sz="4" w:space="0"/>
              <w:left w:val="single" w:color="auto" w:sz="4" w:space="0"/>
              <w:bottom w:val="single" w:color="auto" w:sz="4" w:space="0"/>
              <w:right w:val="single" w:color="auto" w:sz="4" w:space="0"/>
            </w:tcBorders>
            <w:vAlign w:val="center"/>
          </w:tcPr>
          <w:p>
            <w:pPr>
              <w:pStyle w:val="4"/>
              <w:spacing w:line="360" w:lineRule="auto"/>
              <w:ind w:firstLine="0"/>
              <w:rPr>
                <w:rFonts w:hint="eastAsia" w:ascii="宋体" w:hAnsi="宋体" w:eastAsia="宋体"/>
                <w:sz w:val="21"/>
                <w:szCs w:val="21"/>
                <w:lang w:eastAsia="zh-CN"/>
              </w:rPr>
            </w:pPr>
            <w:r>
              <w:rPr>
                <w:rFonts w:hint="eastAsia" w:ascii="宋体" w:hAnsi="宋体" w:eastAsia="宋体"/>
                <w:sz w:val="21"/>
                <w:szCs w:val="21"/>
              </w:rPr>
              <w:t>太仓市城厢镇</w:t>
            </w:r>
            <w:r>
              <w:rPr>
                <w:rFonts w:hint="eastAsia" w:ascii="宋体" w:hAnsi="宋体" w:eastAsia="宋体"/>
                <w:sz w:val="21"/>
                <w:szCs w:val="21"/>
                <w:lang w:eastAsia="zh-CN"/>
              </w:rPr>
              <w:t>集成指挥中心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00" w:type="dxa"/>
            <w:tcBorders>
              <w:top w:val="single" w:color="auto" w:sz="4" w:space="0"/>
              <w:left w:val="single" w:color="auto" w:sz="4" w:space="0"/>
              <w:bottom w:val="single" w:color="auto" w:sz="4" w:space="0"/>
              <w:right w:val="single" w:color="auto" w:sz="4" w:space="0"/>
            </w:tcBorders>
            <w:vAlign w:val="center"/>
          </w:tcPr>
          <w:p>
            <w:pPr>
              <w:pStyle w:val="4"/>
              <w:spacing w:line="360" w:lineRule="auto"/>
              <w:ind w:firstLine="0"/>
              <w:jc w:val="center"/>
              <w:rPr>
                <w:rFonts w:ascii="宋体" w:hAnsi="宋体" w:eastAsia="宋体"/>
                <w:sz w:val="21"/>
                <w:szCs w:val="21"/>
                <w:highlight w:val="none"/>
              </w:rPr>
            </w:pPr>
            <w:r>
              <w:rPr>
                <w:rFonts w:hint="eastAsia" w:ascii="宋体" w:hAnsi="宋体" w:eastAsia="宋体"/>
                <w:sz w:val="21"/>
                <w:szCs w:val="21"/>
                <w:highlight w:val="none"/>
                <w:lang w:val="en-US" w:eastAsia="zh-CN"/>
              </w:rPr>
              <w:t>53557972</w:t>
            </w:r>
          </w:p>
        </w:tc>
        <w:tc>
          <w:tcPr>
            <w:tcW w:w="541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太仓市城厢镇安监办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00" w:type="dxa"/>
            <w:tcBorders>
              <w:top w:val="single" w:color="auto" w:sz="4" w:space="0"/>
              <w:left w:val="single" w:color="auto" w:sz="4" w:space="0"/>
              <w:bottom w:val="single" w:color="auto" w:sz="4" w:space="0"/>
              <w:right w:val="single" w:color="auto" w:sz="4" w:space="0"/>
            </w:tcBorders>
            <w:vAlign w:val="center"/>
          </w:tcPr>
          <w:p>
            <w:pPr>
              <w:pStyle w:val="4"/>
              <w:spacing w:line="360" w:lineRule="auto"/>
              <w:ind w:firstLine="0"/>
              <w:jc w:val="center"/>
              <w:rPr>
                <w:rFonts w:ascii="宋体" w:hAnsi="宋体" w:eastAsia="宋体"/>
                <w:sz w:val="21"/>
                <w:szCs w:val="21"/>
                <w:highlight w:val="magenta"/>
              </w:rPr>
            </w:pPr>
            <w:r>
              <w:rPr>
                <w:rFonts w:ascii="宋体" w:hAnsi="宋体" w:eastAsia="宋体"/>
                <w:sz w:val="21"/>
                <w:szCs w:val="21"/>
              </w:rPr>
              <w:t>53658030</w:t>
            </w:r>
          </w:p>
        </w:tc>
        <w:tc>
          <w:tcPr>
            <w:tcW w:w="5416" w:type="dxa"/>
            <w:tcBorders>
              <w:top w:val="single" w:color="auto" w:sz="4" w:space="0"/>
              <w:left w:val="single" w:color="auto" w:sz="4" w:space="0"/>
              <w:bottom w:val="single" w:color="auto" w:sz="4" w:space="0"/>
              <w:right w:val="single" w:color="auto" w:sz="4" w:space="0"/>
            </w:tcBorders>
            <w:vAlign w:val="center"/>
          </w:tcPr>
          <w:p>
            <w:pPr>
              <w:tabs>
                <w:tab w:val="left" w:pos="3330"/>
              </w:tabs>
              <w:spacing w:line="360" w:lineRule="auto"/>
              <w:rPr>
                <w:rFonts w:ascii="宋体" w:hAnsi="宋体"/>
                <w:szCs w:val="21"/>
              </w:rPr>
            </w:pPr>
            <w:r>
              <w:rPr>
                <w:rFonts w:hint="eastAsia" w:ascii="宋体" w:hAnsi="宋体"/>
                <w:szCs w:val="21"/>
              </w:rPr>
              <w:t>太仓市第一人民医院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700" w:type="dxa"/>
            <w:tcBorders>
              <w:top w:val="single" w:color="auto" w:sz="4" w:space="0"/>
              <w:left w:val="single" w:color="auto" w:sz="4" w:space="0"/>
              <w:bottom w:val="single" w:color="auto" w:sz="4" w:space="0"/>
              <w:right w:val="single" w:color="auto" w:sz="4" w:space="0"/>
            </w:tcBorders>
            <w:vAlign w:val="center"/>
          </w:tcPr>
          <w:p>
            <w:pPr>
              <w:pStyle w:val="4"/>
              <w:spacing w:line="360" w:lineRule="auto"/>
              <w:ind w:firstLine="0"/>
              <w:jc w:val="center"/>
              <w:rPr>
                <w:rFonts w:ascii="宋体" w:hAnsi="宋体" w:eastAsia="宋体"/>
                <w:sz w:val="21"/>
                <w:szCs w:val="21"/>
              </w:rPr>
            </w:pPr>
            <w:r>
              <w:rPr>
                <w:rFonts w:hint="eastAsia" w:ascii="宋体" w:hAnsi="宋体" w:eastAsia="宋体"/>
                <w:sz w:val="21"/>
                <w:szCs w:val="21"/>
              </w:rPr>
              <w:t>53571682</w:t>
            </w:r>
          </w:p>
        </w:tc>
        <w:tc>
          <w:tcPr>
            <w:tcW w:w="541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太仓市安全生产监督管理局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00" w:type="dxa"/>
            <w:tcBorders>
              <w:top w:val="single" w:color="auto" w:sz="4" w:space="0"/>
              <w:left w:val="single" w:color="auto" w:sz="4" w:space="0"/>
              <w:bottom w:val="single" w:color="auto" w:sz="4" w:space="0"/>
              <w:right w:val="single" w:color="auto" w:sz="4" w:space="0"/>
            </w:tcBorders>
            <w:vAlign w:val="center"/>
          </w:tcPr>
          <w:p>
            <w:pPr>
              <w:pStyle w:val="4"/>
              <w:spacing w:line="360" w:lineRule="auto"/>
              <w:ind w:firstLine="0"/>
              <w:jc w:val="center"/>
              <w:rPr>
                <w:rFonts w:ascii="宋体" w:hAnsi="宋体" w:eastAsia="宋体"/>
                <w:sz w:val="21"/>
                <w:szCs w:val="21"/>
              </w:rPr>
            </w:pPr>
            <w:r>
              <w:rPr>
                <w:rFonts w:hint="eastAsia" w:ascii="宋体" w:hAnsi="宋体" w:eastAsia="宋体"/>
                <w:sz w:val="21"/>
                <w:szCs w:val="21"/>
              </w:rPr>
              <w:t>65223637</w:t>
            </w:r>
          </w:p>
        </w:tc>
        <w:tc>
          <w:tcPr>
            <w:tcW w:w="541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苏州市第一人民医院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00" w:type="dxa"/>
            <w:tcBorders>
              <w:top w:val="single" w:color="auto" w:sz="4" w:space="0"/>
              <w:left w:val="single" w:color="auto" w:sz="4" w:space="0"/>
              <w:bottom w:val="single" w:color="auto" w:sz="4" w:space="0"/>
              <w:right w:val="single" w:color="auto" w:sz="4" w:space="0"/>
            </w:tcBorders>
            <w:vAlign w:val="center"/>
          </w:tcPr>
          <w:p>
            <w:pPr>
              <w:pStyle w:val="4"/>
              <w:spacing w:line="360" w:lineRule="auto"/>
              <w:ind w:firstLine="0"/>
              <w:jc w:val="center"/>
              <w:rPr>
                <w:rFonts w:ascii="宋体" w:hAnsi="宋体" w:eastAsia="宋体"/>
                <w:sz w:val="21"/>
                <w:szCs w:val="21"/>
              </w:rPr>
            </w:pPr>
            <w:r>
              <w:rPr>
                <w:rFonts w:hint="eastAsia" w:ascii="宋体" w:hAnsi="宋体" w:eastAsia="宋体"/>
                <w:sz w:val="21"/>
                <w:szCs w:val="21"/>
              </w:rPr>
              <w:t>69009090</w:t>
            </w:r>
          </w:p>
        </w:tc>
        <w:tc>
          <w:tcPr>
            <w:tcW w:w="541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苏州市立医院</w:t>
            </w:r>
          </w:p>
        </w:tc>
      </w:tr>
    </w:tbl>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rPr>
          <w:sz w:val="28"/>
          <w:szCs w:val="28"/>
        </w:rPr>
      </w:pPr>
    </w:p>
    <w:p>
      <w:pPr>
        <w:spacing w:line="360" w:lineRule="auto"/>
        <w:ind w:firstLine="560" w:firstLineChars="200"/>
        <w:outlineLvl w:val="1"/>
        <w:rPr>
          <w:sz w:val="28"/>
          <w:szCs w:val="28"/>
        </w:rPr>
      </w:pPr>
      <w:bookmarkStart w:id="205" w:name="_Toc9566"/>
      <w:r>
        <w:rPr>
          <w:rFonts w:hint="eastAsia"/>
          <w:sz w:val="28"/>
          <w:szCs w:val="28"/>
        </w:rPr>
        <w:t>附件</w:t>
      </w:r>
      <w:r>
        <w:rPr>
          <w:rFonts w:hint="eastAsia"/>
          <w:sz w:val="28"/>
          <w:szCs w:val="28"/>
          <w:lang w:val="en-US" w:eastAsia="zh-CN"/>
        </w:rPr>
        <w:t>5</w:t>
      </w:r>
      <w:r>
        <w:rPr>
          <w:rFonts w:hint="eastAsia"/>
          <w:sz w:val="28"/>
          <w:szCs w:val="28"/>
        </w:rPr>
        <w:t>：事故应急救援机构名录</w:t>
      </w:r>
      <w:bookmarkEnd w:id="205"/>
    </w:p>
    <w:p>
      <w:pPr>
        <w:pStyle w:val="4"/>
        <w:ind w:firstLine="0"/>
        <w:jc w:val="center"/>
        <w:rPr>
          <w:rFonts w:ascii="宋体" w:hAnsi="宋体" w:eastAsia="宋体"/>
          <w:bCs/>
          <w:szCs w:val="32"/>
        </w:rPr>
      </w:pPr>
      <w:r>
        <w:rPr>
          <w:rFonts w:hint="eastAsia" w:ascii="宋体" w:hAnsi="宋体" w:eastAsia="宋体"/>
          <w:bCs/>
          <w:szCs w:val="32"/>
        </w:rPr>
        <w:t>国家事故应急救援中心名录</w:t>
      </w:r>
    </w:p>
    <w:tbl>
      <w:tblPr>
        <w:tblStyle w:val="12"/>
        <w:tblW w:w="92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25"/>
        <w:gridCol w:w="2056"/>
        <w:gridCol w:w="2492"/>
        <w:gridCol w:w="362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025" w:type="dxa"/>
            <w:vAlign w:val="center"/>
          </w:tcPr>
          <w:p>
            <w:pPr>
              <w:widowControl/>
              <w:jc w:val="center"/>
              <w:rPr>
                <w:rFonts w:ascii="宋体" w:hAnsi="宋体" w:cs="宋体"/>
                <w:b/>
                <w:bCs/>
                <w:kern w:val="0"/>
                <w:sz w:val="24"/>
              </w:rPr>
            </w:pPr>
            <w:r>
              <w:rPr>
                <w:rFonts w:hint="eastAsia" w:ascii="宋体" w:hAnsi="宋体" w:cs="宋体"/>
                <w:b/>
                <w:bCs/>
                <w:kern w:val="0"/>
                <w:sz w:val="24"/>
              </w:rPr>
              <w:t>序号</w:t>
            </w:r>
          </w:p>
        </w:tc>
        <w:tc>
          <w:tcPr>
            <w:tcW w:w="2056" w:type="dxa"/>
            <w:vAlign w:val="center"/>
          </w:tcPr>
          <w:p>
            <w:pPr>
              <w:widowControl/>
              <w:jc w:val="center"/>
              <w:rPr>
                <w:rFonts w:ascii="宋体" w:hAnsi="宋体" w:cs="宋体"/>
                <w:b/>
                <w:bCs/>
                <w:kern w:val="0"/>
                <w:sz w:val="24"/>
              </w:rPr>
            </w:pPr>
            <w:r>
              <w:rPr>
                <w:rFonts w:hint="eastAsia" w:ascii="宋体" w:hAnsi="宋体" w:cs="宋体"/>
                <w:b/>
                <w:bCs/>
                <w:kern w:val="0"/>
                <w:sz w:val="24"/>
              </w:rPr>
              <w:t>单位名称</w:t>
            </w:r>
          </w:p>
        </w:tc>
        <w:tc>
          <w:tcPr>
            <w:tcW w:w="2492" w:type="dxa"/>
            <w:vAlign w:val="center"/>
          </w:tcPr>
          <w:p>
            <w:pPr>
              <w:widowControl/>
              <w:jc w:val="center"/>
              <w:rPr>
                <w:rFonts w:ascii="宋体" w:hAnsi="宋体" w:cs="宋体"/>
                <w:b/>
                <w:bCs/>
                <w:kern w:val="0"/>
                <w:sz w:val="24"/>
              </w:rPr>
            </w:pPr>
            <w:r>
              <w:rPr>
                <w:rFonts w:hint="eastAsia" w:ascii="宋体" w:hAnsi="宋体" w:cs="宋体"/>
                <w:b/>
                <w:bCs/>
                <w:kern w:val="0"/>
                <w:sz w:val="24"/>
              </w:rPr>
              <w:t>联系电话</w:t>
            </w:r>
          </w:p>
        </w:tc>
        <w:tc>
          <w:tcPr>
            <w:tcW w:w="3629" w:type="dxa"/>
            <w:vAlign w:val="center"/>
          </w:tcPr>
          <w:p>
            <w:pPr>
              <w:widowControl/>
              <w:jc w:val="center"/>
              <w:rPr>
                <w:rFonts w:ascii="宋体" w:hAnsi="宋体" w:cs="宋体"/>
                <w:b/>
                <w:bCs/>
                <w:kern w:val="0"/>
                <w:sz w:val="24"/>
              </w:rPr>
            </w:pPr>
            <w:r>
              <w:rPr>
                <w:rFonts w:hint="eastAsia" w:ascii="宋体" w:hAnsi="宋体" w:cs="宋体"/>
                <w:b/>
                <w:bCs/>
                <w:kern w:val="0"/>
                <w:sz w:val="24"/>
              </w:rPr>
              <w:t>地址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25" w:type="dxa"/>
            <w:vAlign w:val="center"/>
          </w:tcPr>
          <w:p>
            <w:pPr>
              <w:widowControl/>
              <w:jc w:val="center"/>
              <w:rPr>
                <w:rFonts w:ascii="宋体" w:hAnsi="宋体" w:cs="宋体"/>
                <w:kern w:val="0"/>
                <w:sz w:val="24"/>
              </w:rPr>
            </w:pPr>
            <w:r>
              <w:rPr>
                <w:rFonts w:hint="eastAsia" w:ascii="宋体" w:hAnsi="宋体" w:cs="宋体"/>
                <w:kern w:val="0"/>
                <w:sz w:val="24"/>
              </w:rPr>
              <w:t>1</w:t>
            </w:r>
          </w:p>
        </w:tc>
        <w:tc>
          <w:tcPr>
            <w:tcW w:w="2056" w:type="dxa"/>
            <w:vAlign w:val="center"/>
          </w:tcPr>
          <w:p>
            <w:pPr>
              <w:widowControl/>
              <w:jc w:val="center"/>
              <w:rPr>
                <w:rFonts w:ascii="宋体" w:hAnsi="宋体" w:cs="宋体"/>
                <w:kern w:val="0"/>
                <w:sz w:val="24"/>
              </w:rPr>
            </w:pPr>
            <w:r>
              <w:rPr>
                <w:rFonts w:hint="eastAsia"/>
                <w:bCs/>
              </w:rPr>
              <w:t>国家化学事故应急咨询</w:t>
            </w:r>
          </w:p>
        </w:tc>
        <w:tc>
          <w:tcPr>
            <w:tcW w:w="2492" w:type="dxa"/>
            <w:vAlign w:val="center"/>
          </w:tcPr>
          <w:p>
            <w:pPr>
              <w:widowControl/>
              <w:jc w:val="center"/>
              <w:rPr>
                <w:rFonts w:ascii="宋体" w:hAnsi="宋体" w:cs="宋体"/>
                <w:kern w:val="0"/>
                <w:sz w:val="24"/>
              </w:rPr>
            </w:pPr>
            <w:r>
              <w:rPr>
                <w:rFonts w:hint="eastAsia"/>
                <w:bCs/>
              </w:rPr>
              <w:t>0532-3889090</w:t>
            </w:r>
          </w:p>
        </w:tc>
        <w:tc>
          <w:tcPr>
            <w:tcW w:w="3629" w:type="dxa"/>
            <w:vAlign w:val="center"/>
          </w:tcPr>
          <w:p>
            <w:pPr>
              <w:widowControl/>
              <w:jc w:val="center"/>
              <w:rPr>
                <w:rFonts w:ascii="宋体" w:hAnsi="宋体" w:cs="宋体"/>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25" w:type="dxa"/>
            <w:vAlign w:val="center"/>
          </w:tcPr>
          <w:p>
            <w:pPr>
              <w:widowControl/>
              <w:jc w:val="center"/>
              <w:rPr>
                <w:rFonts w:ascii="宋体" w:hAnsi="宋体" w:cs="宋体"/>
                <w:kern w:val="0"/>
                <w:sz w:val="24"/>
              </w:rPr>
            </w:pPr>
            <w:r>
              <w:rPr>
                <w:rFonts w:hint="eastAsia" w:ascii="宋体" w:hAnsi="宋体" w:cs="宋体"/>
                <w:kern w:val="0"/>
                <w:sz w:val="24"/>
              </w:rPr>
              <w:t>2</w:t>
            </w:r>
          </w:p>
        </w:tc>
        <w:tc>
          <w:tcPr>
            <w:tcW w:w="2056" w:type="dxa"/>
            <w:vAlign w:val="center"/>
          </w:tcPr>
          <w:p>
            <w:pPr>
              <w:widowControl/>
              <w:jc w:val="center"/>
              <w:rPr>
                <w:rFonts w:ascii="宋体" w:hAnsi="宋体" w:cs="宋体"/>
                <w:kern w:val="0"/>
                <w:sz w:val="24"/>
              </w:rPr>
            </w:pPr>
            <w:r>
              <w:rPr>
                <w:rFonts w:hint="eastAsia" w:ascii="宋体" w:hAnsi="宋体" w:cs="宋体"/>
                <w:kern w:val="0"/>
                <w:sz w:val="24"/>
              </w:rPr>
              <w:t>上海抢救中心</w:t>
            </w:r>
          </w:p>
        </w:tc>
        <w:tc>
          <w:tcPr>
            <w:tcW w:w="2492" w:type="dxa"/>
            <w:vAlign w:val="center"/>
          </w:tcPr>
          <w:p>
            <w:pPr>
              <w:widowControl/>
              <w:spacing w:line="0" w:lineRule="atLeast"/>
              <w:jc w:val="center"/>
              <w:rPr>
                <w:rFonts w:ascii="宋体" w:hAnsi="宋体" w:cs="宋体"/>
                <w:kern w:val="0"/>
                <w:sz w:val="24"/>
              </w:rPr>
            </w:pPr>
            <w:r>
              <w:rPr>
                <w:rFonts w:hint="eastAsia" w:ascii="宋体" w:hAnsi="宋体" w:cs="宋体"/>
                <w:kern w:val="0"/>
                <w:sz w:val="24"/>
              </w:rPr>
              <w:t>021－62533429(F)</w:t>
            </w:r>
          </w:p>
          <w:p>
            <w:pPr>
              <w:widowControl/>
              <w:spacing w:line="0" w:lineRule="atLeast"/>
              <w:jc w:val="center"/>
              <w:rPr>
                <w:rFonts w:ascii="宋体" w:hAnsi="宋体" w:cs="宋体"/>
                <w:kern w:val="0"/>
                <w:sz w:val="24"/>
              </w:rPr>
            </w:pPr>
            <w:r>
              <w:rPr>
                <w:rFonts w:hint="eastAsia" w:ascii="宋体" w:hAnsi="宋体" w:cs="宋体"/>
                <w:kern w:val="0"/>
                <w:sz w:val="24"/>
              </w:rPr>
              <w:t>Fax：62563255</w:t>
            </w:r>
          </w:p>
        </w:tc>
        <w:tc>
          <w:tcPr>
            <w:tcW w:w="3629" w:type="dxa"/>
            <w:vAlign w:val="center"/>
          </w:tcPr>
          <w:p>
            <w:pPr>
              <w:widowControl/>
              <w:jc w:val="center"/>
              <w:rPr>
                <w:rFonts w:ascii="宋体" w:hAnsi="宋体" w:cs="宋体"/>
                <w:kern w:val="0"/>
                <w:sz w:val="24"/>
              </w:rPr>
            </w:pPr>
            <w:r>
              <w:rPr>
                <w:rFonts w:hint="eastAsia" w:ascii="宋体" w:hAnsi="宋体" w:cs="宋体"/>
                <w:kern w:val="0"/>
                <w:sz w:val="24"/>
              </w:rPr>
              <w:t>上海市成都北路369号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25" w:type="dxa"/>
            <w:vAlign w:val="center"/>
          </w:tcPr>
          <w:p>
            <w:pPr>
              <w:widowControl/>
              <w:jc w:val="center"/>
              <w:rPr>
                <w:rFonts w:ascii="宋体" w:hAnsi="宋体" w:cs="宋体"/>
                <w:kern w:val="0"/>
                <w:sz w:val="24"/>
              </w:rPr>
            </w:pPr>
            <w:r>
              <w:rPr>
                <w:rFonts w:hint="eastAsia" w:ascii="宋体" w:hAnsi="宋体" w:cs="宋体"/>
                <w:kern w:val="0"/>
                <w:sz w:val="24"/>
              </w:rPr>
              <w:t>3</w:t>
            </w:r>
          </w:p>
        </w:tc>
        <w:tc>
          <w:tcPr>
            <w:tcW w:w="2056" w:type="dxa"/>
            <w:vAlign w:val="center"/>
          </w:tcPr>
          <w:p>
            <w:pPr>
              <w:widowControl/>
              <w:jc w:val="center"/>
              <w:rPr>
                <w:rFonts w:ascii="宋体" w:hAnsi="宋体" w:cs="宋体"/>
                <w:kern w:val="0"/>
                <w:sz w:val="24"/>
              </w:rPr>
            </w:pPr>
            <w:r>
              <w:rPr>
                <w:rFonts w:hint="eastAsia" w:ascii="宋体" w:hAnsi="宋体" w:cs="宋体"/>
                <w:kern w:val="0"/>
                <w:sz w:val="24"/>
              </w:rPr>
              <w:t>株洲抢救中心</w:t>
            </w:r>
          </w:p>
        </w:tc>
        <w:tc>
          <w:tcPr>
            <w:tcW w:w="2492" w:type="dxa"/>
            <w:vAlign w:val="center"/>
          </w:tcPr>
          <w:p>
            <w:pPr>
              <w:widowControl/>
              <w:spacing w:line="0" w:lineRule="atLeast"/>
              <w:jc w:val="center"/>
              <w:rPr>
                <w:rFonts w:ascii="宋体" w:hAnsi="宋体" w:cs="宋体"/>
                <w:kern w:val="0"/>
                <w:sz w:val="24"/>
              </w:rPr>
            </w:pPr>
            <w:r>
              <w:rPr>
                <w:rFonts w:hint="eastAsia" w:ascii="宋体" w:hAnsi="宋体" w:cs="宋体"/>
                <w:kern w:val="0"/>
                <w:sz w:val="24"/>
              </w:rPr>
              <w:t>0733－2381777</w:t>
            </w:r>
          </w:p>
          <w:p>
            <w:pPr>
              <w:widowControl/>
              <w:spacing w:line="0" w:lineRule="atLeast"/>
              <w:jc w:val="center"/>
              <w:rPr>
                <w:rFonts w:ascii="宋体" w:hAnsi="宋体" w:cs="宋体"/>
                <w:kern w:val="0"/>
                <w:sz w:val="24"/>
              </w:rPr>
            </w:pPr>
            <w:r>
              <w:rPr>
                <w:rFonts w:hint="eastAsia" w:ascii="宋体" w:hAnsi="宋体" w:cs="宋体"/>
                <w:kern w:val="0"/>
                <w:sz w:val="24"/>
              </w:rPr>
              <w:t>Fax：2382416</w:t>
            </w:r>
          </w:p>
        </w:tc>
        <w:tc>
          <w:tcPr>
            <w:tcW w:w="3629" w:type="dxa"/>
            <w:vAlign w:val="center"/>
          </w:tcPr>
          <w:p>
            <w:pPr>
              <w:widowControl/>
              <w:jc w:val="center"/>
              <w:rPr>
                <w:rFonts w:ascii="宋体" w:hAnsi="宋体" w:cs="宋体"/>
                <w:kern w:val="0"/>
                <w:sz w:val="24"/>
              </w:rPr>
            </w:pPr>
            <w:r>
              <w:rPr>
                <w:rFonts w:hint="eastAsia" w:ascii="宋体" w:hAnsi="宋体" w:cs="宋体"/>
                <w:kern w:val="0"/>
                <w:sz w:val="24"/>
              </w:rPr>
              <w:t>湖南省株洲市清水塘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25" w:type="dxa"/>
            <w:vAlign w:val="center"/>
          </w:tcPr>
          <w:p>
            <w:pPr>
              <w:widowControl/>
              <w:jc w:val="center"/>
              <w:rPr>
                <w:rFonts w:ascii="宋体" w:hAnsi="宋体" w:cs="宋体"/>
                <w:kern w:val="0"/>
                <w:sz w:val="24"/>
              </w:rPr>
            </w:pPr>
            <w:r>
              <w:rPr>
                <w:rFonts w:hint="eastAsia" w:ascii="宋体" w:hAnsi="宋体" w:cs="宋体"/>
                <w:kern w:val="0"/>
                <w:sz w:val="24"/>
              </w:rPr>
              <w:t>4</w:t>
            </w:r>
          </w:p>
        </w:tc>
        <w:tc>
          <w:tcPr>
            <w:tcW w:w="2056" w:type="dxa"/>
            <w:vAlign w:val="center"/>
          </w:tcPr>
          <w:p>
            <w:pPr>
              <w:widowControl/>
              <w:jc w:val="center"/>
              <w:rPr>
                <w:rFonts w:ascii="宋体" w:hAnsi="宋体" w:cs="宋体"/>
                <w:kern w:val="0"/>
                <w:sz w:val="24"/>
              </w:rPr>
            </w:pPr>
            <w:r>
              <w:rPr>
                <w:rFonts w:hint="eastAsia" w:ascii="宋体" w:hAnsi="宋体" w:cs="宋体"/>
                <w:kern w:val="0"/>
                <w:sz w:val="24"/>
              </w:rPr>
              <w:t>青岛抢救中心</w:t>
            </w:r>
          </w:p>
        </w:tc>
        <w:tc>
          <w:tcPr>
            <w:tcW w:w="2492" w:type="dxa"/>
            <w:vAlign w:val="center"/>
          </w:tcPr>
          <w:p>
            <w:pPr>
              <w:widowControl/>
              <w:spacing w:line="0" w:lineRule="atLeast"/>
              <w:jc w:val="center"/>
              <w:rPr>
                <w:rFonts w:ascii="宋体" w:hAnsi="宋体" w:cs="宋体"/>
                <w:kern w:val="0"/>
                <w:sz w:val="24"/>
              </w:rPr>
            </w:pPr>
            <w:r>
              <w:rPr>
                <w:rFonts w:hint="eastAsia" w:ascii="宋体" w:hAnsi="宋体" w:cs="宋体"/>
                <w:kern w:val="0"/>
                <w:sz w:val="24"/>
              </w:rPr>
              <w:t>0532－3889191(F)</w:t>
            </w:r>
          </w:p>
          <w:p>
            <w:pPr>
              <w:widowControl/>
              <w:spacing w:line="0" w:lineRule="atLeast"/>
              <w:jc w:val="center"/>
              <w:rPr>
                <w:rFonts w:ascii="宋体" w:hAnsi="宋体" w:cs="宋体"/>
                <w:kern w:val="0"/>
                <w:sz w:val="24"/>
              </w:rPr>
            </w:pPr>
            <w:r>
              <w:rPr>
                <w:rFonts w:hint="eastAsia" w:ascii="宋体" w:hAnsi="宋体" w:cs="宋体"/>
                <w:kern w:val="0"/>
                <w:sz w:val="24"/>
              </w:rPr>
              <w:t>Fax：3885209</w:t>
            </w:r>
          </w:p>
        </w:tc>
        <w:tc>
          <w:tcPr>
            <w:tcW w:w="3629" w:type="dxa"/>
            <w:vAlign w:val="center"/>
          </w:tcPr>
          <w:p>
            <w:pPr>
              <w:widowControl/>
              <w:jc w:val="center"/>
              <w:rPr>
                <w:rFonts w:ascii="宋体" w:hAnsi="宋体" w:cs="宋体"/>
                <w:kern w:val="0"/>
                <w:sz w:val="24"/>
              </w:rPr>
            </w:pPr>
            <w:r>
              <w:rPr>
                <w:rFonts w:hint="eastAsia" w:ascii="宋体" w:hAnsi="宋体" w:cs="宋体"/>
                <w:kern w:val="0"/>
                <w:sz w:val="24"/>
              </w:rPr>
              <w:t>青岛市延安三路218号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25" w:type="dxa"/>
            <w:vAlign w:val="center"/>
          </w:tcPr>
          <w:p>
            <w:pPr>
              <w:widowControl/>
              <w:jc w:val="center"/>
              <w:rPr>
                <w:rFonts w:ascii="宋体" w:hAnsi="宋体" w:cs="宋体"/>
                <w:kern w:val="0"/>
                <w:sz w:val="24"/>
              </w:rPr>
            </w:pPr>
            <w:r>
              <w:rPr>
                <w:rFonts w:hint="eastAsia" w:ascii="宋体" w:hAnsi="宋体" w:cs="宋体"/>
                <w:kern w:val="0"/>
                <w:sz w:val="24"/>
              </w:rPr>
              <w:t>5</w:t>
            </w:r>
          </w:p>
        </w:tc>
        <w:tc>
          <w:tcPr>
            <w:tcW w:w="2056" w:type="dxa"/>
            <w:vAlign w:val="center"/>
          </w:tcPr>
          <w:p>
            <w:pPr>
              <w:widowControl/>
              <w:jc w:val="center"/>
              <w:rPr>
                <w:rFonts w:ascii="宋体" w:hAnsi="宋体" w:cs="宋体"/>
                <w:kern w:val="0"/>
                <w:sz w:val="24"/>
              </w:rPr>
            </w:pPr>
            <w:r>
              <w:rPr>
                <w:rFonts w:hint="eastAsia" w:ascii="宋体" w:hAnsi="宋体" w:cs="宋体"/>
                <w:kern w:val="0"/>
                <w:sz w:val="24"/>
              </w:rPr>
              <w:t>沈阳抢救中心</w:t>
            </w:r>
          </w:p>
        </w:tc>
        <w:tc>
          <w:tcPr>
            <w:tcW w:w="2492" w:type="dxa"/>
            <w:vAlign w:val="center"/>
          </w:tcPr>
          <w:p>
            <w:pPr>
              <w:widowControl/>
              <w:spacing w:line="0" w:lineRule="atLeast"/>
              <w:jc w:val="center"/>
              <w:rPr>
                <w:rFonts w:ascii="宋体" w:hAnsi="宋体" w:cs="宋体"/>
                <w:kern w:val="0"/>
                <w:sz w:val="24"/>
              </w:rPr>
            </w:pPr>
            <w:r>
              <w:rPr>
                <w:rFonts w:hint="eastAsia" w:ascii="宋体" w:hAnsi="宋体" w:cs="宋体"/>
                <w:kern w:val="0"/>
                <w:sz w:val="24"/>
              </w:rPr>
              <w:t>024－25828772(F)</w:t>
            </w:r>
          </w:p>
          <w:p>
            <w:pPr>
              <w:widowControl/>
              <w:spacing w:line="0" w:lineRule="atLeast"/>
              <w:jc w:val="center"/>
              <w:rPr>
                <w:rFonts w:ascii="宋体" w:hAnsi="宋体" w:cs="宋体"/>
                <w:kern w:val="0"/>
                <w:sz w:val="24"/>
              </w:rPr>
            </w:pPr>
            <w:r>
              <w:rPr>
                <w:rFonts w:hint="eastAsia" w:ascii="宋体" w:hAnsi="宋体" w:cs="宋体"/>
                <w:kern w:val="0"/>
                <w:sz w:val="24"/>
              </w:rPr>
              <w:t>Fax：25827733</w:t>
            </w:r>
          </w:p>
        </w:tc>
        <w:tc>
          <w:tcPr>
            <w:tcW w:w="3629" w:type="dxa"/>
            <w:vAlign w:val="center"/>
          </w:tcPr>
          <w:p>
            <w:pPr>
              <w:widowControl/>
              <w:jc w:val="center"/>
              <w:rPr>
                <w:rFonts w:ascii="宋体" w:hAnsi="宋体" w:cs="宋体"/>
                <w:kern w:val="0"/>
                <w:sz w:val="24"/>
              </w:rPr>
            </w:pPr>
            <w:r>
              <w:rPr>
                <w:rFonts w:hint="eastAsia" w:ascii="宋体" w:hAnsi="宋体" w:cs="宋体"/>
                <w:kern w:val="0"/>
                <w:sz w:val="24"/>
              </w:rPr>
              <w:t>沈阳市卫工北街26号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25" w:type="dxa"/>
            <w:vAlign w:val="center"/>
          </w:tcPr>
          <w:p>
            <w:pPr>
              <w:widowControl/>
              <w:jc w:val="center"/>
              <w:rPr>
                <w:rFonts w:ascii="宋体" w:hAnsi="宋体" w:cs="宋体"/>
                <w:kern w:val="0"/>
                <w:sz w:val="24"/>
              </w:rPr>
            </w:pPr>
            <w:r>
              <w:rPr>
                <w:rFonts w:hint="eastAsia" w:ascii="宋体" w:hAnsi="宋体" w:cs="宋体"/>
                <w:kern w:val="0"/>
                <w:sz w:val="24"/>
              </w:rPr>
              <w:t>6</w:t>
            </w:r>
          </w:p>
        </w:tc>
        <w:tc>
          <w:tcPr>
            <w:tcW w:w="2056" w:type="dxa"/>
            <w:vAlign w:val="center"/>
          </w:tcPr>
          <w:p>
            <w:pPr>
              <w:widowControl/>
              <w:jc w:val="center"/>
              <w:rPr>
                <w:rFonts w:ascii="宋体" w:hAnsi="宋体" w:cs="宋体"/>
                <w:kern w:val="0"/>
                <w:sz w:val="24"/>
              </w:rPr>
            </w:pPr>
            <w:r>
              <w:rPr>
                <w:rFonts w:hint="eastAsia" w:ascii="宋体" w:hAnsi="宋体" w:cs="宋体"/>
                <w:kern w:val="0"/>
                <w:sz w:val="24"/>
              </w:rPr>
              <w:t>天津抢救中心</w:t>
            </w:r>
          </w:p>
        </w:tc>
        <w:tc>
          <w:tcPr>
            <w:tcW w:w="2492" w:type="dxa"/>
            <w:vAlign w:val="center"/>
          </w:tcPr>
          <w:p>
            <w:pPr>
              <w:widowControl/>
              <w:spacing w:line="0" w:lineRule="atLeast"/>
              <w:jc w:val="center"/>
              <w:rPr>
                <w:rFonts w:ascii="宋体" w:hAnsi="宋体" w:cs="宋体"/>
                <w:kern w:val="0"/>
                <w:sz w:val="24"/>
              </w:rPr>
            </w:pPr>
            <w:r>
              <w:rPr>
                <w:rFonts w:hint="eastAsia" w:ascii="宋体" w:hAnsi="宋体" w:cs="宋体"/>
                <w:kern w:val="0"/>
                <w:sz w:val="24"/>
              </w:rPr>
              <w:t>022－67992365</w:t>
            </w:r>
          </w:p>
          <w:p>
            <w:pPr>
              <w:widowControl/>
              <w:spacing w:line="0" w:lineRule="atLeast"/>
              <w:jc w:val="center"/>
              <w:rPr>
                <w:rFonts w:ascii="宋体" w:hAnsi="宋体" w:cs="宋体"/>
                <w:kern w:val="0"/>
                <w:sz w:val="24"/>
              </w:rPr>
            </w:pPr>
            <w:r>
              <w:rPr>
                <w:rFonts w:hint="eastAsia" w:ascii="宋体" w:hAnsi="宋体" w:cs="宋体"/>
                <w:kern w:val="0"/>
                <w:sz w:val="24"/>
              </w:rPr>
              <w:t>Fax：25694533</w:t>
            </w:r>
          </w:p>
        </w:tc>
        <w:tc>
          <w:tcPr>
            <w:tcW w:w="3629" w:type="dxa"/>
            <w:vAlign w:val="center"/>
          </w:tcPr>
          <w:p>
            <w:pPr>
              <w:widowControl/>
              <w:jc w:val="center"/>
              <w:rPr>
                <w:rFonts w:ascii="宋体" w:hAnsi="宋体" w:cs="宋体"/>
                <w:kern w:val="0"/>
                <w:sz w:val="24"/>
              </w:rPr>
            </w:pPr>
            <w:r>
              <w:rPr>
                <w:rFonts w:hint="eastAsia" w:ascii="宋体" w:hAnsi="宋体" w:cs="宋体"/>
                <w:kern w:val="0"/>
                <w:sz w:val="24"/>
              </w:rPr>
              <w:t>天津市汉沽区牌坊东街40号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25" w:type="dxa"/>
            <w:vAlign w:val="center"/>
          </w:tcPr>
          <w:p>
            <w:pPr>
              <w:widowControl/>
              <w:jc w:val="center"/>
              <w:rPr>
                <w:rFonts w:ascii="宋体" w:hAnsi="宋体" w:cs="宋体"/>
                <w:kern w:val="0"/>
                <w:sz w:val="24"/>
              </w:rPr>
            </w:pPr>
            <w:r>
              <w:rPr>
                <w:rFonts w:hint="eastAsia" w:ascii="宋体" w:hAnsi="宋体" w:cs="宋体"/>
                <w:kern w:val="0"/>
                <w:sz w:val="24"/>
              </w:rPr>
              <w:t>7</w:t>
            </w:r>
          </w:p>
        </w:tc>
        <w:tc>
          <w:tcPr>
            <w:tcW w:w="2056" w:type="dxa"/>
            <w:vAlign w:val="center"/>
          </w:tcPr>
          <w:p>
            <w:pPr>
              <w:widowControl/>
              <w:jc w:val="center"/>
              <w:rPr>
                <w:rFonts w:ascii="宋体" w:hAnsi="宋体" w:cs="宋体"/>
                <w:kern w:val="0"/>
                <w:sz w:val="24"/>
              </w:rPr>
            </w:pPr>
            <w:r>
              <w:rPr>
                <w:rFonts w:hint="eastAsia" w:ascii="宋体" w:hAnsi="宋体" w:cs="宋体"/>
                <w:kern w:val="0"/>
                <w:sz w:val="24"/>
              </w:rPr>
              <w:t>吉林抢救中心</w:t>
            </w:r>
          </w:p>
        </w:tc>
        <w:tc>
          <w:tcPr>
            <w:tcW w:w="2492" w:type="dxa"/>
            <w:vAlign w:val="center"/>
          </w:tcPr>
          <w:p>
            <w:pPr>
              <w:widowControl/>
              <w:spacing w:line="0" w:lineRule="atLeast"/>
              <w:jc w:val="center"/>
              <w:rPr>
                <w:rFonts w:ascii="宋体" w:hAnsi="宋体" w:cs="宋体"/>
                <w:kern w:val="0"/>
                <w:sz w:val="24"/>
              </w:rPr>
            </w:pPr>
            <w:r>
              <w:rPr>
                <w:rFonts w:hint="eastAsia" w:ascii="宋体" w:hAnsi="宋体" w:cs="宋体"/>
                <w:kern w:val="0"/>
                <w:sz w:val="24"/>
              </w:rPr>
              <w:t>0432－3976515</w:t>
            </w:r>
          </w:p>
          <w:p>
            <w:pPr>
              <w:widowControl/>
              <w:spacing w:line="0" w:lineRule="atLeast"/>
              <w:jc w:val="center"/>
              <w:rPr>
                <w:rFonts w:ascii="宋体" w:hAnsi="宋体" w:cs="宋体"/>
                <w:kern w:val="0"/>
                <w:sz w:val="24"/>
              </w:rPr>
            </w:pPr>
            <w:r>
              <w:rPr>
                <w:rFonts w:hint="eastAsia" w:ascii="宋体" w:hAnsi="宋体" w:cs="宋体"/>
                <w:kern w:val="0"/>
                <w:sz w:val="24"/>
              </w:rPr>
              <w:t>Fax：3038283</w:t>
            </w:r>
          </w:p>
        </w:tc>
        <w:tc>
          <w:tcPr>
            <w:tcW w:w="3629" w:type="dxa"/>
            <w:vAlign w:val="center"/>
          </w:tcPr>
          <w:p>
            <w:pPr>
              <w:widowControl/>
              <w:jc w:val="center"/>
              <w:rPr>
                <w:rFonts w:ascii="宋体" w:hAnsi="宋体" w:cs="宋体"/>
                <w:kern w:val="0"/>
                <w:sz w:val="24"/>
              </w:rPr>
            </w:pPr>
            <w:r>
              <w:rPr>
                <w:rFonts w:hint="eastAsia" w:ascii="宋体" w:hAnsi="宋体" w:cs="宋体"/>
                <w:kern w:val="0"/>
                <w:sz w:val="24"/>
              </w:rPr>
              <w:t>吉林市遵义东路52号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25" w:type="dxa"/>
            <w:vAlign w:val="center"/>
          </w:tcPr>
          <w:p>
            <w:pPr>
              <w:widowControl/>
              <w:jc w:val="center"/>
              <w:rPr>
                <w:rFonts w:ascii="宋体" w:hAnsi="宋体" w:cs="宋体"/>
                <w:kern w:val="0"/>
                <w:sz w:val="24"/>
              </w:rPr>
            </w:pPr>
            <w:r>
              <w:rPr>
                <w:rFonts w:hint="eastAsia" w:ascii="宋体" w:hAnsi="宋体" w:cs="宋体"/>
                <w:kern w:val="0"/>
                <w:sz w:val="24"/>
              </w:rPr>
              <w:t>8</w:t>
            </w:r>
          </w:p>
        </w:tc>
        <w:tc>
          <w:tcPr>
            <w:tcW w:w="2056" w:type="dxa"/>
            <w:vAlign w:val="center"/>
          </w:tcPr>
          <w:p>
            <w:pPr>
              <w:widowControl/>
              <w:jc w:val="center"/>
              <w:rPr>
                <w:rFonts w:ascii="宋体" w:hAnsi="宋体" w:cs="宋体"/>
                <w:kern w:val="0"/>
                <w:sz w:val="24"/>
              </w:rPr>
            </w:pPr>
            <w:r>
              <w:rPr>
                <w:rFonts w:hint="eastAsia" w:ascii="宋体" w:hAnsi="宋体" w:cs="宋体"/>
                <w:kern w:val="0"/>
                <w:sz w:val="24"/>
              </w:rPr>
              <w:t>大连抢救中心</w:t>
            </w:r>
          </w:p>
        </w:tc>
        <w:tc>
          <w:tcPr>
            <w:tcW w:w="2492" w:type="dxa"/>
            <w:vAlign w:val="center"/>
          </w:tcPr>
          <w:p>
            <w:pPr>
              <w:widowControl/>
              <w:spacing w:line="0" w:lineRule="atLeast"/>
              <w:jc w:val="center"/>
              <w:rPr>
                <w:rFonts w:ascii="宋体" w:hAnsi="宋体" w:cs="宋体"/>
                <w:kern w:val="0"/>
                <w:sz w:val="24"/>
              </w:rPr>
            </w:pPr>
            <w:r>
              <w:rPr>
                <w:rFonts w:hint="eastAsia" w:ascii="宋体" w:hAnsi="宋体" w:cs="宋体"/>
                <w:kern w:val="0"/>
                <w:sz w:val="24"/>
              </w:rPr>
              <w:t>0411-6672312-2159</w:t>
            </w:r>
          </w:p>
          <w:p>
            <w:pPr>
              <w:widowControl/>
              <w:spacing w:line="0" w:lineRule="atLeast"/>
              <w:jc w:val="center"/>
              <w:rPr>
                <w:rFonts w:ascii="宋体" w:hAnsi="宋体" w:cs="宋体"/>
                <w:kern w:val="0"/>
                <w:sz w:val="24"/>
              </w:rPr>
            </w:pPr>
            <w:r>
              <w:rPr>
                <w:rFonts w:hint="eastAsia" w:ascii="宋体" w:hAnsi="宋体" w:cs="宋体"/>
                <w:kern w:val="0"/>
                <w:sz w:val="24"/>
              </w:rPr>
              <w:t>Fax：6671965</w:t>
            </w:r>
          </w:p>
        </w:tc>
        <w:tc>
          <w:tcPr>
            <w:tcW w:w="3629" w:type="dxa"/>
            <w:vAlign w:val="center"/>
          </w:tcPr>
          <w:p>
            <w:pPr>
              <w:widowControl/>
              <w:jc w:val="center"/>
              <w:rPr>
                <w:rFonts w:ascii="宋体" w:hAnsi="宋体" w:cs="宋体"/>
                <w:kern w:val="0"/>
                <w:sz w:val="24"/>
              </w:rPr>
            </w:pPr>
            <w:r>
              <w:rPr>
                <w:rFonts w:hint="eastAsia" w:ascii="宋体" w:hAnsi="宋体" w:cs="宋体"/>
                <w:kern w:val="0"/>
                <w:sz w:val="24"/>
              </w:rPr>
              <w:t>大连市甘井子区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25" w:type="dxa"/>
            <w:vAlign w:val="center"/>
          </w:tcPr>
          <w:p>
            <w:pPr>
              <w:widowControl/>
              <w:jc w:val="center"/>
              <w:rPr>
                <w:rFonts w:ascii="宋体" w:hAnsi="宋体" w:cs="宋体"/>
                <w:kern w:val="0"/>
                <w:sz w:val="24"/>
              </w:rPr>
            </w:pPr>
            <w:r>
              <w:rPr>
                <w:rFonts w:hint="eastAsia" w:ascii="宋体" w:hAnsi="宋体" w:cs="宋体"/>
                <w:kern w:val="0"/>
                <w:sz w:val="24"/>
              </w:rPr>
              <w:t>9</w:t>
            </w:r>
          </w:p>
        </w:tc>
        <w:tc>
          <w:tcPr>
            <w:tcW w:w="2056" w:type="dxa"/>
            <w:vAlign w:val="center"/>
          </w:tcPr>
          <w:p>
            <w:pPr>
              <w:widowControl/>
              <w:jc w:val="center"/>
              <w:rPr>
                <w:rFonts w:ascii="宋体" w:hAnsi="宋体" w:cs="宋体"/>
                <w:kern w:val="0"/>
                <w:sz w:val="24"/>
              </w:rPr>
            </w:pPr>
            <w:r>
              <w:rPr>
                <w:rFonts w:hint="eastAsia" w:ascii="宋体" w:hAnsi="宋体" w:cs="宋体"/>
                <w:kern w:val="0"/>
                <w:sz w:val="24"/>
              </w:rPr>
              <w:t>济南抢救中心</w:t>
            </w:r>
          </w:p>
        </w:tc>
        <w:tc>
          <w:tcPr>
            <w:tcW w:w="2492" w:type="dxa"/>
            <w:vAlign w:val="center"/>
          </w:tcPr>
          <w:p>
            <w:pPr>
              <w:widowControl/>
              <w:spacing w:line="0" w:lineRule="atLeast"/>
              <w:jc w:val="center"/>
              <w:rPr>
                <w:rFonts w:ascii="宋体" w:hAnsi="宋体" w:cs="宋体"/>
                <w:kern w:val="0"/>
                <w:sz w:val="24"/>
              </w:rPr>
            </w:pPr>
            <w:r>
              <w:rPr>
                <w:rFonts w:hint="eastAsia" w:ascii="宋体" w:hAnsi="宋体" w:cs="宋体"/>
                <w:kern w:val="0"/>
                <w:sz w:val="24"/>
              </w:rPr>
              <w:t>0531－2983472(F)</w:t>
            </w:r>
          </w:p>
          <w:p>
            <w:pPr>
              <w:widowControl/>
              <w:spacing w:line="0" w:lineRule="atLeast"/>
              <w:jc w:val="center"/>
              <w:rPr>
                <w:rFonts w:ascii="宋体" w:hAnsi="宋体" w:cs="宋体"/>
                <w:kern w:val="0"/>
                <w:sz w:val="24"/>
              </w:rPr>
            </w:pPr>
            <w:r>
              <w:rPr>
                <w:rFonts w:hint="eastAsia" w:ascii="宋体" w:hAnsi="宋体" w:cs="宋体"/>
                <w:kern w:val="0"/>
                <w:sz w:val="24"/>
              </w:rPr>
              <w:t>0531－2976509</w:t>
            </w:r>
          </w:p>
        </w:tc>
        <w:tc>
          <w:tcPr>
            <w:tcW w:w="3629" w:type="dxa"/>
            <w:vAlign w:val="center"/>
          </w:tcPr>
          <w:p>
            <w:pPr>
              <w:widowControl/>
              <w:jc w:val="center"/>
              <w:rPr>
                <w:rFonts w:ascii="宋体" w:hAnsi="宋体" w:cs="宋体"/>
                <w:kern w:val="0"/>
                <w:sz w:val="24"/>
              </w:rPr>
            </w:pPr>
            <w:r>
              <w:rPr>
                <w:rFonts w:hint="eastAsia" w:ascii="宋体" w:hAnsi="宋体" w:cs="宋体"/>
                <w:kern w:val="0"/>
                <w:sz w:val="24"/>
              </w:rPr>
              <w:t>济南市土屋路23号</w:t>
            </w:r>
          </w:p>
        </w:tc>
      </w:tr>
    </w:tbl>
    <w:p/>
    <w:p>
      <w:pPr>
        <w:spacing w:line="360" w:lineRule="auto"/>
        <w:ind w:firstLine="560" w:firstLineChars="200"/>
        <w:rPr>
          <w:sz w:val="28"/>
          <w:szCs w:val="28"/>
        </w:rPr>
      </w:pPr>
    </w:p>
    <w:p/>
    <w:sectPr>
      <w:headerReference r:id="rId18" w:type="first"/>
      <w:footerReference r:id="rId21" w:type="first"/>
      <w:headerReference r:id="rId16" w:type="default"/>
      <w:footerReference r:id="rId19" w:type="default"/>
      <w:headerReference r:id="rId17" w:type="even"/>
      <w:footerReference r:id="rId20" w:type="even"/>
      <w:pgSz w:w="11906" w:h="16838"/>
      <w:pgMar w:top="1701" w:right="1418" w:bottom="1418"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5"/>
      </w:rPr>
    </w:pPr>
    <w:r>
      <w:fldChar w:fldCharType="begin"/>
    </w:r>
    <w:r>
      <w:rPr>
        <w:rStyle w:val="15"/>
      </w:rPr>
      <w:instrText xml:space="preserve">PAGE  </w:instrText>
    </w:r>
    <w:r>
      <w:fldChar w:fldCharType="end"/>
    </w:r>
  </w:p>
  <w:p>
    <w:pPr>
      <w:pStyle w:val="6"/>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7" name="文本框 2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6"/>
                          </w:pP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zql5uc8AAAAFAQAADwAAAAAAAAABACAAAAAiAAAAZHJzL2Rvd25yZXYueG1sUEsBAhQAFAAA&#10;AAgAh07iQGhzXZS/AQAAZgMAAA4AAAAAAAAAAQAgAAAAHgEAAGRycy9lMm9Eb2MueG1sUEsFBgAA&#10;AAAGAAYAWQEAAE8FAAAAAA==&#10;">
              <v:fill on="f" focussize="0,0"/>
              <v:stroke on="f"/>
              <v:imagedata o:title=""/>
              <o:lock v:ext="edit" aspectratio="f"/>
              <v:textbox inset="0mm,0mm,0mm,0mm" style="mso-fit-shape-to-text:t;">
                <w:txbxContent>
                  <w:p>
                    <w:pPr>
                      <w:pStyle w:val="6"/>
                    </w:pP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6" name="文本框 2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6"/>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OqXm5zwAAAAUBAAAPAAAAAAAAAAEAIAAAACIAAABkcnMvZG93bnJldi54bWxQSwECFAAUAAAA&#10;CACHTuJAJAWhBL4BAABmAwAADgAAAAAAAAABACAAAAAeAQAAZHJzL2Uyb0RvYy54bWxQSwUGAAAA&#10;AAYABgBZAQAATgUAAAAA&#10;">
              <v:fill on="f" focussize="0,0"/>
              <v:stroke on="f"/>
              <v:imagedata o:title=""/>
              <o:lock v:ext="edit" aspectratio="f"/>
              <v:textbox inset="0mm,0mm,0mm,0mm" style="mso-fit-shape-to-text:t;">
                <w:txbxContent>
                  <w:p>
                    <w:pPr>
                      <w:pStyle w:val="6"/>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6"/>
                            <w:jc w:val="center"/>
                            <w:rPr>
                              <w:rStyle w:val="15"/>
                            </w:rPr>
                          </w:pPr>
                          <w:r>
                            <w:fldChar w:fldCharType="begin"/>
                          </w:r>
                          <w:r>
                            <w:rPr>
                              <w:rStyle w:val="15"/>
                            </w:rPr>
                            <w:instrText xml:space="preserve">PAGE  </w:instrText>
                          </w:r>
                          <w:r>
                            <w:fldChar w:fldCharType="separate"/>
                          </w:r>
                          <w:r>
                            <w:rPr>
                              <w:rStyle w:val="15"/>
                            </w:rPr>
                            <w:t>72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ql5uc8AAAAFAQAADwAAAAAAAAABACAAAAAiAAAAZHJzL2Rvd25yZXYueG1sUEsBAhQAFAAAAAgA&#10;h07iQAcEkva8AQAAZAMAAA4AAAAAAAAAAQAgAAAAHgEAAGRycy9lMm9Eb2MueG1sUEsFBgAAAAAG&#10;AAYAWQEAAEwFAAAAAA==&#10;">
              <v:fill on="f" focussize="0,0"/>
              <v:stroke on="f"/>
              <v:imagedata o:title=""/>
              <o:lock v:ext="edit" aspectratio="f"/>
              <v:textbox inset="0mm,0mm,0mm,0mm" style="mso-fit-shape-to-text:t;">
                <w:txbxContent>
                  <w:p>
                    <w:pPr>
                      <w:pStyle w:val="6"/>
                      <w:jc w:val="center"/>
                      <w:rPr>
                        <w:rStyle w:val="15"/>
                      </w:rPr>
                    </w:pPr>
                    <w:r>
                      <w:fldChar w:fldCharType="begin"/>
                    </w:r>
                    <w:r>
                      <w:rPr>
                        <w:rStyle w:val="15"/>
                      </w:rPr>
                      <w:instrText xml:space="preserve">PAGE  </w:instrText>
                    </w:r>
                    <w:r>
                      <w:fldChar w:fldCharType="separate"/>
                    </w:r>
                    <w:r>
                      <w:rPr>
                        <w:rStyle w:val="15"/>
                      </w:rPr>
                      <w:t>72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5"/>
      </w:rPr>
    </w:pPr>
    <w:r>
      <w:fldChar w:fldCharType="begin"/>
    </w:r>
    <w:r>
      <w:rPr>
        <w:rStyle w:val="15"/>
      </w:rPr>
      <w:instrText xml:space="preserve">PAGE  </w:instrText>
    </w:r>
    <w:r>
      <w:fldChar w:fldCharType="end"/>
    </w:r>
  </w:p>
  <w:p>
    <w:pPr>
      <w:pStyle w:val="6"/>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6"/>
                          </w:pPr>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6pebnPAAAABQEAAA8AAAAAAAAAAQAgAAAAIgAAAGRycy9kb3ducmV2LnhtbFBLAQIUABQAAAAI&#10;AIdO4kBIz9JavQEAAGQDAAAOAAAAAAAAAAEAIAAAAB4BAABkcnMvZTJvRG9jLnhtbFBLBQYAAAAA&#10;BgAGAFkBAABNBQAAAAA=&#10;">
              <v:fill on="f" focussize="0,0"/>
              <v:stroke on="f"/>
              <v:imagedata o:title=""/>
              <o:lock v:ext="edit" aspectratio="f"/>
              <v:textbox inset="0mm,0mm,0mm,0mm" style="mso-fit-shape-to-text:t;">
                <w:txbxContent>
                  <w:p>
                    <w:pPr>
                      <w:pStyle w:val="6"/>
                    </w:pPr>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6A5CFF"/>
    <w:rsid w:val="000C0753"/>
    <w:rsid w:val="005E60CD"/>
    <w:rsid w:val="00C45F4B"/>
    <w:rsid w:val="00E02ECD"/>
    <w:rsid w:val="046A5CFF"/>
    <w:rsid w:val="0C6E48EC"/>
    <w:rsid w:val="0CF1634C"/>
    <w:rsid w:val="14C239F7"/>
    <w:rsid w:val="291B4A0D"/>
    <w:rsid w:val="2A4852B3"/>
    <w:rsid w:val="33F9172C"/>
    <w:rsid w:val="34814B08"/>
    <w:rsid w:val="36357EAB"/>
    <w:rsid w:val="40F14106"/>
    <w:rsid w:val="41E139D2"/>
    <w:rsid w:val="442F7505"/>
    <w:rsid w:val="45111944"/>
    <w:rsid w:val="46DC6C10"/>
    <w:rsid w:val="47534D44"/>
    <w:rsid w:val="48BD5604"/>
    <w:rsid w:val="4D881052"/>
    <w:rsid w:val="4EAF7D95"/>
    <w:rsid w:val="59F83A1B"/>
    <w:rsid w:val="5B305209"/>
    <w:rsid w:val="5E733227"/>
    <w:rsid w:val="64DD1914"/>
    <w:rsid w:val="655A2999"/>
    <w:rsid w:val="697D0671"/>
    <w:rsid w:val="6CD84626"/>
    <w:rsid w:val="7C162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spacing w:line="500" w:lineRule="exact"/>
      <w:outlineLvl w:val="3"/>
    </w:pPr>
    <w:rPr>
      <w:rFonts w:eastAsia="黑体"/>
      <w:b/>
      <w:bCs/>
      <w:sz w:val="28"/>
      <w:szCs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rPr>
      <w:sz w:val="24"/>
      <w:szCs w:val="20"/>
    </w:rPr>
  </w:style>
  <w:style w:type="paragraph" w:styleId="4">
    <w:name w:val="Body Text Indent"/>
    <w:basedOn w:val="1"/>
    <w:unhideWhenUsed/>
    <w:qFormat/>
    <w:uiPriority w:val="0"/>
    <w:pPr>
      <w:ind w:firstLine="640"/>
    </w:pPr>
    <w:rPr>
      <w:rFonts w:ascii="仿宋_GB2312" w:eastAsia="仿宋_GB2312"/>
      <w:sz w:val="32"/>
      <w:szCs w:val="20"/>
    </w:rPr>
  </w:style>
  <w:style w:type="paragraph" w:styleId="5">
    <w:name w:val="toc 3"/>
    <w:basedOn w:val="1"/>
    <w:next w:val="1"/>
    <w:semiHidden/>
    <w:qFormat/>
    <w:uiPriority w:val="0"/>
    <w:pPr>
      <w:ind w:left="840" w:leftChars="4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semiHidden/>
    <w:qFormat/>
    <w:uiPriority w:val="0"/>
  </w:style>
  <w:style w:type="paragraph" w:styleId="9">
    <w:name w:val="toc 4"/>
    <w:basedOn w:val="1"/>
    <w:next w:val="1"/>
    <w:qFormat/>
    <w:uiPriority w:val="39"/>
    <w:pPr>
      <w:ind w:left="1260" w:leftChars="600"/>
    </w:pPr>
  </w:style>
  <w:style w:type="paragraph" w:styleId="10">
    <w:name w:val="toc 2"/>
    <w:basedOn w:val="1"/>
    <w:next w:val="1"/>
    <w:semiHidden/>
    <w:qFormat/>
    <w:uiPriority w:val="0"/>
    <w:pPr>
      <w:ind w:left="420" w:leftChars="200"/>
    </w:p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4">
    <w:name w:val="Strong"/>
    <w:basedOn w:val="13"/>
    <w:qFormat/>
    <w:uiPriority w:val="0"/>
    <w:rPr>
      <w:b/>
      <w:bCs/>
    </w:rPr>
  </w:style>
  <w:style w:type="character" w:styleId="15">
    <w:name w:val="page number"/>
    <w:basedOn w:val="13"/>
    <w:qFormat/>
    <w:uiPriority w:val="0"/>
  </w:style>
  <w:style w:type="character" w:styleId="16">
    <w:name w:val="Hyperlink"/>
    <w:basedOn w:val="13"/>
    <w:qFormat/>
    <w:uiPriority w:val="0"/>
    <w:rPr>
      <w:color w:val="0000FF"/>
      <w:u w:val="single"/>
    </w:rPr>
  </w:style>
  <w:style w:type="paragraph" w:customStyle="1" w:styleId="17">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18">
    <w:name w:val="样式 正文（首行缩进两字） + 宋体"/>
    <w:basedOn w:val="3"/>
    <w:qFormat/>
    <w:uiPriority w:val="0"/>
    <w:pPr>
      <w:ind w:firstLine="0" w:firstLineChars="0"/>
    </w:pPr>
    <w:rPr>
      <w:sz w:val="28"/>
    </w:rPr>
  </w:style>
  <w:style w:type="paragraph" w:customStyle="1" w:styleId="19">
    <w:name w:val="reader-word-layer reader-word-s4-1"/>
    <w:basedOn w:val="1"/>
    <w:qFormat/>
    <w:uiPriority w:val="0"/>
    <w:pPr>
      <w:widowControl/>
      <w:spacing w:before="100" w:beforeAutospacing="1" w:after="100" w:afterAutospacing="1"/>
      <w:jc w:val="left"/>
    </w:pPr>
    <w:rPr>
      <w:rFonts w:ascii="宋体" w:hAnsi="宋体" w:cs="宋体"/>
      <w:kern w:val="0"/>
      <w:sz w:val="24"/>
    </w:rPr>
  </w:style>
  <w:style w:type="character" w:customStyle="1" w:styleId="20">
    <w:name w:val="font01"/>
    <w:basedOn w:val="1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image" Target="media/image2.jpeg"/><Relationship Id="rId23" Type="http://schemas.openxmlformats.org/officeDocument/2006/relationships/image" Target="media/image1.jpeg"/><Relationship Id="rId22" Type="http://schemas.openxmlformats.org/officeDocument/2006/relationships/theme" Target="theme/theme1.xml"/><Relationship Id="rId21" Type="http://schemas.openxmlformats.org/officeDocument/2006/relationships/footer" Target="footer1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204</Pages>
  <Words>75513</Words>
  <Characters>24277</Characters>
  <Lines>202</Lines>
  <Paragraphs>199</Paragraphs>
  <TotalTime>59</TotalTime>
  <ScaleCrop>false</ScaleCrop>
  <LinksUpToDate>false</LinksUpToDate>
  <CharactersWithSpaces>99591</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2018-12-16T11:31:00Z</dcterms:created>
  <dc:creator>元</dc:creator>
  <cp:lastModifiedBy>nicole</cp:lastModifiedBy>
  <cp:lastPrinted>2021-07-26T08:19:00Z</cp:lastPrinted>
  <dcterms:modified xsi:type="dcterms:W3CDTF">2021-07-29T07:25:57Z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y fmtid="{D5CDD505-2E9C-101B-9397-08002B2CF9AE}" pid="3" name="ICV">
    <vt:lpwstr>715E1CDBCB444782803FCA61CB284C17</vt:lpwstr>
  </property>
</Properties>
</file>