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0"/>
        <w:rPr>
          <w:rFonts w:hint="eastAsia" w:ascii="黑体" w:hAnsi="黑体" w:eastAsia="黑体" w:cs="黑体"/>
          <w:b/>
          <w:kern w:val="0"/>
          <w:sz w:val="52"/>
          <w:szCs w:val="52"/>
          <w:lang w:val="en-US" w:eastAsia="zh-CN"/>
        </w:rPr>
      </w:pPr>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bookmarkStart w:id="0" w:name="_Toc7196"/>
      <w:bookmarkStart w:id="1" w:name="_Toc15546"/>
      <w:bookmarkStart w:id="2" w:name="_Toc1169"/>
      <w:bookmarkStart w:id="3" w:name="_Toc5281"/>
      <w:bookmarkStart w:id="4" w:name="_Toc4769"/>
      <w:bookmarkStart w:id="5" w:name="_Toc15618"/>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火灾事故应急预案</w:t>
      </w:r>
      <w:bookmarkEnd w:id="0"/>
      <w:bookmarkEnd w:id="1"/>
      <w:bookmarkEnd w:id="2"/>
      <w:bookmarkEnd w:id="3"/>
      <w:bookmarkEnd w:id="4"/>
      <w:bookmarkEnd w:id="5"/>
    </w:p>
    <w:p>
      <w:pPr>
        <w:pStyle w:val="5"/>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6"/>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spacing w:after="156" w:afterLines="50"/>
        <w:jc w:val="center"/>
        <w:outlineLvl w:val="0"/>
        <w:rPr>
          <w:rFonts w:hint="eastAsia" w:ascii="宋体" w:hAnsi="宋体" w:eastAsia="宋体" w:cs="宋体"/>
          <w:b/>
          <w:sz w:val="44"/>
          <w:szCs w:val="44"/>
        </w:rPr>
      </w:pPr>
      <w:r>
        <w:rPr>
          <w:rFonts w:hint="eastAsia" w:ascii="宋体" w:hAnsi="宋体" w:eastAsia="宋体" w:cs="宋体"/>
          <w:b/>
          <w:sz w:val="44"/>
          <w:szCs w:val="44"/>
          <w:lang w:val="en-US" w:eastAsia="zh-CN"/>
        </w:rPr>
        <w:t>太仓市城厢镇安全生产委员会</w:t>
      </w:r>
    </w:p>
    <w:p>
      <w:pPr>
        <w:pStyle w:val="5"/>
        <w:jc w:val="center"/>
        <w:rPr>
          <w:rFonts w:hint="eastAsia" w:ascii="宋体" w:hAnsi="宋体" w:eastAsia="宋体" w:cs="宋体"/>
          <w:b/>
          <w:sz w:val="32"/>
          <w:szCs w:val="32"/>
        </w:rPr>
      </w:pPr>
      <w:r>
        <w:rPr>
          <w:rFonts w:hint="eastAsia" w:ascii="宋体" w:hAnsi="宋体" w:eastAsia="宋体" w:cs="宋体"/>
          <w:b/>
          <w:spacing w:val="20"/>
          <w:sz w:val="32"/>
          <w:szCs w:val="32"/>
        </w:rPr>
        <w:t>二〇二二年十</w:t>
      </w:r>
      <w:r>
        <w:rPr>
          <w:rFonts w:hint="eastAsia" w:ascii="宋体" w:hAnsi="宋体" w:eastAsia="宋体" w:cs="宋体"/>
          <w:b/>
          <w:spacing w:val="20"/>
          <w:sz w:val="32"/>
          <w:szCs w:val="32"/>
          <w:lang w:val="en-US" w:eastAsia="zh-CN"/>
        </w:rPr>
        <w:t>二</w:t>
      </w:r>
      <w:r>
        <w:rPr>
          <w:rFonts w:hint="eastAsia" w:ascii="宋体" w:hAnsi="宋体" w:eastAsia="宋体" w:cs="宋体"/>
          <w:b/>
          <w:spacing w:val="20"/>
          <w:sz w:val="32"/>
          <w:szCs w:val="32"/>
        </w:rPr>
        <w:t>月</w:t>
      </w:r>
    </w:p>
    <w:p>
      <w:pPr>
        <w:rPr>
          <w:rFonts w:hint="eastAsia" w:ascii="黑体" w:hAnsi="黑体" w:eastAsia="黑体" w:cs="黑体"/>
          <w:color w:val="auto"/>
          <w:sz w:val="44"/>
          <w:szCs w:val="44"/>
          <w:highlight w:val="none"/>
          <w:lang w:eastAsia="zh-CN"/>
        </w:rPr>
      </w:pPr>
      <w:r>
        <w:rPr>
          <w:rFonts w:hint="eastAsia" w:ascii="黑体" w:hAnsi="黑体" w:eastAsia="黑体" w:cs="黑体"/>
          <w:color w:val="auto"/>
          <w:sz w:val="44"/>
          <w:szCs w:val="44"/>
          <w:highlight w:val="none"/>
          <w:lang w:eastAsia="zh-CN"/>
        </w:rPr>
        <w:br w:type="page"/>
      </w:r>
    </w:p>
    <w:p>
      <w:pPr>
        <w:pStyle w:val="23"/>
        <w:tabs>
          <w:tab w:val="left" w:pos="9193"/>
          <w:tab w:val="left" w:pos="9827"/>
        </w:tabs>
        <w:spacing w:line="580" w:lineRule="exact"/>
        <w:rPr>
          <w:rFonts w:hint="default" w:ascii="黑体" w:hAnsi="黑体" w:eastAsia="黑体" w:cs="黑体"/>
          <w:b/>
          <w:bCs/>
          <w:sz w:val="32"/>
          <w:szCs w:val="32"/>
        </w:rPr>
      </w:pPr>
      <w:r>
        <w:rPr>
          <w:rFonts w:hint="eastAsia" w:ascii="黑体" w:hAnsi="黑体" w:eastAsia="黑体" w:cs="黑体"/>
          <w:b/>
          <w:bCs/>
          <w:sz w:val="32"/>
          <w:szCs w:val="32"/>
          <w:lang w:val="en-US" w:eastAsia="zh-CN"/>
        </w:rPr>
        <w:t>目  录</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宋体" w:hAnsi="宋体" w:eastAsia="宋体" w:cs="宋体"/>
          <w:b/>
          <w:bCs/>
          <w:color w:val="000000"/>
          <w:kern w:val="0"/>
          <w:sz w:val="24"/>
          <w:szCs w:val="24"/>
          <w:lang w:val="en-US" w:eastAsia="zh-CN" w:bidi="ar-SA"/>
        </w:rPr>
      </w:pPr>
      <w:r>
        <w:rPr>
          <w:rFonts w:hint="default" w:ascii="Times New Roman" w:hAnsi="Times New Roman" w:eastAsia="方正仿宋_GB2312" w:cs="Times New Roman"/>
          <w:b w:val="0"/>
          <w:bCs w:val="0"/>
          <w:color w:val="auto"/>
          <w:sz w:val="30"/>
          <w:szCs w:val="30"/>
          <w:highlight w:val="none"/>
        </w:rPr>
        <w:fldChar w:fldCharType="begin"/>
      </w:r>
      <w:r>
        <w:rPr>
          <w:rFonts w:hint="default" w:ascii="Times New Roman" w:hAnsi="Times New Roman" w:eastAsia="方正仿宋_GB2312" w:cs="Times New Roman"/>
          <w:b w:val="0"/>
          <w:bCs w:val="0"/>
          <w:color w:val="auto"/>
          <w:sz w:val="30"/>
          <w:szCs w:val="30"/>
          <w:highlight w:val="none"/>
        </w:rPr>
        <w:instrText xml:space="preserve"> TOC \o "1-2" \n \u </w:instrText>
      </w:r>
      <w:r>
        <w:rPr>
          <w:rFonts w:hint="default" w:ascii="Times New Roman" w:hAnsi="Times New Roman" w:eastAsia="方正仿宋_GB2312" w:cs="Times New Roman"/>
          <w:b w:val="0"/>
          <w:bCs w:val="0"/>
          <w:color w:val="auto"/>
          <w:sz w:val="30"/>
          <w:szCs w:val="30"/>
          <w:highlight w:val="none"/>
        </w:rPr>
        <w:fldChar w:fldCharType="separate"/>
      </w:r>
      <w:r>
        <w:rPr>
          <w:rFonts w:hint="default" w:ascii="宋体" w:hAnsi="宋体" w:eastAsia="宋体" w:cs="宋体"/>
          <w:b/>
          <w:bCs/>
          <w:color w:val="000000"/>
          <w:kern w:val="0"/>
          <w:sz w:val="24"/>
          <w:szCs w:val="24"/>
          <w:lang w:val="en-US" w:eastAsia="zh-CN" w:bidi="ar-SA"/>
        </w:rPr>
        <w:t>1 总则</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1.1编制目的</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1.2编制依据</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1.3适用范围</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1.4工作原则</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方正仿宋_GB2312" w:cs="Times New Roman"/>
          <w:b w:val="0"/>
          <w:bCs w:val="0"/>
          <w:color w:val="auto"/>
          <w:sz w:val="30"/>
          <w:szCs w:val="30"/>
          <w:highlight w:val="none"/>
        </w:rPr>
      </w:pPr>
      <w:r>
        <w:rPr>
          <w:rFonts w:hint="default" w:ascii="宋体" w:hAnsi="宋体" w:eastAsia="宋体" w:cs="宋体"/>
          <w:color w:val="000000"/>
          <w:kern w:val="0"/>
          <w:sz w:val="24"/>
          <w:szCs w:val="24"/>
          <w:lang w:val="en-US" w:eastAsia="zh-CN" w:bidi="ar-SA"/>
        </w:rPr>
        <w:t>1.5事故分级</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2 组织机构与职责</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2.1应急指挥机构与职责</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2.2应急救援工作组及职责</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3 监测与预防</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3.1火点监测</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3.2火灾预防</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3.3 预警</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3.4预警调整与解除</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4 应急响应</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4.1信息报告</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4.2先期处置</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4.3应急结束</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4.4善后处置</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5 应急保障</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5.1通信保障</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5.2力量和装备保障</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6 宣传、培训与演练</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6.1宣传</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6.2培训</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6.3演练</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7 附则</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7.1奖励与责任</w:t>
      </w:r>
    </w:p>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方正仿宋_GB2312" w:cs="Times New Roman"/>
          <w:b w:val="0"/>
          <w:bCs w:val="0"/>
          <w:color w:val="auto"/>
          <w:sz w:val="30"/>
          <w:szCs w:val="30"/>
          <w:highlight w:val="none"/>
        </w:rPr>
      </w:pPr>
      <w:r>
        <w:rPr>
          <w:rFonts w:hint="default" w:ascii="宋体" w:hAnsi="宋体" w:eastAsia="宋体" w:cs="宋体"/>
          <w:color w:val="000000"/>
          <w:kern w:val="0"/>
          <w:sz w:val="24"/>
          <w:szCs w:val="24"/>
          <w:lang w:val="en-US" w:eastAsia="zh-CN" w:bidi="ar-SA"/>
        </w:rPr>
        <w:t>7.2实施时间</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8 附件</w:t>
      </w:r>
    </w:p>
    <w:p>
      <w:pPr>
        <w:spacing w:line="360" w:lineRule="auto"/>
        <w:ind w:firstLine="600" w:firstLineChars="200"/>
        <w:rPr>
          <w:rFonts w:hint="default" w:ascii="Times New Roman" w:hAnsi="Times New Roman" w:eastAsia="方正仿宋_GB2312" w:cs="Times New Roman"/>
          <w:color w:val="auto"/>
          <w:sz w:val="30"/>
          <w:szCs w:val="30"/>
          <w:highlight w:val="none"/>
        </w:rPr>
      </w:pPr>
      <w:r>
        <w:rPr>
          <w:rFonts w:hint="default" w:ascii="Times New Roman" w:hAnsi="Times New Roman" w:eastAsia="方正仿宋_GB2312" w:cs="Times New Roman"/>
          <w:b w:val="0"/>
          <w:bCs w:val="0"/>
          <w:color w:val="auto"/>
          <w:sz w:val="30"/>
          <w:szCs w:val="30"/>
          <w:highlight w:val="none"/>
        </w:rPr>
        <w:fldChar w:fldCharType="end"/>
      </w:r>
    </w:p>
    <w:p>
      <w:pPr>
        <w:widowControl/>
        <w:jc w:val="left"/>
        <w:rPr>
          <w:rFonts w:hint="default" w:ascii="Times New Roman" w:hAnsi="Times New Roman" w:eastAsia="方正仿宋_GB2312" w:cs="Times New Roman"/>
          <w:b/>
          <w:bCs/>
          <w:color w:val="auto"/>
          <w:sz w:val="30"/>
          <w:szCs w:val="30"/>
          <w:highlight w:val="none"/>
        </w:rPr>
      </w:pPr>
      <w:r>
        <w:rPr>
          <w:rFonts w:hint="default" w:ascii="Times New Roman" w:hAnsi="Times New Roman" w:eastAsia="方正仿宋_GB2312" w:cs="Times New Roman"/>
          <w:b/>
          <w:bCs/>
          <w:color w:val="auto"/>
          <w:sz w:val="30"/>
          <w:szCs w:val="30"/>
          <w:highlight w:val="none"/>
        </w:rPr>
        <w:br w:type="page"/>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6" w:name="_Toc115080954"/>
      <w:bookmarkStart w:id="7" w:name="_Toc115080902"/>
      <w:bookmarkStart w:id="8" w:name="_Toc115081023"/>
      <w:r>
        <w:rPr>
          <w:rFonts w:hint="default" w:ascii="黑体" w:hAnsi="黑体" w:eastAsia="黑体" w:cs="黑体"/>
          <w:sz w:val="32"/>
          <w:szCs w:val="32"/>
        </w:rPr>
        <w:t>1 总则 </w:t>
      </w:r>
      <w:bookmarkEnd w:id="6"/>
      <w:bookmarkEnd w:id="7"/>
      <w:bookmarkEnd w:id="8"/>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9" w:name="_Toc115080955"/>
      <w:bookmarkStart w:id="10" w:name="_Toc115080903"/>
      <w:bookmarkStart w:id="11" w:name="_Toc115081024"/>
      <w:r>
        <w:rPr>
          <w:rFonts w:hint="eastAsia" w:ascii="楷体" w:hAnsi="楷体" w:eastAsia="楷体" w:cs="楷体"/>
          <w:b/>
          <w:bCs w:val="0"/>
          <w:color w:val="auto"/>
          <w:sz w:val="28"/>
          <w:szCs w:val="28"/>
          <w:highlight w:val="none"/>
        </w:rPr>
        <w:t>1.1编制目的</w:t>
      </w:r>
      <w:bookmarkEnd w:id="9"/>
      <w:bookmarkEnd w:id="10"/>
      <w:bookmarkEnd w:id="11"/>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为切实加强</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消防安全管理工作，预防和减少火灾事故的发生，提高处置突发消防安全事件的能力，最大限度地减少火灾带来的经济损失，保障公众的人身安全，维护人民群众的生命财产安全和社会稳定，特制定本预案。 </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12" w:name="_Toc115081025"/>
      <w:bookmarkStart w:id="13" w:name="_Toc115080956"/>
      <w:bookmarkStart w:id="14" w:name="_Toc115080904"/>
      <w:r>
        <w:rPr>
          <w:rFonts w:hint="eastAsia" w:ascii="楷体" w:hAnsi="楷体" w:eastAsia="楷体" w:cs="楷体"/>
          <w:b/>
          <w:bCs w:val="0"/>
          <w:color w:val="auto"/>
          <w:sz w:val="28"/>
          <w:szCs w:val="28"/>
          <w:highlight w:val="none"/>
        </w:rPr>
        <w:t>1.2编制依据 </w:t>
      </w:r>
      <w:bookmarkEnd w:id="12"/>
      <w:bookmarkEnd w:id="13"/>
      <w:bookmarkEnd w:id="14"/>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依据《中华人民共和国消防法》、《江苏省消防条例》和《江苏省突发事件总体应急预案》、《江苏省突发事件总体应急预案》、《苏州市突发事件总体应急预案》、《</w:t>
      </w:r>
      <w:r>
        <w:rPr>
          <w:rFonts w:hint="eastAsia" w:ascii="宋体" w:hAnsi="宋体" w:eastAsia="宋体" w:cs="宋体"/>
          <w:color w:val="auto"/>
          <w:sz w:val="28"/>
          <w:szCs w:val="28"/>
          <w:highlight w:val="none"/>
          <w:lang w:eastAsia="zh-CN"/>
        </w:rPr>
        <w:t>太仓市</w:t>
      </w:r>
      <w:r>
        <w:rPr>
          <w:rFonts w:hint="eastAsia" w:ascii="宋体" w:hAnsi="宋体" w:eastAsia="宋体" w:cs="宋体"/>
          <w:color w:val="auto"/>
          <w:sz w:val="28"/>
          <w:szCs w:val="28"/>
          <w:highlight w:val="none"/>
        </w:rPr>
        <w:t>突发事件总体应急预案》、《</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突发事件总体应急预案》等有关法律法规制定本预案。 </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15" w:name="_Toc115081026"/>
      <w:bookmarkStart w:id="16" w:name="_Toc115080957"/>
      <w:bookmarkStart w:id="17" w:name="_Toc115080905"/>
      <w:r>
        <w:rPr>
          <w:rFonts w:hint="eastAsia" w:ascii="楷体" w:hAnsi="楷体" w:eastAsia="楷体" w:cs="楷体"/>
          <w:b/>
          <w:bCs w:val="0"/>
          <w:color w:val="auto"/>
          <w:sz w:val="28"/>
          <w:szCs w:val="28"/>
          <w:highlight w:val="none"/>
        </w:rPr>
        <w:t>1.3适用范围 </w:t>
      </w:r>
      <w:bookmarkEnd w:id="15"/>
      <w:bookmarkEnd w:id="16"/>
      <w:bookmarkEnd w:id="17"/>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本预案适用于</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辖区内火灾事故的预防和处置。 </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18" w:name="_Toc115080958"/>
      <w:bookmarkStart w:id="19" w:name="_Toc115081027"/>
      <w:bookmarkStart w:id="20" w:name="_Toc115080906"/>
      <w:r>
        <w:rPr>
          <w:rFonts w:hint="eastAsia" w:ascii="楷体" w:hAnsi="楷体" w:eastAsia="楷体" w:cs="楷体"/>
          <w:b/>
          <w:bCs w:val="0"/>
          <w:color w:val="auto"/>
          <w:sz w:val="28"/>
          <w:szCs w:val="28"/>
          <w:highlight w:val="none"/>
        </w:rPr>
        <w:t>1.4工作原则 </w:t>
      </w:r>
      <w:bookmarkEnd w:id="18"/>
      <w:bookmarkEnd w:id="19"/>
      <w:bookmarkEnd w:id="20"/>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统一指挥，分级负责；以人为本，救人第一；规范程序，科学施救；预防为主，平战结合。</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21" w:name="_Toc115081028"/>
      <w:bookmarkStart w:id="22" w:name="_Toc115080907"/>
      <w:bookmarkStart w:id="23" w:name="_Toc115080959"/>
      <w:r>
        <w:rPr>
          <w:rFonts w:hint="eastAsia" w:ascii="楷体" w:hAnsi="楷体" w:eastAsia="楷体" w:cs="楷体"/>
          <w:b/>
          <w:bCs w:val="0"/>
          <w:color w:val="auto"/>
          <w:sz w:val="28"/>
          <w:szCs w:val="28"/>
          <w:highlight w:val="none"/>
        </w:rPr>
        <w:t>1.5事故分级 </w:t>
      </w:r>
      <w:bookmarkEnd w:id="21"/>
      <w:bookmarkEnd w:id="22"/>
      <w:bookmarkEnd w:id="23"/>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按照一次火灾所造成人员伤亡和直接经济损失金额将火灾事故划分为特别重大、重大、较大和一般火灾四类： </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（1）特别重大火灾是指造成30人以上死亡，或者100人以上重伤，或者1亿元以上直接财产损失的火灾； </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（2）重大火灾是指造成10人以上30人以下死亡，或者50人以上100人以下重伤，或者5000万元以上1亿元以下直接财产损失的火灾； </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（3）较大火灾是指造成3人以上10人以下死亡，或者10人以上50人以下重伤，或者1000万元以上5000万元以下直接财产损失的火灾； </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（4）一般火灾是指造成3人以下死亡，或者10人以下重伤，或者1000万元以下直接财产损失的火灾。</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本条所称的“以上”包括本数，所称的“以下”不包括本数。</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4" w:name="_Toc115081029"/>
      <w:bookmarkStart w:id="25" w:name="_Toc115080908"/>
      <w:bookmarkStart w:id="26" w:name="_Toc115080960"/>
      <w:r>
        <w:rPr>
          <w:rFonts w:hint="default" w:ascii="黑体" w:hAnsi="黑体" w:eastAsia="黑体" w:cs="黑体"/>
          <w:sz w:val="32"/>
          <w:szCs w:val="32"/>
        </w:rPr>
        <w:t>2 组织机构与职责</w:t>
      </w:r>
      <w:bookmarkEnd w:id="24"/>
      <w:bookmarkEnd w:id="25"/>
      <w:bookmarkEnd w:id="26"/>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27" w:name="_Toc115080909"/>
      <w:bookmarkStart w:id="28" w:name="_Toc115080961"/>
      <w:bookmarkStart w:id="29" w:name="_Toc115081030"/>
      <w:r>
        <w:rPr>
          <w:rFonts w:hint="eastAsia" w:ascii="楷体" w:hAnsi="楷体" w:eastAsia="楷体" w:cs="楷体"/>
          <w:b/>
          <w:bCs w:val="0"/>
          <w:color w:val="auto"/>
          <w:sz w:val="28"/>
          <w:szCs w:val="28"/>
          <w:highlight w:val="none"/>
        </w:rPr>
        <w:t>2.1应急指挥机构与职责</w:t>
      </w:r>
      <w:bookmarkEnd w:id="27"/>
      <w:bookmarkEnd w:id="28"/>
      <w:bookmarkEnd w:id="29"/>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镇政府</w:t>
      </w:r>
      <w:r>
        <w:rPr>
          <w:rFonts w:hint="eastAsia" w:ascii="宋体" w:hAnsi="宋体" w:eastAsia="宋体" w:cs="宋体"/>
          <w:color w:val="auto"/>
          <w:sz w:val="28"/>
          <w:szCs w:val="28"/>
          <w:highlight w:val="none"/>
        </w:rPr>
        <w:t>设立火灾应急救援指挥部(以下简称应急指挥部)，具体指挥协调火灾事故应急救援工作。</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总指挥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顾强</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副总指挥：钱宸</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其主要职责：</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（1）统一领导、协调指挥火灾事故应急救援工作，部署应急预案的实施，及时解决事故应急救援工作中出现的重大问题；</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（2）负责紧急调用事故应急救援所需的资金、物资、设备和人员，协调占用场地等事宜；</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（3）做好社会秩序稳定和伤亡人员善后处理以及生活、生产秩序恢复等工作；</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（4）建立火灾的信息发布制度，及时、准确、全面地发布信息。</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应急指挥部下设办公室（设在</w:t>
      </w:r>
      <w:r>
        <w:rPr>
          <w:rFonts w:hint="eastAsia" w:ascii="宋体" w:hAnsi="宋体" w:eastAsia="宋体" w:cs="宋体"/>
          <w:color w:val="auto"/>
          <w:sz w:val="28"/>
          <w:szCs w:val="28"/>
          <w:highlight w:val="none"/>
          <w:lang w:val="en-US" w:eastAsia="zh-CN"/>
        </w:rPr>
        <w:t>镇消安办</w:t>
      </w:r>
      <w:r>
        <w:rPr>
          <w:rFonts w:hint="eastAsia" w:ascii="宋体" w:hAnsi="宋体" w:eastAsia="宋体" w:cs="宋体"/>
          <w:color w:val="auto"/>
          <w:sz w:val="28"/>
          <w:szCs w:val="28"/>
          <w:highlight w:val="none"/>
        </w:rPr>
        <w:t>），作为其办事机构和火灾综合协调指挥机构，具体承担应急指挥部的日常工作。其主要职责：</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（1）执行应急指挥部的决定和指示</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负责全</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火灾应急工作的综合协调及相关组织管理工作；组织协调火灾应急救援工作；</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）组织熟悉本区域的道路、水源和单位情况以及灭火救援预案，掌握常见火灾及其他灾害事故的种类、特点及处置对策;</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）组织编制和管理</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处置火灾应急预案，综合监督、指导</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应急指挥部各成员单位应急管理工作；</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应急指挥部交办的其他工作。 </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30" w:name="_Toc115081031"/>
      <w:bookmarkStart w:id="31" w:name="_Toc115080910"/>
      <w:bookmarkStart w:id="32" w:name="_Toc115080962"/>
      <w:r>
        <w:rPr>
          <w:rFonts w:hint="eastAsia" w:ascii="楷体" w:hAnsi="楷体" w:eastAsia="楷体" w:cs="楷体"/>
          <w:b/>
          <w:bCs w:val="0"/>
          <w:color w:val="auto"/>
          <w:sz w:val="28"/>
          <w:szCs w:val="28"/>
          <w:highlight w:val="none"/>
        </w:rPr>
        <w:t>2.2应急救援工作组及职责</w:t>
      </w:r>
      <w:bookmarkEnd w:id="30"/>
      <w:bookmarkEnd w:id="31"/>
      <w:bookmarkEnd w:id="32"/>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火灾事故发生后，</w:t>
      </w:r>
      <w:r>
        <w:rPr>
          <w:rFonts w:hint="eastAsia" w:ascii="宋体" w:hAnsi="宋体" w:eastAsia="宋体" w:cs="宋体"/>
          <w:color w:val="auto"/>
          <w:sz w:val="28"/>
          <w:szCs w:val="28"/>
          <w:highlight w:val="none"/>
          <w:lang w:val="en-US" w:eastAsia="zh-CN"/>
        </w:rPr>
        <w:t>应急</w:t>
      </w:r>
      <w:r>
        <w:rPr>
          <w:rFonts w:hint="eastAsia" w:ascii="宋体" w:hAnsi="宋体" w:eastAsia="宋体" w:cs="宋体"/>
          <w:color w:val="auto"/>
          <w:sz w:val="28"/>
          <w:szCs w:val="28"/>
          <w:highlight w:val="none"/>
        </w:rPr>
        <w:t>指挥部根据火灾事故严重程度、涉及范围和灭火行动的需要，设立现场灭火指挥部。下设综合协调、治安警戒、新闻宣传、物资保障、善后处理、抢险救灾、医疗卫生和环境监测等应急救援工作组。</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（1）综合协调组</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牵头单位</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应急指挥部</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主要职责：接到事故报告后，立即通知</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火灾事故应急指挥部，指挥部办公室立即通知指挥长和相关的领导；负责弄清事故基本情况（即时间、地点、事故性质、受损情况等），在第一时间将突发事件情况报告</w:t>
      </w:r>
      <w:r>
        <w:rPr>
          <w:rFonts w:hint="eastAsia" w:ascii="宋体" w:hAnsi="宋体" w:eastAsia="宋体" w:cs="宋体"/>
          <w:color w:val="auto"/>
          <w:sz w:val="28"/>
          <w:szCs w:val="28"/>
          <w:highlight w:val="none"/>
          <w:lang w:eastAsia="zh-CN"/>
        </w:rPr>
        <w:t>太仓市政府</w:t>
      </w:r>
      <w:r>
        <w:rPr>
          <w:rFonts w:hint="eastAsia" w:ascii="宋体" w:hAnsi="宋体" w:eastAsia="宋体" w:cs="宋体"/>
          <w:color w:val="auto"/>
          <w:sz w:val="28"/>
          <w:szCs w:val="28"/>
          <w:highlight w:val="none"/>
        </w:rPr>
        <w:t>；组织协调实施上级部门救援方案、工作指示和批示；传达总指挥部命令，接收各组反馈情况，沟通各组之间联系；处置信息调度、汇总、上报，与</w:t>
      </w:r>
      <w:r>
        <w:rPr>
          <w:rFonts w:hint="eastAsia" w:ascii="宋体" w:hAnsi="宋体" w:eastAsia="宋体" w:cs="宋体"/>
          <w:color w:val="auto"/>
          <w:sz w:val="28"/>
          <w:szCs w:val="28"/>
          <w:highlight w:val="none"/>
          <w:lang w:eastAsia="zh-CN"/>
        </w:rPr>
        <w:t>上级指挥部</w:t>
      </w:r>
      <w:r>
        <w:rPr>
          <w:rFonts w:hint="eastAsia" w:ascii="宋体" w:hAnsi="宋体" w:eastAsia="宋体" w:cs="宋体"/>
          <w:color w:val="auto"/>
          <w:sz w:val="28"/>
          <w:szCs w:val="28"/>
          <w:highlight w:val="none"/>
        </w:rPr>
        <w:t>的协调联络等工作；组织所需物资和设备，确保现场应急救援需要；负责抢险救援证件发放；承担领导交办的其他工作。</w:t>
      </w:r>
    </w:p>
    <w:p>
      <w:pPr>
        <w:keepNext w:val="0"/>
        <w:keepLines w:val="0"/>
        <w:pageBreakBefore w:val="0"/>
        <w:widowControl w:val="0"/>
        <w:kinsoku/>
        <w:wordWrap/>
        <w:overflowPunct/>
        <w:topLinePunct w:val="0"/>
        <w:autoSpaceDE/>
        <w:autoSpaceDN/>
        <w:bidi w:val="0"/>
        <w:spacing w:line="500" w:lineRule="exact"/>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（2）治安警戒组</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牵头单位</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派出所、交警中队</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职责：负责制定交通应急措施；负责可疑区域现场封锁工作；负责保障应急处置车辆人员迅速抵达现场；协助抢险和强制群众撤离；防止群众私自返回火灾现场无序抢运设备、物资等；对肇事嫌疑人等有关人员采取监控措施，防止逃逸。负责社会稳定相关工作，做好群众信访接访；火灾扑灭后，要全面检查现场，消灭遗留火种，派人保护好火灾现场，并协助火灾事故调查工作；承担领导交办的其他工作。</w:t>
      </w:r>
    </w:p>
    <w:p>
      <w:pPr>
        <w:keepNext w:val="0"/>
        <w:keepLines w:val="0"/>
        <w:pageBreakBefore w:val="0"/>
        <w:widowControl w:val="0"/>
        <w:kinsoku/>
        <w:wordWrap/>
        <w:overflowPunct/>
        <w:topLinePunct w:val="0"/>
        <w:autoSpaceDE/>
        <w:autoSpaceDN/>
        <w:bidi w:val="0"/>
        <w:spacing w:line="500" w:lineRule="exact"/>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（3）抢险救灾组</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牵头单位</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城西消防救援站、派出所、交警中队、城厢供电所、综合行政执法局等</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职责：接到施救任务后，立即召集相关人员，带上施救设备，在第一时间内赶赴事故现场进行施救；到达现场后，迅速开展事故探测、组织指挥初起火灾扑救；负责立即切断火灾现场电源、易燃易爆气源及其他可能影响火势蔓延、扩大的危险源头；抢救伤员、疏散群众，施救过程中派出专门人员进行现场观察，排除险情，防止事故扩大化；掌握现场抢险救灾进度，及时预测事故发展变化趋势；指挥调动消防力量和装备进行增援；抢救完备后，再进行现场清理、人员清点、撤离。</w:t>
      </w:r>
    </w:p>
    <w:p>
      <w:pPr>
        <w:keepNext w:val="0"/>
        <w:keepLines w:val="0"/>
        <w:pageBreakBefore w:val="0"/>
        <w:widowControl w:val="0"/>
        <w:kinsoku/>
        <w:wordWrap/>
        <w:overflowPunct/>
        <w:topLinePunct w:val="0"/>
        <w:autoSpaceDE/>
        <w:autoSpaceDN/>
        <w:bidi w:val="0"/>
        <w:spacing w:line="500" w:lineRule="exact"/>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（4）新闻宣传组</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牵头单位</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党政办</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主要职责：组织协调新闻媒体及时报道火灾应急处置工作开展情况；积极正确引导舆论，及时澄清事实，处置不实言论；及时收集、整理和报送舆情监测等相关信息；承担领导交办的其他工作。</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（5）善后处理组</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牵头单位</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社会治理和社会事业局</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职责：做好对伤亡人员的身份确认和处置；落实专人负责接待受灾者及其亲属；落实用于接待伤亡人员家属的车辆和住宿；研究制订伤亡人员的补偿测算等善后处理方案，做好相应的安抚和政策解释工作，并及时向指挥部报告善后处理动态。</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（6）医疗卫生组</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牵头单位</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社会治理和社会事业局、城厢镇社区卫生服务中心</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主要职责：联系定点医院设立临时医疗点，协调外部医疗机构，为事故受伤人员、救援人员提供医疗保障服务；做好现场救援区域的防疫消毒；向受伤人员和受灾群众提供心理卫生咨询和帮助。</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33" w:name="_Toc115080911"/>
      <w:bookmarkStart w:id="34" w:name="_Toc115081032"/>
      <w:bookmarkStart w:id="35" w:name="_Toc115080963"/>
      <w:r>
        <w:rPr>
          <w:rFonts w:hint="default" w:ascii="黑体" w:hAnsi="黑体" w:eastAsia="黑体" w:cs="黑体"/>
          <w:sz w:val="32"/>
          <w:szCs w:val="32"/>
        </w:rPr>
        <w:t>3 监测与预防 </w:t>
      </w:r>
      <w:bookmarkEnd w:id="33"/>
      <w:bookmarkEnd w:id="34"/>
      <w:bookmarkEnd w:id="35"/>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36" w:name="_Toc115081033"/>
      <w:bookmarkStart w:id="37" w:name="_Toc115080912"/>
      <w:bookmarkStart w:id="38" w:name="_Toc115080964"/>
      <w:r>
        <w:rPr>
          <w:rFonts w:hint="eastAsia" w:ascii="楷体" w:hAnsi="楷体" w:eastAsia="楷体" w:cs="楷体"/>
          <w:b/>
          <w:bCs w:val="0"/>
          <w:color w:val="auto"/>
          <w:sz w:val="28"/>
          <w:szCs w:val="28"/>
          <w:highlight w:val="none"/>
        </w:rPr>
        <w:t>3.1火点监测 </w:t>
      </w:r>
      <w:bookmarkEnd w:id="36"/>
      <w:bookmarkEnd w:id="37"/>
      <w:bookmarkEnd w:id="38"/>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shd w:val="clear" w:color="auto" w:fill="FFFFFF"/>
        </w:rPr>
        <w:t>各</w:t>
      </w:r>
      <w:r>
        <w:rPr>
          <w:rFonts w:hint="eastAsia" w:ascii="宋体" w:hAnsi="宋体" w:eastAsia="宋体" w:cs="宋体"/>
          <w:color w:val="auto"/>
          <w:sz w:val="28"/>
          <w:szCs w:val="28"/>
          <w:highlight w:val="none"/>
          <w:shd w:val="clear" w:color="auto" w:fill="FFFFFF"/>
          <w:lang w:val="en-US" w:eastAsia="zh-CN"/>
        </w:rPr>
        <w:t>村（</w:t>
      </w:r>
      <w:r>
        <w:rPr>
          <w:rFonts w:hint="eastAsia" w:ascii="宋体" w:hAnsi="宋体" w:eastAsia="宋体" w:cs="宋体"/>
          <w:color w:val="auto"/>
          <w:sz w:val="28"/>
          <w:szCs w:val="28"/>
          <w:highlight w:val="none"/>
          <w:shd w:val="clear" w:color="auto" w:fill="FFFFFF"/>
        </w:rPr>
        <w:t>社区</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rPr>
        <w:t>、企事业单位必须建立严格的值班制度，保证24小时值班，迅速、准确受理火灾报警，并及时发出相应指令。</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任何人发现火灾时，都应当立即报警。任何单位及个人都应当无偿为报警提供便利，不得阻拦报警，严禁谎报火警。</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39" w:name="_Toc115080913"/>
      <w:bookmarkStart w:id="40" w:name="_Toc115081034"/>
      <w:bookmarkStart w:id="41" w:name="_Toc115080965"/>
      <w:r>
        <w:rPr>
          <w:rFonts w:hint="eastAsia" w:ascii="楷体" w:hAnsi="楷体" w:eastAsia="楷体" w:cs="楷体"/>
          <w:b/>
          <w:bCs w:val="0"/>
          <w:color w:val="auto"/>
          <w:sz w:val="28"/>
          <w:szCs w:val="28"/>
          <w:highlight w:val="none"/>
        </w:rPr>
        <w:t>3.2火灾预防 </w:t>
      </w:r>
      <w:bookmarkEnd w:id="39"/>
      <w:bookmarkEnd w:id="40"/>
      <w:bookmarkEnd w:id="41"/>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要将包括消防安全布局、消防站、消防供水、消防通信、消防车通道、消防装备等内容的消防规划纳入城市总体规划。公共消防设施、消防装备不足或不适应实际需要的，要增建、改建、配置或进行技术改造，不断提高火灾防控能力。</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各村（社区）、企事业单位</w:t>
      </w:r>
      <w:r>
        <w:rPr>
          <w:rFonts w:hint="eastAsia" w:ascii="宋体" w:hAnsi="宋体" w:eastAsia="宋体" w:cs="宋体"/>
          <w:color w:val="auto"/>
          <w:sz w:val="28"/>
          <w:szCs w:val="28"/>
          <w:highlight w:val="none"/>
        </w:rPr>
        <w:t>以及各微型消防站每周定期开展消防巡查、检查，充分掌握本单位、场所内的消防基本情况和日常管理情况。各微型消防站并成立互查队，对互联互查单位至少开展一次全面检查，详细记录检查情况并让被检查单位相关负责人签字确认，存档备查，对发现无法当场整改的隐患书面报告消防部门，由消防部门审核确定后，下发相应的法律文书责令整改。</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42" w:name="_Toc115080966"/>
      <w:bookmarkStart w:id="43" w:name="_Toc115080914"/>
      <w:bookmarkStart w:id="44" w:name="_Toc115081035"/>
      <w:r>
        <w:rPr>
          <w:rFonts w:hint="eastAsia" w:ascii="楷体" w:hAnsi="楷体" w:eastAsia="楷体" w:cs="楷体"/>
          <w:b/>
          <w:bCs w:val="0"/>
          <w:color w:val="auto"/>
          <w:sz w:val="28"/>
          <w:szCs w:val="28"/>
          <w:highlight w:val="none"/>
        </w:rPr>
        <w:t>3.3 预警</w:t>
      </w:r>
      <w:bookmarkEnd w:id="42"/>
      <w:bookmarkEnd w:id="43"/>
      <w:bookmarkEnd w:id="44"/>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eastAsia="宋体" w:cs="宋体"/>
          <w:color w:val="auto"/>
          <w:sz w:val="28"/>
          <w:szCs w:val="28"/>
          <w:highlight w:val="none"/>
          <w:lang w:val="en-US" w:eastAsia="zh-CN"/>
        </w:rPr>
        <w:t>上级部门</w:t>
      </w:r>
      <w:r>
        <w:rPr>
          <w:rFonts w:hint="eastAsia" w:ascii="宋体" w:hAnsi="宋体" w:eastAsia="宋体" w:cs="宋体"/>
          <w:color w:val="auto"/>
          <w:sz w:val="28"/>
          <w:szCs w:val="28"/>
          <w:highlight w:val="none"/>
        </w:rPr>
        <w:t>发布的预警信息及时向</w:t>
      </w:r>
      <w:r>
        <w:rPr>
          <w:rFonts w:hint="eastAsia" w:ascii="宋体" w:hAnsi="宋体" w:eastAsia="宋体" w:cs="宋体"/>
          <w:color w:val="auto"/>
          <w:sz w:val="28"/>
          <w:szCs w:val="28"/>
          <w:highlight w:val="none"/>
          <w:lang w:val="en-US" w:eastAsia="zh-CN"/>
        </w:rPr>
        <w:t>村（</w:t>
      </w:r>
      <w:r>
        <w:rPr>
          <w:rFonts w:hint="eastAsia" w:ascii="宋体" w:hAnsi="宋体" w:eastAsia="宋体" w:cs="宋体"/>
          <w:color w:val="auto"/>
          <w:sz w:val="28"/>
          <w:szCs w:val="28"/>
          <w:highlight w:val="none"/>
        </w:rPr>
        <w:t>社区</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、企事业单位传达，并依托互联网、显示屏和移动通信网络，向可能遭受突发事件影响的用户进行预警信息发布，提供防御应对指南。</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预警信息内容要求准确、简练，包括发布主体、发布时间、事件类别、起始时间、影响范围、预警级别、警示措施、事态发展、咨询电话等。</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45" w:name="_Toc115081036"/>
      <w:bookmarkStart w:id="46" w:name="_Toc115080967"/>
      <w:bookmarkStart w:id="47" w:name="_Toc115080915"/>
      <w:r>
        <w:rPr>
          <w:rFonts w:hint="eastAsia" w:ascii="楷体" w:hAnsi="楷体" w:eastAsia="楷体" w:cs="楷体"/>
          <w:b/>
          <w:bCs w:val="0"/>
          <w:color w:val="auto"/>
          <w:sz w:val="28"/>
          <w:szCs w:val="28"/>
          <w:highlight w:val="none"/>
        </w:rPr>
        <w:t>3.4预警调整与解除</w:t>
      </w:r>
      <w:bookmarkEnd w:id="45"/>
      <w:bookmarkEnd w:id="46"/>
      <w:bookmarkEnd w:id="47"/>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火灾事故已经发生级别变化的，根据</w:t>
      </w:r>
      <w:r>
        <w:rPr>
          <w:rFonts w:hint="eastAsia" w:ascii="宋体" w:hAnsi="宋体" w:eastAsia="宋体" w:cs="宋体"/>
          <w:color w:val="auto"/>
          <w:sz w:val="28"/>
          <w:szCs w:val="28"/>
          <w:highlight w:val="none"/>
          <w:lang w:eastAsia="zh-CN"/>
        </w:rPr>
        <w:t>上级部门</w:t>
      </w:r>
      <w:r>
        <w:rPr>
          <w:rFonts w:hint="eastAsia" w:ascii="宋体" w:hAnsi="宋体" w:eastAsia="宋体" w:cs="宋体"/>
          <w:color w:val="auto"/>
          <w:sz w:val="28"/>
          <w:szCs w:val="28"/>
          <w:highlight w:val="none"/>
        </w:rPr>
        <w:t>宣布的预警调整；有事实证明不可能发生生产安全事故或者危险已经解除的，</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指挥部根据</w:t>
      </w:r>
      <w:r>
        <w:rPr>
          <w:rFonts w:hint="eastAsia" w:ascii="宋体" w:hAnsi="宋体" w:eastAsia="宋体" w:cs="宋体"/>
          <w:color w:val="auto"/>
          <w:sz w:val="28"/>
          <w:szCs w:val="28"/>
          <w:highlight w:val="none"/>
          <w:lang w:val="en-US" w:eastAsia="zh-CN"/>
        </w:rPr>
        <w:t>上级</w:t>
      </w:r>
      <w:r>
        <w:rPr>
          <w:rFonts w:hint="eastAsia" w:ascii="宋体" w:hAnsi="宋体" w:eastAsia="宋体" w:cs="宋体"/>
          <w:color w:val="auto"/>
          <w:sz w:val="28"/>
          <w:szCs w:val="28"/>
          <w:highlight w:val="none"/>
        </w:rPr>
        <w:t>主管部门发布的预警解除相关要求执行预警解除。</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48" w:name="_Toc115080968"/>
      <w:bookmarkStart w:id="49" w:name="_Toc115080916"/>
      <w:bookmarkStart w:id="50" w:name="_Toc115081037"/>
      <w:r>
        <w:rPr>
          <w:rFonts w:hint="default" w:ascii="黑体" w:hAnsi="黑体" w:eastAsia="黑体" w:cs="黑体"/>
          <w:sz w:val="32"/>
          <w:szCs w:val="32"/>
        </w:rPr>
        <w:t>4 应急响应 </w:t>
      </w:r>
      <w:bookmarkEnd w:id="48"/>
      <w:bookmarkEnd w:id="49"/>
      <w:bookmarkEnd w:id="50"/>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51" w:name="_Toc115080917"/>
      <w:bookmarkStart w:id="52" w:name="_Toc115081038"/>
      <w:bookmarkStart w:id="53" w:name="_Toc115080969"/>
      <w:r>
        <w:rPr>
          <w:rFonts w:hint="eastAsia" w:ascii="楷体" w:hAnsi="楷体" w:eastAsia="楷体" w:cs="楷体"/>
          <w:b/>
          <w:bCs w:val="0"/>
          <w:color w:val="auto"/>
          <w:sz w:val="28"/>
          <w:szCs w:val="28"/>
          <w:highlight w:val="none"/>
        </w:rPr>
        <w:t>4.1信息报告 </w:t>
      </w:r>
      <w:bookmarkEnd w:id="51"/>
      <w:bookmarkEnd w:id="52"/>
      <w:bookmarkEnd w:id="53"/>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火灾事故发生，事发地负责人应立即向公安110指挥中心或者消防119指挥中心或者所在社区、有关部门报告，要准确报告起火地点、起火部位、起火物、火势大小、被困人员情况、报警人、报警单位等相关内容。报警完毕后，派人到主要路口或约定地点接引消防车进入火灾现场等相关措施。有关部门接到报告后应立即核实事故有关情况报</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应急指挥部办公室。同时，按规定上报</w:t>
      </w:r>
      <w:r>
        <w:rPr>
          <w:rFonts w:hint="eastAsia" w:ascii="宋体" w:hAnsi="宋体" w:eastAsia="宋体" w:cs="宋体"/>
          <w:color w:val="auto"/>
          <w:sz w:val="28"/>
          <w:szCs w:val="28"/>
          <w:highlight w:val="none"/>
          <w:lang w:eastAsia="zh-CN"/>
        </w:rPr>
        <w:t>太仓市政府</w:t>
      </w:r>
      <w:r>
        <w:rPr>
          <w:rFonts w:hint="eastAsia" w:ascii="宋体" w:hAnsi="宋体" w:eastAsia="宋体" w:cs="宋体"/>
          <w:color w:val="auto"/>
          <w:sz w:val="28"/>
          <w:szCs w:val="28"/>
          <w:highlight w:val="none"/>
        </w:rPr>
        <w:t>和太仓市应急局。紧急情况下，可越级上报。</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54" w:name="_Toc115081039"/>
      <w:r>
        <w:rPr>
          <w:rFonts w:hint="eastAsia" w:ascii="楷体" w:hAnsi="楷体" w:eastAsia="楷体" w:cs="楷体"/>
          <w:b/>
          <w:bCs w:val="0"/>
          <w:color w:val="auto"/>
          <w:sz w:val="28"/>
          <w:szCs w:val="28"/>
          <w:highlight w:val="none"/>
        </w:rPr>
        <w:t>4.2先期处置</w:t>
      </w:r>
      <w:bookmarkEnd w:id="54"/>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当班值班人员或现场人员发现火情后，应立即采取应急措施，切断与火灾相关的电源与气源，及时组织救援，尽可能控制火灾蔓延、扩大，严防滋生火灾的发生，迅速抢救受伤和受困人员。不能立即扑灭的，要立即报警。</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现场灭火指挥部负责组织采取各种现场安全防护措施。根据事故具体情况，明确群众安全防护的必要措施，决定应急状态下群众疏散的范围、方式、程序并组织实施。因抢救伤员、防止事故扩大以及疏散交通等原因需要移动现场物件时必须做出标志，拍照、详细记录和绘制事故现场图，并妥善保存现场重要痕迹、物证等。</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接到所辖范围发生事故报告后，应立即启动本级消防事故应急救援预案，并开展救援指挥调度工作。各级应急救援组织接到</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应急救援现场指挥部下达的出动命令后，迅速组织好救援队伍、救援装备和物资奔赴事故发生地，根据各自的职责和相应的应急预案，开展施救工作。</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派出所负责设置事故现场警戒，实施交通管制，疏散现场无关人员，防止事故扩大、蔓延和造成其他人员伤害。 </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社区卫生服务中心负责组织医疗人员对事故伤亡人员的紧急医疗救护和卫生防疫。参加现场应急救援的人员，必须按规定着装并配戴明显标识，加强个人安全防护。</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55" w:name="_Toc115080970"/>
      <w:bookmarkStart w:id="56" w:name="_Toc115081040"/>
      <w:bookmarkStart w:id="57" w:name="_Toc115080918"/>
      <w:r>
        <w:rPr>
          <w:rFonts w:hint="eastAsia" w:ascii="楷体" w:hAnsi="楷体" w:eastAsia="楷体" w:cs="楷体"/>
          <w:b/>
          <w:bCs w:val="0"/>
          <w:color w:val="auto"/>
          <w:sz w:val="28"/>
          <w:szCs w:val="28"/>
          <w:highlight w:val="none"/>
        </w:rPr>
        <w:t>4.3应急结束 </w:t>
      </w:r>
      <w:bookmarkEnd w:id="55"/>
      <w:bookmarkEnd w:id="56"/>
      <w:bookmarkEnd w:id="57"/>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火灾</w:t>
      </w:r>
      <w:r>
        <w:rPr>
          <w:rFonts w:hint="eastAsia" w:ascii="宋体" w:hAnsi="宋体" w:eastAsia="宋体" w:cs="宋体"/>
          <w:color w:val="auto"/>
          <w:sz w:val="28"/>
          <w:szCs w:val="28"/>
          <w:highlight w:val="none"/>
        </w:rPr>
        <w:t>事故已经发生级别变化的，根据</w:t>
      </w:r>
      <w:r>
        <w:rPr>
          <w:rFonts w:hint="eastAsia" w:ascii="宋体" w:hAnsi="宋体" w:eastAsia="宋体" w:cs="宋体"/>
          <w:color w:val="auto"/>
          <w:sz w:val="28"/>
          <w:szCs w:val="28"/>
          <w:highlight w:val="none"/>
          <w:lang w:eastAsia="zh-CN"/>
        </w:rPr>
        <w:t>上级部门</w:t>
      </w:r>
      <w:r>
        <w:rPr>
          <w:rFonts w:hint="eastAsia" w:ascii="宋体" w:hAnsi="宋体" w:eastAsia="宋体" w:cs="宋体"/>
          <w:color w:val="auto"/>
          <w:sz w:val="28"/>
          <w:szCs w:val="28"/>
          <w:highlight w:val="none"/>
        </w:rPr>
        <w:t>宣布的预警调整；有事实证明不可能发生生产安全事故或者危险已经解除的，</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指挥部根据</w:t>
      </w:r>
      <w:r>
        <w:rPr>
          <w:rFonts w:hint="eastAsia" w:ascii="宋体" w:hAnsi="宋体" w:eastAsia="宋体" w:cs="宋体"/>
          <w:color w:val="auto"/>
          <w:sz w:val="28"/>
          <w:szCs w:val="28"/>
          <w:highlight w:val="none"/>
          <w:lang w:val="en-US" w:eastAsia="zh-CN"/>
        </w:rPr>
        <w:t>上级</w:t>
      </w:r>
      <w:r>
        <w:rPr>
          <w:rFonts w:hint="eastAsia" w:ascii="宋体" w:hAnsi="宋体" w:eastAsia="宋体" w:cs="宋体"/>
          <w:color w:val="auto"/>
          <w:sz w:val="28"/>
          <w:szCs w:val="28"/>
          <w:highlight w:val="none"/>
        </w:rPr>
        <w:t>主管部门发布的预警解除相关要求执行预警解除。 </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58" w:name="_Toc115080919"/>
      <w:bookmarkStart w:id="59" w:name="_Toc115081041"/>
      <w:bookmarkStart w:id="60" w:name="_Toc115080971"/>
      <w:r>
        <w:rPr>
          <w:rFonts w:hint="eastAsia" w:ascii="楷体" w:hAnsi="楷体" w:eastAsia="楷体" w:cs="楷体"/>
          <w:b/>
          <w:bCs w:val="0"/>
          <w:color w:val="auto"/>
          <w:sz w:val="28"/>
          <w:szCs w:val="28"/>
          <w:highlight w:val="none"/>
        </w:rPr>
        <w:t>4.4善后处置 </w:t>
      </w:r>
      <w:bookmarkEnd w:id="58"/>
      <w:bookmarkEnd w:id="59"/>
      <w:bookmarkEnd w:id="60"/>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对在火灾中造成的伤亡人员及时进行医疗救助或按规定给予抚恤，对造成生产生活困难的群众进行妥善安置，对紧急调集、征用的人力、物力按照规定给予补偿，尽快恢复现场的社会秩序。</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事故调查应严格按照《中华人民共和国生产安全法》《生产安全事故报告和调查处理条例》等法律法规规定进行。</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61" w:name="_Toc115081042"/>
      <w:bookmarkStart w:id="62" w:name="_Toc115080972"/>
      <w:bookmarkStart w:id="63" w:name="_Toc115080920"/>
      <w:r>
        <w:rPr>
          <w:rFonts w:hint="default" w:ascii="黑体" w:hAnsi="黑体" w:eastAsia="黑体" w:cs="黑体"/>
          <w:sz w:val="32"/>
          <w:szCs w:val="32"/>
        </w:rPr>
        <w:t>5 应急保障 </w:t>
      </w:r>
      <w:bookmarkEnd w:id="61"/>
      <w:bookmarkEnd w:id="62"/>
      <w:bookmarkEnd w:id="63"/>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64" w:name="_Toc115080921"/>
      <w:bookmarkStart w:id="65" w:name="_Toc115080973"/>
      <w:bookmarkStart w:id="66" w:name="_Toc115081043"/>
      <w:r>
        <w:rPr>
          <w:rFonts w:hint="eastAsia" w:ascii="楷体" w:hAnsi="楷体" w:eastAsia="楷体" w:cs="楷体"/>
          <w:b/>
          <w:bCs w:val="0"/>
          <w:color w:val="auto"/>
          <w:sz w:val="28"/>
          <w:szCs w:val="28"/>
          <w:highlight w:val="none"/>
        </w:rPr>
        <w:t>5.1通信保障 </w:t>
      </w:r>
      <w:bookmarkEnd w:id="64"/>
      <w:bookmarkEnd w:id="65"/>
      <w:bookmarkEnd w:id="66"/>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default" w:ascii="Times New Roman" w:hAnsi="Times New Roman" w:eastAsia="方正仿宋_GB2312" w:cs="Times New Roman"/>
          <w:color w:val="auto"/>
          <w:sz w:val="32"/>
          <w:szCs w:val="32"/>
          <w:highlight w:val="none"/>
          <w:shd w:val="clear" w:color="auto" w:fill="FFFFFF"/>
        </w:rPr>
      </w:pPr>
      <w:r>
        <w:rPr>
          <w:rFonts w:hint="eastAsia" w:ascii="宋体" w:hAnsi="宋体" w:eastAsia="宋体" w:cs="宋体"/>
          <w:color w:val="auto"/>
          <w:sz w:val="28"/>
          <w:szCs w:val="28"/>
          <w:highlight w:val="none"/>
        </w:rPr>
        <w:t>依托</w:t>
      </w:r>
      <w:r>
        <w:rPr>
          <w:rFonts w:hint="eastAsia" w:ascii="宋体" w:hAnsi="宋体" w:eastAsia="宋体" w:cs="宋体"/>
          <w:color w:val="auto"/>
          <w:sz w:val="28"/>
          <w:szCs w:val="28"/>
          <w:highlight w:val="none"/>
          <w:lang w:val="en-US" w:eastAsia="zh-CN"/>
        </w:rPr>
        <w:t>城厢镇应急指挥中心</w:t>
      </w:r>
      <w:r>
        <w:rPr>
          <w:rFonts w:hint="eastAsia" w:ascii="宋体" w:hAnsi="宋体" w:eastAsia="宋体" w:cs="宋体"/>
          <w:color w:val="auto"/>
          <w:sz w:val="28"/>
          <w:szCs w:val="28"/>
          <w:highlight w:val="none"/>
        </w:rPr>
        <w:t>对城市宏观消防安全态势、资源分布、事件告警、消防设施状态进行实时监控，辅助管理人员保障</w:t>
      </w:r>
      <w:r>
        <w:rPr>
          <w:rFonts w:hint="eastAsia" w:ascii="宋体" w:hAnsi="宋体" w:eastAsia="宋体" w:cs="宋体"/>
          <w:color w:val="auto"/>
          <w:sz w:val="28"/>
          <w:szCs w:val="28"/>
          <w:highlight w:val="none"/>
          <w:lang w:eastAsia="zh-CN"/>
        </w:rPr>
        <w:t>城厢镇</w:t>
      </w:r>
      <w:r>
        <w:rPr>
          <w:rFonts w:hint="eastAsia" w:ascii="宋体" w:hAnsi="宋体" w:eastAsia="宋体" w:cs="宋体"/>
          <w:color w:val="auto"/>
          <w:sz w:val="28"/>
          <w:szCs w:val="28"/>
          <w:highlight w:val="none"/>
        </w:rPr>
        <w:t>各区域消防安全。组织协调通信管理部门应组织、协调有关电信运营企业做好应急处置行动过程中的通信保障。 </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67" w:name="_Toc115081044"/>
      <w:bookmarkStart w:id="68" w:name="_Toc115080974"/>
      <w:bookmarkStart w:id="69" w:name="_Toc115080922"/>
      <w:r>
        <w:rPr>
          <w:rFonts w:hint="eastAsia" w:ascii="楷体" w:hAnsi="楷体" w:eastAsia="楷体" w:cs="楷体"/>
          <w:b/>
          <w:bCs w:val="0"/>
          <w:color w:val="auto"/>
          <w:sz w:val="28"/>
          <w:szCs w:val="28"/>
          <w:highlight w:val="none"/>
        </w:rPr>
        <w:t>5.2力量和装备保障 </w:t>
      </w:r>
      <w:bookmarkEnd w:id="67"/>
      <w:bookmarkEnd w:id="68"/>
      <w:bookmarkEnd w:id="69"/>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消防中队、派出所、交警中队、卫生服务站为救援骨干力量，负责抢险救援装备、技术、个体防护和伤员救治的支持。综合执法大队为二线增援力量。社会救援力量为救援后备力量。 </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70" w:name="_Toc115081045"/>
      <w:bookmarkStart w:id="71" w:name="_Toc115080975"/>
      <w:bookmarkStart w:id="72" w:name="_Toc115080923"/>
      <w:r>
        <w:rPr>
          <w:rFonts w:hint="default" w:ascii="黑体" w:hAnsi="黑体" w:eastAsia="黑体" w:cs="黑体"/>
          <w:sz w:val="32"/>
          <w:szCs w:val="32"/>
        </w:rPr>
        <w:t>6 宣传、培训与演练 </w:t>
      </w:r>
      <w:bookmarkEnd w:id="70"/>
      <w:bookmarkEnd w:id="71"/>
      <w:bookmarkEnd w:id="72"/>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73" w:name="_Toc115080924"/>
      <w:bookmarkStart w:id="74" w:name="_Toc115081046"/>
      <w:bookmarkStart w:id="75" w:name="_Toc115080976"/>
      <w:r>
        <w:rPr>
          <w:rFonts w:hint="eastAsia" w:ascii="楷体" w:hAnsi="楷体" w:eastAsia="楷体" w:cs="楷体"/>
          <w:b/>
          <w:bCs w:val="0"/>
          <w:color w:val="auto"/>
          <w:sz w:val="28"/>
          <w:szCs w:val="28"/>
          <w:highlight w:val="none"/>
        </w:rPr>
        <w:t>6.1宣传 </w:t>
      </w:r>
      <w:bookmarkEnd w:id="73"/>
      <w:bookmarkEnd w:id="74"/>
      <w:bookmarkEnd w:id="75"/>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积极协调社会单位楼宇电视、户外视频、电子显示屏、车载电视等新兴媒体，多频次、高密度播放趣味性强、警醒力高的消防公益广告和提示字幕。</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依托“消防安全主题公园”把消防安全宣传阵地“建到小区里，设在群众中”，将小区景观、休闲设施和消防安全知识有机结合，使消防宣传融入居民日常生活中</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76" w:name="_Toc115080977"/>
      <w:bookmarkStart w:id="77" w:name="_Toc115081047"/>
      <w:bookmarkStart w:id="78" w:name="_Toc115080925"/>
      <w:r>
        <w:rPr>
          <w:rFonts w:hint="eastAsia" w:ascii="楷体" w:hAnsi="楷体" w:eastAsia="楷体" w:cs="楷体"/>
          <w:b/>
          <w:bCs w:val="0"/>
          <w:color w:val="auto"/>
          <w:sz w:val="28"/>
          <w:szCs w:val="28"/>
          <w:highlight w:val="none"/>
        </w:rPr>
        <w:t>6.2培训 </w:t>
      </w:r>
      <w:bookmarkEnd w:id="76"/>
      <w:bookmarkEnd w:id="77"/>
      <w:bookmarkEnd w:id="78"/>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加大对辖区社会单位的消防宣传培训力度，尤其是宾馆业、餐饮业、旅游业以及人员密集场所、公共娱乐场所员工的消防安全培训。经常组织、指导火灾事故专业救援队伍、专职（义务）消防力量的培训，提高队伍综合素质和灭火救援能力。 </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79" w:name="_Toc115081048"/>
      <w:bookmarkStart w:id="80" w:name="_Toc115080926"/>
      <w:bookmarkStart w:id="81" w:name="_Toc115080978"/>
      <w:r>
        <w:rPr>
          <w:rFonts w:hint="eastAsia" w:ascii="楷体" w:hAnsi="楷体" w:eastAsia="楷体" w:cs="楷体"/>
          <w:b/>
          <w:bCs w:val="0"/>
          <w:color w:val="auto"/>
          <w:sz w:val="28"/>
          <w:szCs w:val="28"/>
          <w:highlight w:val="none"/>
        </w:rPr>
        <w:t>6.3演练 </w:t>
      </w:r>
      <w:bookmarkEnd w:id="79"/>
      <w:bookmarkEnd w:id="80"/>
      <w:bookmarkEnd w:id="81"/>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各</w:t>
      </w:r>
      <w:r>
        <w:rPr>
          <w:rFonts w:hint="eastAsia" w:ascii="宋体" w:hAnsi="宋体" w:eastAsia="宋体" w:cs="宋体"/>
          <w:color w:val="auto"/>
          <w:sz w:val="28"/>
          <w:szCs w:val="28"/>
          <w:highlight w:val="none"/>
          <w:lang w:val="en-US" w:eastAsia="zh-CN"/>
        </w:rPr>
        <w:t>村（</w:t>
      </w:r>
      <w:r>
        <w:rPr>
          <w:rFonts w:hint="eastAsia" w:ascii="宋体" w:hAnsi="宋体" w:eastAsia="宋体" w:cs="宋体"/>
          <w:color w:val="auto"/>
          <w:sz w:val="28"/>
          <w:szCs w:val="28"/>
          <w:highlight w:val="none"/>
        </w:rPr>
        <w:t>社区</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、有关部门和企事业单位要协调相关单位，适时组织火灾事故救援演练。对发现的问题及时采取措施予以解决，不断充实和完善预案。 </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82" w:name="_Toc115080927"/>
      <w:bookmarkStart w:id="83" w:name="_Toc115081049"/>
      <w:bookmarkStart w:id="84" w:name="_Toc115080979"/>
      <w:r>
        <w:rPr>
          <w:rFonts w:hint="default" w:ascii="黑体" w:hAnsi="黑体" w:eastAsia="黑体" w:cs="黑体"/>
          <w:sz w:val="32"/>
          <w:szCs w:val="32"/>
        </w:rPr>
        <w:t>7 附则 </w:t>
      </w:r>
      <w:bookmarkEnd w:id="82"/>
      <w:bookmarkEnd w:id="83"/>
      <w:bookmarkEnd w:id="84"/>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85" w:name="_Toc115081050"/>
      <w:bookmarkStart w:id="86" w:name="_Toc115080980"/>
      <w:bookmarkStart w:id="87" w:name="_Toc115080928"/>
      <w:r>
        <w:rPr>
          <w:rFonts w:hint="eastAsia" w:ascii="楷体" w:hAnsi="楷体" w:eastAsia="楷体" w:cs="楷体"/>
          <w:b/>
          <w:bCs w:val="0"/>
          <w:color w:val="auto"/>
          <w:sz w:val="28"/>
          <w:szCs w:val="28"/>
          <w:highlight w:val="none"/>
        </w:rPr>
        <w:t>7.1奖励与责任 </w:t>
      </w:r>
      <w:bookmarkEnd w:id="85"/>
      <w:bookmarkEnd w:id="86"/>
      <w:bookmarkEnd w:id="87"/>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对在实施较大、重大、特别重大火灾事故应急处置行动中反应迅速、表现突出、处置果断、决策正确的单位和个人，依据相关规定给予表彰奖励。因玩忽职守、贻误时机造成严重后果的，依据有关法律法规和规定，追究有关单位负责人和相关责任人的责任。 </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bookmarkStart w:id="88" w:name="_Toc115080981"/>
      <w:bookmarkStart w:id="89" w:name="_Toc115080929"/>
      <w:bookmarkStart w:id="90" w:name="_Toc115081051"/>
      <w:r>
        <w:rPr>
          <w:rFonts w:hint="eastAsia" w:ascii="楷体" w:hAnsi="楷体" w:eastAsia="楷体" w:cs="楷体"/>
          <w:b/>
          <w:bCs w:val="0"/>
          <w:color w:val="auto"/>
          <w:sz w:val="28"/>
          <w:szCs w:val="28"/>
          <w:highlight w:val="none"/>
        </w:rPr>
        <w:t>7.2实施时间 </w:t>
      </w:r>
      <w:bookmarkEnd w:id="88"/>
      <w:bookmarkEnd w:id="89"/>
      <w:bookmarkEnd w:id="90"/>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本预案自印发之日起实施。 </w:t>
      </w:r>
    </w:p>
    <w:p>
      <w:pPr>
        <w:rPr>
          <w:rFonts w:hint="default" w:ascii="Times New Roman" w:hAnsi="Times New Roman" w:eastAsia="方正仿宋_GB2312" w:cs="Times New Roman"/>
          <w:b/>
          <w:bCs/>
          <w:color w:val="auto"/>
          <w:sz w:val="30"/>
          <w:szCs w:val="30"/>
          <w:highlight w:val="none"/>
        </w:rPr>
      </w:pPr>
      <w:bookmarkStart w:id="91" w:name="_Toc115081052"/>
      <w:bookmarkStart w:id="92" w:name="_Toc115080930"/>
      <w:bookmarkStart w:id="93" w:name="_Toc115080982"/>
      <w:bookmarkStart w:id="94" w:name="_Hlk81283790"/>
      <w:r>
        <w:rPr>
          <w:rFonts w:hint="default" w:ascii="Times New Roman" w:hAnsi="Times New Roman" w:eastAsia="方正仿宋_GB2312" w:cs="Times New Roman"/>
          <w:b/>
          <w:bCs/>
          <w:color w:val="auto"/>
          <w:sz w:val="30"/>
          <w:szCs w:val="30"/>
          <w:highlight w:val="none"/>
        </w:rPr>
        <w:br w:type="page"/>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r>
        <w:rPr>
          <w:rFonts w:hint="default" w:ascii="黑体" w:hAnsi="黑体" w:eastAsia="黑体" w:cs="黑体"/>
          <w:sz w:val="32"/>
          <w:szCs w:val="32"/>
        </w:rPr>
        <w:t>8 附件</w:t>
      </w:r>
      <w:bookmarkEnd w:id="91"/>
      <w:bookmarkEnd w:id="92"/>
      <w:bookmarkEnd w:id="93"/>
    </w:p>
    <w:bookmarkEnd w:id="94"/>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lang w:val="en-US" w:eastAsia="zh-CN"/>
        </w:rPr>
      </w:pPr>
      <w:bookmarkStart w:id="95" w:name="_Hlk81041450"/>
      <w:bookmarkEnd w:id="95"/>
      <w:r>
        <w:rPr>
          <w:rFonts w:hint="eastAsia" w:ascii="楷体" w:hAnsi="楷体" w:eastAsia="楷体" w:cs="楷体"/>
          <w:b/>
          <w:bCs w:val="0"/>
          <w:color w:val="auto"/>
          <w:sz w:val="28"/>
          <w:szCs w:val="28"/>
          <w:highlight w:val="none"/>
          <w:lang w:val="en-US" w:eastAsia="zh-CN"/>
        </w:rPr>
        <w:t>8.1火灾应急响应流程</w:t>
      </w:r>
    </w:p>
    <w:p>
      <w:pPr>
        <w:widowControl/>
        <w:jc w:val="left"/>
        <w:rPr>
          <w:rFonts w:hint="eastAsia" w:ascii="Times New Roman" w:hAnsi="Times New Roman" w:eastAsia="方正仿宋_GB2312" w:cs="Times New Roman"/>
          <w:bCs/>
          <w:color w:val="auto"/>
          <w:sz w:val="30"/>
          <w:szCs w:val="30"/>
          <w:highlight w:val="none"/>
          <w:lang w:val="en-US" w:eastAsia="zh-CN"/>
        </w:rPr>
      </w:pPr>
    </w:p>
    <w:p>
      <w:pPr>
        <w:widowControl/>
        <w:jc w:val="left"/>
        <w:rPr>
          <w:color w:val="auto"/>
          <w:highlight w:val="none"/>
        </w:rPr>
      </w:pPr>
      <w:r>
        <w:rPr>
          <w:color w:val="auto"/>
          <w:highlight w:val="none"/>
        </w:rPr>
        <w:drawing>
          <wp:inline distT="0" distB="0" distL="0" distR="0">
            <wp:extent cx="5575300" cy="4917440"/>
            <wp:effectExtent l="0" t="0" r="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575300" cy="4917440"/>
                    </a:xfrm>
                    <a:prstGeom prst="rect">
                      <a:avLst/>
                    </a:prstGeom>
                    <a:noFill/>
                    <a:ln>
                      <a:noFill/>
                    </a:ln>
                  </pic:spPr>
                </pic:pic>
              </a:graphicData>
            </a:graphic>
          </wp:inline>
        </w:drawing>
      </w:r>
    </w:p>
    <w:p>
      <w:pPr>
        <w:widowControl/>
        <w:jc w:val="left"/>
        <w:rPr>
          <w:color w:val="auto"/>
          <w:highlight w:val="none"/>
        </w:rPr>
      </w:pPr>
    </w:p>
    <w:p>
      <w:pPr>
        <w:widowControl/>
        <w:jc w:val="left"/>
        <w:rPr>
          <w:color w:val="auto"/>
          <w:highlight w:val="none"/>
        </w:rPr>
      </w:pPr>
    </w:p>
    <w:p>
      <w:pPr>
        <w:rPr>
          <w:rFonts w:hint="eastAsia" w:ascii="Times New Roman" w:hAnsi="Times New Roman" w:eastAsia="方正仿宋_GB2312" w:cs="Times New Roman"/>
          <w:bCs/>
          <w:color w:val="auto"/>
          <w:sz w:val="30"/>
          <w:szCs w:val="30"/>
          <w:highlight w:val="none"/>
          <w:lang w:val="en-US" w:eastAsia="zh-CN"/>
        </w:rPr>
      </w:pPr>
      <w:r>
        <w:rPr>
          <w:rFonts w:hint="eastAsia" w:ascii="Times New Roman" w:hAnsi="Times New Roman" w:eastAsia="方正仿宋_GB2312" w:cs="Times New Roman"/>
          <w:bCs/>
          <w:color w:val="auto"/>
          <w:sz w:val="30"/>
          <w:szCs w:val="30"/>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lang w:val="en-US" w:eastAsia="zh-CN"/>
        </w:rPr>
      </w:pPr>
      <w:r>
        <w:rPr>
          <w:rFonts w:hint="eastAsia" w:ascii="楷体" w:hAnsi="楷体" w:eastAsia="楷体" w:cs="楷体"/>
          <w:b/>
          <w:bCs w:val="0"/>
          <w:color w:val="auto"/>
          <w:sz w:val="28"/>
          <w:szCs w:val="28"/>
          <w:highlight w:val="none"/>
          <w:lang w:val="en-US" w:eastAsia="zh-CN"/>
        </w:rPr>
        <w:t>8.2粉尘火灾爆炸事故应急处置要点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一）实施警戒。根据粉尘火灾爆炸发生位置、粉尘性质，及火势扩大或二次爆炸的可能性，综合考虑事故发生区域的周围环境及可能对周边的影响，确定警戒范围。对警戒区周边道路实施交通管制，禁止无关人员和车辆进入现场，警戒区内停电、停火，并疏散警戒区内无关人员至安全区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（二）制定救援方案。现场指挥部根据燃烧范围、燃烧物品、周围物品危险性及火势蔓延途径等影响因素制订救援方案。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（三）实施救援。在做好充分的救援准备后，切断泄漏源，控制燃烧范围，选用正确的灭火剂实施灭火作业，灭火时，防止粉尘扬起形成粉尘云。</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四）现场监测。实时监测事故现场气象扩散和扬起粉尘浓度，监测泄漏物质和消防废水是否进入大气、附近水源、下水道等场所；明确泄漏危及周围环境的可能性，防止造成二次污染；并根据现场粉尘浓度及爆炸源的情况确定是否有二次爆炸的危险，确定应采取的处置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28"/>
          <w:szCs w:val="28"/>
          <w:highlight w:val="none"/>
          <w:lang w:val="en-US" w:eastAsia="zh-CN"/>
        </w:rPr>
        <w:t>（五）现场指挥部根据现场事态的发展及时调整救援方案，并将现场救援情况及时报领导小组。</w:t>
      </w:r>
    </w:p>
    <w:p>
      <w:pPr>
        <w:ind w:firstLine="640" w:firstLineChars="200"/>
        <w:rPr>
          <w:rFonts w:hint="eastAsia" w:ascii="宋体" w:hAnsi="宋体" w:eastAsia="宋体" w:cs="宋体"/>
          <w:bCs/>
          <w:color w:val="auto"/>
          <w:sz w:val="32"/>
          <w:szCs w:val="32"/>
          <w:highlight w:val="none"/>
          <w:lang w:val="en-US" w:eastAsia="zh-CN"/>
        </w:rPr>
      </w:pPr>
    </w:p>
    <w:p>
      <w:pPr>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r>
        <w:rPr>
          <w:rFonts w:hint="eastAsia" w:ascii="楷体" w:hAnsi="楷体" w:eastAsia="楷体" w:cs="楷体"/>
          <w:b/>
          <w:bCs w:val="0"/>
          <w:color w:val="auto"/>
          <w:sz w:val="28"/>
          <w:szCs w:val="28"/>
          <w:highlight w:val="none"/>
          <w:lang w:val="en-US" w:eastAsia="zh-CN"/>
        </w:rPr>
        <w:t>8.3</w:t>
      </w:r>
      <w:r>
        <w:rPr>
          <w:rFonts w:hint="eastAsia" w:ascii="楷体" w:hAnsi="楷体" w:eastAsia="楷体" w:cs="楷体"/>
          <w:b/>
          <w:bCs w:val="0"/>
          <w:color w:val="auto"/>
          <w:sz w:val="28"/>
          <w:szCs w:val="28"/>
          <w:highlight w:val="none"/>
        </w:rPr>
        <w:t>压缩气体和液化气体火灾事故及处置措施：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（1）一旦发生压缩气体或液化气体火灾事故，应首先设法找到气源阀门。阀门完好时，只要关闭气体阀门，火势就会自动熄灭。</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（2）扑救气体火灾切忌盲目灭火，即使在扑救周围火势以及冷却过程中不小心把泄漏处的火焰扑灭了，在没有采取堵漏措施的情况下，也必须立即用长点火棒将火点燃，使其恢复稳定燃烧。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（3）首先应扑灭外围被火源引燃的可燃物火势，切断火势蔓延途径，控制燃烧范围，并积极抢救受伤和被困人员。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如果火势中有压力容器或有受到火焰辐射热威胁的压力容器，能疏散的应尽量在水枪的掩护下疏散到安全地带，不能疏散的应部署足够的水枪进行冷却保护。为防止容器爆裂伤人，进行冷却的人员应尽量采用低姿射水或利用现场坚实的掩蔽体防护。对卧式贮罐，冷却人员应选择贮罐四侧角作为射水阵地。</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（5）贮罐或管道泄漏关阀无效时，应根据火势大小判断气体压力和泄漏口的大小及其形状，准备好相应的堵漏材料（如软木塞、橡皮塞、气囊塞、粘合剂、弯管工具等）。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（6）堵漏工作准备就绪后，即可用水扑救火势，也可用干粉、二氧化碳灭火，但仍需用水冷却烧烫的罐或管壁。火扑灭后，应立即用堵漏材料堵漏，同时用雾状水稀释和驱散泄漏出来的气体。</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一般情况下完成了堵漏也就完成了灭火工作，但有时一次堵漏不一定能成功，如果一次堵漏失败，再次堵漏需一定时间，应立即用长点火棒将泄漏处点燃，使其恢复稳定燃烧，以防止较长时间泄漏出来的大量可燃气体与空气混合后形成爆炸性混合物，从而存在发生爆炸的危险，并准备再次灭火堵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（8）如果确认泄漏口很大,根本无法堵漏，只需冷却着火容器及其周围容器和可燃物品，控制着火范围，一直到燃气燃尽，火势自动熄灭。</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9）现场指挥部和应急处置组应密切注意各种危险征兆，遇有火势熄灭后较长时间未能恢复稳定燃烧或受热辐射的容器安全阀火焰变亮耀眼、尖叫、晃动等爆裂征兆时，指挥员必须适时做出准确判断，及时下达撤退命令。现场人员看到或听到事先规定的撤退信号后，应迅速撤退至安全地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（10）气体贮罐或管道阀门处泄漏着火时，在特殊情况下，只要判断阀门还有效，也可违反常规，先扑灭火势，再关闭阀门。一旦发现关闭已无效，一时又无法堵漏时，应迅即点燃，恢复稳定燃烧。</w:t>
      </w:r>
    </w:p>
    <w:p>
      <w:pPr>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rPr>
      </w:pPr>
      <w:r>
        <w:rPr>
          <w:rFonts w:hint="eastAsia" w:ascii="楷体" w:hAnsi="楷体" w:eastAsia="楷体" w:cs="楷体"/>
          <w:b/>
          <w:bCs w:val="0"/>
          <w:color w:val="auto"/>
          <w:sz w:val="28"/>
          <w:szCs w:val="28"/>
          <w:highlight w:val="none"/>
          <w:lang w:val="en-US" w:eastAsia="zh-CN"/>
        </w:rPr>
        <w:t>8.4</w:t>
      </w:r>
      <w:r>
        <w:rPr>
          <w:rFonts w:hint="eastAsia" w:ascii="楷体" w:hAnsi="楷体" w:eastAsia="楷体" w:cs="楷体"/>
          <w:b/>
          <w:bCs w:val="0"/>
          <w:color w:val="auto"/>
          <w:sz w:val="28"/>
          <w:szCs w:val="28"/>
          <w:highlight w:val="none"/>
        </w:rPr>
        <w:t>易燃液体火灾事故及处置措施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（1）首先应切断火势蔓延的途径，冷却和疏散受火势威胁的密闭容器和可燃物，控制燃烧范围，并积极抢救受伤和被困人员。如有液体流淌时，应筑堤（或用围油栏）拦截漂散流淌的易燃液体或挖沟导流。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（2）及时了解和掌握着火液体的品名、比重、水溶性以及有无毒害、腐蚀、沸溢、喷溅等危险性，以便采取相应的灭火和防护措施。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（3）对较大的贮罐或流淌火灾，应准确判断着火面积。大面积（&gt;50㎡）液体火灾则必须根据其相对密度（比重）、水溶性和燃烧面积大小，选择正确的灭火剂扑救。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①比水轻又不溶于水的液体（如汽油、苯等），可用普通蛋白泡沫或轻水泡沫扑灭。用干粉扑救时灭火效果要视燃烧面积大小和燃烧条件而定，最好用水冷却罐壁。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②比水重又不溶于水的液体（如二氯甲烷等）起火时可用水扑救，也可用泡沫。用干粉扑救，灭火效果要视燃烧面积大小和燃烧条件而定。最好用水冷却罐壁，降低燃烧强度。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③具有水溶性的液体（如醇类、酮类等），用抗溶性泡沫扑救，用干粉扑救时，灭火效果要视燃烧面积大小和燃烧条件而定，也需用水冷却罐壁，降低燃烧强度。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扑救毒害性、腐蚀性或燃烧产物毒害性较强的易燃液体火灾，扑救人员必须佩戴防护面具，采取防护措施。对特殊物品的火灾，应使用专用防护服。考虑到过滤式防毒面具防毒范围的局限性，在扑救毒害品火灾时应尽量使用隔绝式空气面具。</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扑救原油和重油等具有沸溢和喷溅危险的液体火灾，必须注意计算可能发生沸溢、喷溅的时间和观察是否有沸溢、喷溅的征兆。一旦现场指挥发现危险征兆时应迅即作出准确判断，及时下达撤退命令，避免造成人员伤亡和装备损失。扑救人员看到或听到统一撤退信号后，应立即撤至安全地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遇易燃液体管道或贮罐泄漏着火，在切断蔓延方向并把火势限制在一定范围内的同时，对输送管道应设法找到并关闭进、出阀门，如果管道阀门已损坏或是贮罐泄漏，应迅速准备好堵漏材料，然后先用泡沫、干粉、二氧化碳或雾状水等扑灭地上的流淌火焰,为堵漏扫清障碍，其次再扑灭泄漏口的火焰，并迅速采取堵漏措施。与气体堵漏不同的是，液体一次堵漏失败，可连续堵几次，只要用泡沫覆盖地面，并堵住液体流淌和控制好周围着火源，不必点燃泄漏口的液体。</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宋体" w:hAnsi="宋体" w:eastAsia="宋体" w:cs="宋体"/>
          <w:bCs/>
          <w:color w:val="auto"/>
          <w:sz w:val="28"/>
          <w:szCs w:val="28"/>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val="0"/>
          <w:color w:val="auto"/>
          <w:sz w:val="28"/>
          <w:szCs w:val="28"/>
          <w:highlight w:val="none"/>
          <w:lang w:val="en-US" w:eastAsia="zh-CN"/>
        </w:rPr>
      </w:pPr>
      <w:r>
        <w:rPr>
          <w:rFonts w:hint="eastAsia" w:ascii="楷体" w:hAnsi="楷体" w:eastAsia="楷体" w:cs="楷体"/>
          <w:b/>
          <w:bCs w:val="0"/>
          <w:color w:val="auto"/>
          <w:sz w:val="28"/>
          <w:szCs w:val="28"/>
          <w:highlight w:val="none"/>
          <w:lang w:val="en-US" w:eastAsia="zh-CN"/>
        </w:rPr>
        <w:t>8.5易燃气体（液化气体）危险化学品火灾爆炸事故现场处置防护要点</w:t>
      </w:r>
    </w:p>
    <w:tbl>
      <w:tblPr>
        <w:tblStyle w:val="15"/>
        <w:tblpPr w:leftFromText="180" w:rightFromText="180" w:vertAnchor="text" w:horzAnchor="page" w:tblpX="2012" w:tblpY="23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111"/>
        <w:gridCol w:w="3677"/>
        <w:gridCol w:w="3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危险</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区域</w:t>
            </w: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防护类别</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剧毒品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及高毒物品</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中等毒性</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低毒及轻微毒性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抢险区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防护形式</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全身</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全身</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防化服</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内置式重型防化服</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内置式重型防化服</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隔热服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防护服</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全棉防静电内外衣</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全棉防静电内外衣</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全棉防静电内外衣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防护面具</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正压式空气呼吸器或过滤式防毒面具</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正压式空气呼吸器或过滤式防毒面具</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正压式空气呼吸器或过滤式防毒面具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20" w:type="dxa"/>
            <w:vMerge w:val="restart"/>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警戒区内</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防护形式</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全身</w:t>
            </w:r>
            <w:bookmarkStart w:id="96" w:name="_GoBack"/>
            <w:bookmarkEnd w:id="96"/>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全身</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呼吸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防化服</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内置式重型防化服</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隔热服</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战斗服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防护服</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全棉防静电内外衣</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全棉防静电内外衣</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防护面具</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正压式空气呼吸器或过滤式防毒面具</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正压式空气呼吸器或过滤式防毒面具</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防毒口罩、面罩或口罩、毛巾等防护器材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420" w:type="dxa"/>
            <w:vMerge w:val="restart"/>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警戒区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边缘警戒区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边缘</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防护形式</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全身</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全身</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呼吸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20" w:type="dxa"/>
            <w:vMerge w:val="continue"/>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防化服</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隔热服</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隔热服</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战斗服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防护服</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全棉防静电内外衣</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全棉防静电内外衣</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4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防护面具</w:t>
            </w:r>
          </w:p>
        </w:tc>
        <w:tc>
          <w:tcPr>
            <w:tcW w:w="3111"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过滤式防毒面具</w:t>
            </w:r>
          </w:p>
        </w:tc>
        <w:tc>
          <w:tcPr>
            <w:tcW w:w="36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过滤式防毒面具</w:t>
            </w:r>
          </w:p>
        </w:tc>
        <w:tc>
          <w:tcPr>
            <w:tcW w:w="365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防毒口罩、面罩或口罩、毛巾等防护器材</w:t>
            </w:r>
          </w:p>
        </w:tc>
      </w:tr>
    </w:tbl>
    <w:p>
      <w:pPr>
        <w:rPr>
          <w:rFonts w:hint="default" w:ascii="Times New Roman" w:hAnsi="Times New Roman" w:eastAsia="方正仿宋_GB2312" w:cs="Times New Roman"/>
          <w:bCs/>
          <w:color w:val="auto"/>
          <w:sz w:val="30"/>
          <w:szCs w:val="30"/>
          <w:highlight w:val="none"/>
          <w:lang w:val="en-US" w:eastAsia="zh-CN"/>
        </w:rPr>
      </w:pPr>
    </w:p>
    <w:sectPr>
      <w:type w:val="continuous"/>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925AF0-C218-4FA1-B9E1-B6694B27FA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50DAF7CB-C1B7-4DF2-AAA3-12BB8464F27B}"/>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黑体"/>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3" w:fontKey="{D55221F7-7A05-4896-BECF-E0353CB4E3D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FD12C3"/>
    <w:rsid w:val="00016E3E"/>
    <w:rsid w:val="00027615"/>
    <w:rsid w:val="00032E2C"/>
    <w:rsid w:val="00041A96"/>
    <w:rsid w:val="00052BBA"/>
    <w:rsid w:val="000825DA"/>
    <w:rsid w:val="00095D7D"/>
    <w:rsid w:val="000B447D"/>
    <w:rsid w:val="000B51F7"/>
    <w:rsid w:val="000D0C16"/>
    <w:rsid w:val="000D35B5"/>
    <w:rsid w:val="000E499C"/>
    <w:rsid w:val="000E4D59"/>
    <w:rsid w:val="000F4280"/>
    <w:rsid w:val="00124238"/>
    <w:rsid w:val="00124D49"/>
    <w:rsid w:val="00124DB3"/>
    <w:rsid w:val="0014571E"/>
    <w:rsid w:val="0014623D"/>
    <w:rsid w:val="0016617B"/>
    <w:rsid w:val="0018082A"/>
    <w:rsid w:val="001B14A4"/>
    <w:rsid w:val="001C0ED3"/>
    <w:rsid w:val="001C7026"/>
    <w:rsid w:val="001F2C53"/>
    <w:rsid w:val="001F6CAB"/>
    <w:rsid w:val="00202708"/>
    <w:rsid w:val="002314A8"/>
    <w:rsid w:val="00242251"/>
    <w:rsid w:val="002451B9"/>
    <w:rsid w:val="0027186A"/>
    <w:rsid w:val="002873D4"/>
    <w:rsid w:val="002D4268"/>
    <w:rsid w:val="002E3CA3"/>
    <w:rsid w:val="002E7685"/>
    <w:rsid w:val="002F3A6F"/>
    <w:rsid w:val="00324513"/>
    <w:rsid w:val="003345E6"/>
    <w:rsid w:val="0033565C"/>
    <w:rsid w:val="0039036A"/>
    <w:rsid w:val="00392D8E"/>
    <w:rsid w:val="003932E4"/>
    <w:rsid w:val="00394755"/>
    <w:rsid w:val="003A1180"/>
    <w:rsid w:val="003A4C6B"/>
    <w:rsid w:val="003A6D47"/>
    <w:rsid w:val="003B23EE"/>
    <w:rsid w:val="003C5438"/>
    <w:rsid w:val="003C795A"/>
    <w:rsid w:val="003D5611"/>
    <w:rsid w:val="003D5AA3"/>
    <w:rsid w:val="003D7851"/>
    <w:rsid w:val="003F4998"/>
    <w:rsid w:val="003F5D77"/>
    <w:rsid w:val="00425E12"/>
    <w:rsid w:val="00462F41"/>
    <w:rsid w:val="0047150A"/>
    <w:rsid w:val="00471FAB"/>
    <w:rsid w:val="004872ED"/>
    <w:rsid w:val="004A2B8F"/>
    <w:rsid w:val="004A4E30"/>
    <w:rsid w:val="004C71AF"/>
    <w:rsid w:val="004D2A4F"/>
    <w:rsid w:val="004F1260"/>
    <w:rsid w:val="004F20D8"/>
    <w:rsid w:val="005164C0"/>
    <w:rsid w:val="00521320"/>
    <w:rsid w:val="00536036"/>
    <w:rsid w:val="005552A0"/>
    <w:rsid w:val="00555A66"/>
    <w:rsid w:val="00555BA5"/>
    <w:rsid w:val="00580B5B"/>
    <w:rsid w:val="005A48CF"/>
    <w:rsid w:val="005A78FC"/>
    <w:rsid w:val="005B6CD5"/>
    <w:rsid w:val="005D39BD"/>
    <w:rsid w:val="005F37BB"/>
    <w:rsid w:val="005F5453"/>
    <w:rsid w:val="00601270"/>
    <w:rsid w:val="00603954"/>
    <w:rsid w:val="00622306"/>
    <w:rsid w:val="00626565"/>
    <w:rsid w:val="00660924"/>
    <w:rsid w:val="00661500"/>
    <w:rsid w:val="006A53BC"/>
    <w:rsid w:val="006B177E"/>
    <w:rsid w:val="006B31C9"/>
    <w:rsid w:val="006D4459"/>
    <w:rsid w:val="006D54C7"/>
    <w:rsid w:val="006D7864"/>
    <w:rsid w:val="006F47FF"/>
    <w:rsid w:val="00730963"/>
    <w:rsid w:val="00730C85"/>
    <w:rsid w:val="00734634"/>
    <w:rsid w:val="0073592F"/>
    <w:rsid w:val="00746368"/>
    <w:rsid w:val="0075112A"/>
    <w:rsid w:val="0079669E"/>
    <w:rsid w:val="007B098A"/>
    <w:rsid w:val="007C73D9"/>
    <w:rsid w:val="007C7844"/>
    <w:rsid w:val="007F2EDF"/>
    <w:rsid w:val="00803610"/>
    <w:rsid w:val="00815A9C"/>
    <w:rsid w:val="008505EB"/>
    <w:rsid w:val="00855473"/>
    <w:rsid w:val="00864180"/>
    <w:rsid w:val="008819DA"/>
    <w:rsid w:val="008C174E"/>
    <w:rsid w:val="008C31AA"/>
    <w:rsid w:val="008F0AB1"/>
    <w:rsid w:val="00913F27"/>
    <w:rsid w:val="00916D60"/>
    <w:rsid w:val="009328D7"/>
    <w:rsid w:val="009469CB"/>
    <w:rsid w:val="009505CF"/>
    <w:rsid w:val="00967271"/>
    <w:rsid w:val="00991EB7"/>
    <w:rsid w:val="009A4BE0"/>
    <w:rsid w:val="009D19F6"/>
    <w:rsid w:val="009F4CCB"/>
    <w:rsid w:val="00A07F5D"/>
    <w:rsid w:val="00A16A17"/>
    <w:rsid w:val="00A21D43"/>
    <w:rsid w:val="00A3164F"/>
    <w:rsid w:val="00A80BC3"/>
    <w:rsid w:val="00AA703B"/>
    <w:rsid w:val="00AA7856"/>
    <w:rsid w:val="00AC1C80"/>
    <w:rsid w:val="00AF12C8"/>
    <w:rsid w:val="00B24AF6"/>
    <w:rsid w:val="00B30F30"/>
    <w:rsid w:val="00B3418C"/>
    <w:rsid w:val="00B41C61"/>
    <w:rsid w:val="00B77E35"/>
    <w:rsid w:val="00B86012"/>
    <w:rsid w:val="00B97A8A"/>
    <w:rsid w:val="00BA05B8"/>
    <w:rsid w:val="00BF53E1"/>
    <w:rsid w:val="00BF6A49"/>
    <w:rsid w:val="00C65DB7"/>
    <w:rsid w:val="00C72FE9"/>
    <w:rsid w:val="00C810EA"/>
    <w:rsid w:val="00C94FF1"/>
    <w:rsid w:val="00D050FC"/>
    <w:rsid w:val="00D3076E"/>
    <w:rsid w:val="00D309E2"/>
    <w:rsid w:val="00D46104"/>
    <w:rsid w:val="00D52A81"/>
    <w:rsid w:val="00D53ACC"/>
    <w:rsid w:val="00D60113"/>
    <w:rsid w:val="00D60DE5"/>
    <w:rsid w:val="00D74289"/>
    <w:rsid w:val="00D83082"/>
    <w:rsid w:val="00D90C0D"/>
    <w:rsid w:val="00DA1084"/>
    <w:rsid w:val="00DB0207"/>
    <w:rsid w:val="00DC437B"/>
    <w:rsid w:val="00DE2AA0"/>
    <w:rsid w:val="00E165B5"/>
    <w:rsid w:val="00E25C72"/>
    <w:rsid w:val="00EC63DA"/>
    <w:rsid w:val="00ED1782"/>
    <w:rsid w:val="00ED6238"/>
    <w:rsid w:val="00EE6044"/>
    <w:rsid w:val="00EF6D79"/>
    <w:rsid w:val="00F3278D"/>
    <w:rsid w:val="00F435BE"/>
    <w:rsid w:val="00F46FFF"/>
    <w:rsid w:val="00F56C41"/>
    <w:rsid w:val="00F85A9F"/>
    <w:rsid w:val="00F95E3F"/>
    <w:rsid w:val="00FA3072"/>
    <w:rsid w:val="00FC5B37"/>
    <w:rsid w:val="00FD12C3"/>
    <w:rsid w:val="00FE5757"/>
    <w:rsid w:val="00FF601E"/>
    <w:rsid w:val="00FF72C5"/>
    <w:rsid w:val="033941EB"/>
    <w:rsid w:val="03C2759E"/>
    <w:rsid w:val="04071455"/>
    <w:rsid w:val="0768220B"/>
    <w:rsid w:val="09894900"/>
    <w:rsid w:val="0A592132"/>
    <w:rsid w:val="0B5F7191"/>
    <w:rsid w:val="10A06571"/>
    <w:rsid w:val="10F60887"/>
    <w:rsid w:val="15AE7982"/>
    <w:rsid w:val="163C4F8E"/>
    <w:rsid w:val="16A450D2"/>
    <w:rsid w:val="1AD036BD"/>
    <w:rsid w:val="1D004B2B"/>
    <w:rsid w:val="1DCD0BC2"/>
    <w:rsid w:val="1EC95FF9"/>
    <w:rsid w:val="1F542020"/>
    <w:rsid w:val="23FC56E3"/>
    <w:rsid w:val="287E141B"/>
    <w:rsid w:val="2AAA4454"/>
    <w:rsid w:val="2AB949A8"/>
    <w:rsid w:val="2B4307FD"/>
    <w:rsid w:val="2C7212B2"/>
    <w:rsid w:val="309D53D1"/>
    <w:rsid w:val="312D1C4B"/>
    <w:rsid w:val="32201A4D"/>
    <w:rsid w:val="33557238"/>
    <w:rsid w:val="39C47956"/>
    <w:rsid w:val="41F540C0"/>
    <w:rsid w:val="49107A31"/>
    <w:rsid w:val="49BC0C8A"/>
    <w:rsid w:val="50C07F8E"/>
    <w:rsid w:val="52326C6A"/>
    <w:rsid w:val="566413BC"/>
    <w:rsid w:val="5B3300A3"/>
    <w:rsid w:val="5C5E3DB7"/>
    <w:rsid w:val="5DA05E69"/>
    <w:rsid w:val="5EBF1885"/>
    <w:rsid w:val="5EDC410A"/>
    <w:rsid w:val="62A4530D"/>
    <w:rsid w:val="648F7725"/>
    <w:rsid w:val="66382A5F"/>
    <w:rsid w:val="676F196F"/>
    <w:rsid w:val="6CC938CF"/>
    <w:rsid w:val="6F795A80"/>
    <w:rsid w:val="76E557A9"/>
    <w:rsid w:val="7A667A37"/>
    <w:rsid w:val="7FC00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4">
    <w:name w:val="Normal Indent"/>
    <w:basedOn w:val="1"/>
    <w:qFormat/>
    <w:uiPriority w:val="0"/>
    <w:pPr>
      <w:ind w:firstLine="420"/>
    </w:pPr>
    <w:rPr>
      <w:rFonts w:ascii="Calibri" w:hAnsi="Calibri" w:eastAsia="宋体" w:cs="Times New Roman"/>
    </w:rPr>
  </w:style>
  <w:style w:type="paragraph" w:styleId="5">
    <w:name w:val="Body Text"/>
    <w:basedOn w:val="1"/>
    <w:next w:val="6"/>
    <w:qFormat/>
    <w:uiPriority w:val="0"/>
  </w:style>
  <w:style w:type="paragraph" w:styleId="6">
    <w:name w:val="Title"/>
    <w:basedOn w:val="1"/>
    <w:next w:val="4"/>
    <w:qFormat/>
    <w:uiPriority w:val="0"/>
    <w:pPr>
      <w:spacing w:before="240" w:after="60"/>
      <w:jc w:val="center"/>
      <w:outlineLvl w:val="0"/>
    </w:pPr>
    <w:rPr>
      <w:rFonts w:ascii="Cambria" w:hAnsi="Cambria" w:eastAsia="宋体"/>
      <w:b/>
      <w:bCs/>
    </w:rPr>
  </w:style>
  <w:style w:type="paragraph" w:styleId="7">
    <w:name w:val="Balloon Text"/>
    <w:basedOn w:val="1"/>
    <w:link w:val="22"/>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Subtitle"/>
    <w:basedOn w:val="1"/>
    <w:next w:val="1"/>
    <w:link w:val="19"/>
    <w:qFormat/>
    <w:uiPriority w:val="11"/>
    <w:pPr>
      <w:spacing w:before="240" w:after="60" w:line="312" w:lineRule="auto"/>
      <w:jc w:val="center"/>
      <w:outlineLvl w:val="1"/>
    </w:pPr>
    <w:rPr>
      <w:b/>
      <w:bCs/>
      <w:kern w:val="28"/>
      <w:sz w:val="32"/>
      <w:szCs w:val="32"/>
    </w:rPr>
  </w:style>
  <w:style w:type="paragraph" w:styleId="12">
    <w:name w:val="toc 2"/>
    <w:basedOn w:val="1"/>
    <w:next w:val="1"/>
    <w:unhideWhenUsed/>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页眉 字符"/>
    <w:basedOn w:val="16"/>
    <w:link w:val="9"/>
    <w:qFormat/>
    <w:uiPriority w:val="99"/>
    <w:rPr>
      <w:sz w:val="18"/>
      <w:szCs w:val="18"/>
    </w:rPr>
  </w:style>
  <w:style w:type="character" w:customStyle="1" w:styleId="18">
    <w:name w:val="页脚 字符"/>
    <w:basedOn w:val="16"/>
    <w:link w:val="8"/>
    <w:qFormat/>
    <w:uiPriority w:val="99"/>
    <w:rPr>
      <w:sz w:val="18"/>
      <w:szCs w:val="18"/>
    </w:rPr>
  </w:style>
  <w:style w:type="character" w:customStyle="1" w:styleId="19">
    <w:name w:val="副标题 字符"/>
    <w:basedOn w:val="16"/>
    <w:link w:val="11"/>
    <w:qFormat/>
    <w:uiPriority w:val="11"/>
    <w:rPr>
      <w:b/>
      <w:bCs/>
      <w:kern w:val="28"/>
      <w:sz w:val="32"/>
      <w:szCs w:val="32"/>
    </w:rPr>
  </w:style>
  <w:style w:type="paragraph" w:customStyle="1" w:styleId="20">
    <w:name w:val="正文～!"/>
    <w:basedOn w:val="1"/>
    <w:qFormat/>
    <w:uiPriority w:val="0"/>
    <w:pPr>
      <w:adjustRightInd w:val="0"/>
      <w:snapToGrid w:val="0"/>
      <w:spacing w:line="360" w:lineRule="auto"/>
      <w:ind w:right="-57" w:rightChars="-27" w:firstLine="560" w:firstLineChars="200"/>
    </w:pPr>
    <w:rPr>
      <w:rFonts w:ascii="仿宋_GB2312" w:hAnsi="Times New Roman" w:eastAsia="仿宋_GB2312" w:cs="宋体"/>
      <w:sz w:val="28"/>
      <w:szCs w:val="20"/>
    </w:rPr>
  </w:style>
  <w:style w:type="character" w:customStyle="1" w:styleId="21">
    <w:name w:val="标题 1 字符"/>
    <w:basedOn w:val="16"/>
    <w:link w:val="3"/>
    <w:qFormat/>
    <w:uiPriority w:val="9"/>
    <w:rPr>
      <w:rFonts w:ascii="宋体" w:hAnsi="宋体" w:eastAsia="宋体" w:cs="宋体"/>
      <w:b/>
      <w:bCs/>
      <w:kern w:val="36"/>
      <w:sz w:val="48"/>
      <w:szCs w:val="48"/>
    </w:rPr>
  </w:style>
  <w:style w:type="character" w:customStyle="1" w:styleId="22">
    <w:name w:val="批注框文本 字符"/>
    <w:basedOn w:val="16"/>
    <w:link w:val="7"/>
    <w:semiHidden/>
    <w:qFormat/>
    <w:uiPriority w:val="99"/>
    <w:rPr>
      <w:sz w:val="18"/>
      <w:szCs w:val="18"/>
    </w:rPr>
  </w:style>
  <w:style w:type="paragraph" w:customStyle="1" w:styleId="23">
    <w:name w:val="标题1"/>
    <w:basedOn w:val="1"/>
    <w:next w:val="1"/>
    <w:qFormat/>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24">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488BD-F6F3-4965-9B48-BAE2A33ADC14}">
  <ds:schemaRefs/>
</ds:datastoreItem>
</file>

<file path=docProps/app.xml><?xml version="1.0" encoding="utf-8"?>
<Properties xmlns="http://schemas.openxmlformats.org/officeDocument/2006/extended-properties" xmlns:vt="http://schemas.openxmlformats.org/officeDocument/2006/docPropsVTypes">
  <Template>Normal</Template>
  <Pages>21</Pages>
  <Words>7288</Words>
  <Characters>7418</Characters>
  <Lines>37</Lines>
  <Paragraphs>10</Paragraphs>
  <TotalTime>10</TotalTime>
  <ScaleCrop>false</ScaleCrop>
  <LinksUpToDate>false</LinksUpToDate>
  <CharactersWithSpaces>7438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2021-07-30T02:39:00Z</dcterms:created>
  <dc:creator>jin junxun</dc:creator>
  <cp:lastModifiedBy>G</cp:lastModifiedBy>
  <dcterms:modified xsi:type="dcterms:W3CDTF">2022-12-13T09:31:38Z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D811549998EE4241A426F51830E61ECB</vt:lpwstr>
  </property>
</Properties>
</file>