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line="360" w:lineRule="auto"/>
        <w:jc w:val="center"/>
        <w:outlineLvl w:val="9"/>
        <w:rPr>
          <w:rFonts w:hint="eastAsia" w:ascii="黑体" w:hAnsi="黑体" w:eastAsia="黑体" w:cs="黑体"/>
          <w:b/>
          <w:kern w:val="0"/>
          <w:sz w:val="52"/>
          <w:szCs w:val="52"/>
          <w:lang w:val="en-US" w:eastAsia="zh-CN"/>
        </w:rPr>
      </w:pPr>
    </w:p>
    <w:p>
      <w:pPr>
        <w:spacing w:before="312" w:beforeLines="100" w:after="312" w:afterLines="100" w:line="360" w:lineRule="auto"/>
        <w:jc w:val="center"/>
        <w:outlineLvl w:val="0"/>
        <w:rPr>
          <w:rFonts w:hint="eastAsia" w:ascii="黑体" w:hAnsi="黑体" w:eastAsia="黑体" w:cs="黑体"/>
          <w:b/>
          <w:kern w:val="0"/>
          <w:sz w:val="52"/>
          <w:szCs w:val="52"/>
        </w:rPr>
      </w:pPr>
      <w:r>
        <w:rPr>
          <w:rFonts w:hint="eastAsia" w:ascii="黑体" w:hAnsi="黑体" w:eastAsia="黑体" w:cs="黑体"/>
          <w:b/>
          <w:kern w:val="0"/>
          <w:sz w:val="52"/>
          <w:szCs w:val="52"/>
          <w:lang w:val="en-US" w:eastAsia="zh-CN"/>
        </w:rPr>
        <w:t>太仓市城厢</w:t>
      </w:r>
      <w:r>
        <w:rPr>
          <w:rFonts w:hint="eastAsia" w:ascii="黑体" w:hAnsi="黑体" w:eastAsia="黑体" w:cs="黑体"/>
          <w:b/>
          <w:kern w:val="0"/>
          <w:sz w:val="52"/>
          <w:szCs w:val="52"/>
        </w:rPr>
        <w:t>镇</w:t>
      </w:r>
    </w:p>
    <w:p>
      <w:pPr>
        <w:spacing w:before="312" w:beforeLines="100" w:after="312" w:afterLines="100" w:line="360" w:lineRule="auto"/>
        <w:jc w:val="center"/>
        <w:outlineLvl w:val="0"/>
        <w:rPr>
          <w:rFonts w:hint="eastAsia" w:ascii="黑体" w:hAnsi="黑体" w:eastAsia="黑体" w:cs="黑体"/>
          <w:b/>
          <w:kern w:val="0"/>
          <w:sz w:val="52"/>
          <w:szCs w:val="52"/>
        </w:rPr>
      </w:pPr>
      <w:bookmarkStart w:id="0" w:name="_Toc4769"/>
      <w:bookmarkStart w:id="1" w:name="_Toc1169"/>
      <w:bookmarkStart w:id="2" w:name="_Toc7196"/>
      <w:bookmarkStart w:id="3" w:name="_Toc15618"/>
      <w:bookmarkStart w:id="4" w:name="_Toc5281"/>
      <w:bookmarkStart w:id="5" w:name="_Toc15546"/>
      <w:r>
        <w:rPr>
          <w:rFonts w:hint="eastAsia" w:ascii="黑体" w:hAnsi="黑体" w:eastAsia="黑体" w:cs="黑体"/>
          <w:b/>
          <w:kern w:val="0"/>
          <w:sz w:val="52"/>
          <w:szCs w:val="52"/>
          <w:lang w:val="en-US" w:eastAsia="zh-CN"/>
        </w:rPr>
        <w:t>食品药品安全事故应急预案</w:t>
      </w:r>
      <w:bookmarkEnd w:id="0"/>
      <w:bookmarkEnd w:id="1"/>
      <w:bookmarkEnd w:id="2"/>
      <w:bookmarkEnd w:id="3"/>
      <w:bookmarkEnd w:id="4"/>
      <w:bookmarkEnd w:id="5"/>
    </w:p>
    <w:p>
      <w:pPr>
        <w:pStyle w:val="4"/>
        <w:rPr>
          <w:rFonts w:ascii="宋体" w:hAnsi="宋体" w:eastAsia="宋体" w:cs="宋体"/>
          <w:b/>
          <w:sz w:val="28"/>
          <w:szCs w:val="28"/>
        </w:rPr>
      </w:pPr>
    </w:p>
    <w:p>
      <w:pPr>
        <w:spacing w:line="360" w:lineRule="auto"/>
        <w:jc w:val="center"/>
        <w:rPr>
          <w:rFonts w:ascii="宋体" w:hAnsi="宋体" w:eastAsia="宋体" w:cs="宋体"/>
          <w:b/>
          <w:kern w:val="0"/>
          <w:sz w:val="28"/>
          <w:szCs w:val="28"/>
        </w:rPr>
      </w:pPr>
    </w:p>
    <w:p>
      <w:pPr>
        <w:pStyle w:val="4"/>
        <w:rPr>
          <w:rFonts w:ascii="宋体" w:hAnsi="宋体" w:eastAsia="宋体" w:cs="宋体"/>
          <w:b/>
          <w:sz w:val="28"/>
          <w:szCs w:val="28"/>
        </w:rPr>
      </w:pPr>
    </w:p>
    <w:p>
      <w:pPr>
        <w:pStyle w:val="4"/>
        <w:rPr>
          <w:rFonts w:ascii="宋体" w:hAnsi="宋体" w:eastAsia="宋体" w:cs="宋体"/>
          <w:b/>
          <w:sz w:val="28"/>
          <w:szCs w:val="28"/>
        </w:rPr>
      </w:pPr>
    </w:p>
    <w:p>
      <w:pPr>
        <w:pStyle w:val="4"/>
        <w:rPr>
          <w:rFonts w:ascii="宋体" w:hAnsi="宋体" w:eastAsia="宋体" w:cs="宋体"/>
          <w:b/>
          <w:sz w:val="28"/>
          <w:szCs w:val="28"/>
        </w:rPr>
      </w:pPr>
    </w:p>
    <w:p>
      <w:pPr>
        <w:pStyle w:val="4"/>
        <w:rPr>
          <w:rFonts w:ascii="宋体" w:hAnsi="宋体" w:eastAsia="宋体" w:cs="宋体"/>
          <w:b/>
          <w:sz w:val="28"/>
          <w:szCs w:val="28"/>
        </w:rPr>
      </w:pPr>
    </w:p>
    <w:p>
      <w:pPr>
        <w:pStyle w:val="4"/>
        <w:rPr>
          <w:rFonts w:ascii="宋体" w:hAnsi="宋体" w:eastAsia="宋体" w:cs="宋体"/>
          <w:b/>
          <w:sz w:val="28"/>
          <w:szCs w:val="28"/>
        </w:rPr>
      </w:pPr>
    </w:p>
    <w:p>
      <w:pPr>
        <w:pStyle w:val="4"/>
        <w:rPr>
          <w:rFonts w:ascii="宋体" w:hAnsi="宋体" w:eastAsia="宋体" w:cs="宋体"/>
          <w:b/>
          <w:sz w:val="28"/>
          <w:szCs w:val="28"/>
        </w:rPr>
      </w:pPr>
    </w:p>
    <w:p>
      <w:pPr>
        <w:pStyle w:val="5"/>
        <w:outlineLvl w:val="9"/>
        <w:rPr>
          <w:rFonts w:ascii="宋体" w:hAnsi="宋体" w:eastAsia="宋体" w:cs="宋体"/>
          <w:b/>
          <w:sz w:val="28"/>
          <w:szCs w:val="28"/>
        </w:rPr>
      </w:pPr>
      <w:bookmarkStart w:id="78" w:name="_GoBack"/>
      <w:bookmarkEnd w:id="78"/>
    </w:p>
    <w:p>
      <w:pPr>
        <w:pStyle w:val="4"/>
        <w:rPr>
          <w:rFonts w:ascii="宋体" w:hAnsi="宋体" w:eastAsia="宋体" w:cs="宋体"/>
          <w:b/>
          <w:sz w:val="28"/>
          <w:szCs w:val="28"/>
        </w:rPr>
      </w:pPr>
    </w:p>
    <w:p>
      <w:pPr>
        <w:pStyle w:val="4"/>
        <w:rPr>
          <w:rFonts w:ascii="宋体" w:hAnsi="宋体" w:eastAsia="宋体" w:cs="宋体"/>
          <w:b/>
          <w:sz w:val="28"/>
          <w:szCs w:val="28"/>
        </w:rPr>
      </w:pPr>
    </w:p>
    <w:p>
      <w:pPr>
        <w:spacing w:after="156" w:afterLines="50"/>
        <w:jc w:val="center"/>
        <w:outlineLvl w:val="0"/>
        <w:rPr>
          <w:rFonts w:hint="eastAsia" w:ascii="宋体" w:hAnsi="宋体" w:eastAsia="宋体" w:cs="宋体"/>
          <w:b/>
          <w:sz w:val="44"/>
          <w:szCs w:val="44"/>
        </w:rPr>
      </w:pPr>
      <w:r>
        <w:rPr>
          <w:rFonts w:hint="eastAsia" w:ascii="宋体" w:hAnsi="宋体" w:eastAsia="宋体" w:cs="宋体"/>
          <w:b/>
          <w:sz w:val="44"/>
          <w:szCs w:val="44"/>
          <w:lang w:val="en-US" w:eastAsia="zh-CN"/>
        </w:rPr>
        <w:t>太仓市城厢镇安全生产委员会</w:t>
      </w:r>
    </w:p>
    <w:p>
      <w:pPr>
        <w:pStyle w:val="4"/>
        <w:jc w:val="center"/>
        <w:rPr>
          <w:rFonts w:ascii="宋体" w:hAnsi="宋体" w:eastAsia="宋体" w:cs="宋体"/>
          <w:b/>
          <w:sz w:val="32"/>
          <w:szCs w:val="32"/>
        </w:rPr>
      </w:pPr>
      <w:r>
        <w:rPr>
          <w:rFonts w:hint="eastAsia" w:ascii="宋体" w:hAnsi="宋体" w:eastAsia="宋体" w:cs="宋体"/>
          <w:b/>
          <w:spacing w:val="20"/>
          <w:sz w:val="32"/>
          <w:szCs w:val="32"/>
        </w:rPr>
        <w:t>二〇二二年十</w:t>
      </w:r>
      <w:r>
        <w:rPr>
          <w:rFonts w:hint="eastAsia" w:ascii="宋体" w:hAnsi="宋体" w:eastAsia="宋体" w:cs="宋体"/>
          <w:b/>
          <w:spacing w:val="20"/>
          <w:sz w:val="32"/>
          <w:szCs w:val="32"/>
          <w:lang w:val="en-US" w:eastAsia="zh-CN"/>
        </w:rPr>
        <w:t>二</w:t>
      </w:r>
      <w:r>
        <w:rPr>
          <w:rFonts w:hint="eastAsia" w:ascii="宋体" w:hAnsi="宋体" w:eastAsia="宋体" w:cs="宋体"/>
          <w:b/>
          <w:spacing w:val="20"/>
          <w:sz w:val="32"/>
          <w:szCs w:val="32"/>
        </w:rPr>
        <w:t>月</w:t>
      </w:r>
    </w:p>
    <w:p>
      <w:pPr>
        <w:rPr>
          <w:rFonts w:hint="default" w:ascii="Times New Roman" w:hAnsi="Times New Roman" w:eastAsia="黑体" w:cs="Times New Roman"/>
          <w:b/>
          <w:bCs/>
          <w:color w:val="auto"/>
          <w:sz w:val="44"/>
          <w:szCs w:val="44"/>
          <w:highlight w:val="none"/>
          <w:lang w:eastAsia="zh-CN"/>
        </w:rPr>
      </w:pPr>
    </w:p>
    <w:p>
      <w:pPr>
        <w:rPr>
          <w:rFonts w:hint="default" w:ascii="黑体" w:hAnsi="黑体" w:eastAsia="黑体" w:cs="黑体"/>
          <w:b/>
          <w:bCs/>
          <w:sz w:val="32"/>
          <w:szCs w:val="32"/>
        </w:rPr>
      </w:pPr>
      <w:r>
        <w:rPr>
          <w:rFonts w:hint="default" w:ascii="黑体" w:hAnsi="黑体" w:eastAsia="黑体" w:cs="黑体"/>
          <w:b/>
          <w:bCs/>
          <w:sz w:val="32"/>
          <w:szCs w:val="32"/>
        </w:rPr>
        <w:br w:type="page"/>
      </w:r>
    </w:p>
    <w:p>
      <w:pPr>
        <w:pStyle w:val="20"/>
        <w:tabs>
          <w:tab w:val="left" w:pos="9193"/>
          <w:tab w:val="left" w:pos="9827"/>
        </w:tabs>
        <w:spacing w:line="580" w:lineRule="exact"/>
        <w:rPr>
          <w:rFonts w:hint="default" w:ascii="黑体" w:hAnsi="黑体" w:eastAsia="黑体" w:cs="黑体"/>
          <w:b/>
          <w:bCs/>
          <w:sz w:val="32"/>
          <w:szCs w:val="32"/>
          <w:lang w:val="en-US" w:eastAsia="zh-CN"/>
        </w:rPr>
      </w:pPr>
      <w:r>
        <w:rPr>
          <w:rFonts w:hint="default" w:ascii="黑体" w:hAnsi="黑体" w:eastAsia="黑体" w:cs="黑体"/>
          <w:b/>
          <w:bCs/>
          <w:sz w:val="32"/>
          <w:szCs w:val="32"/>
        </w:rPr>
        <w:t>目  录</w:t>
      </w:r>
    </w:p>
    <w:p>
      <w:pPr>
        <w:pStyle w:val="9"/>
        <w:tabs>
          <w:tab w:val="right" w:leader="dot" w:pos="8296"/>
        </w:tabs>
        <w:rPr>
          <w:rFonts w:hint="default" w:ascii="Times New Roman" w:hAnsi="Times New Roman" w:eastAsia="仿宋_GB2312" w:cs="Times New Roman"/>
          <w:b/>
          <w:bCs/>
          <w:color w:val="auto"/>
          <w:sz w:val="30"/>
          <w:szCs w:val="28"/>
          <w:highlight w:val="none"/>
        </w:rPr>
      </w:pPr>
    </w:p>
    <w:p>
      <w:pPr>
        <w:pStyle w:val="9"/>
        <w:tabs>
          <w:tab w:val="right" w:leader="dot" w:pos="8296"/>
        </w:tabs>
        <w:rPr>
          <w:rFonts w:hint="default" w:ascii="宋体" w:hAnsi="宋体" w:eastAsia="宋体" w:cs="宋体"/>
          <w:b/>
          <w:bCs/>
          <w:color w:val="000000"/>
          <w:kern w:val="0"/>
          <w:sz w:val="24"/>
          <w:szCs w:val="24"/>
        </w:rPr>
      </w:pPr>
      <w:r>
        <w:rPr>
          <w:rFonts w:hint="default" w:ascii="Times New Roman" w:hAnsi="Times New Roman" w:eastAsia="仿宋_GB2312" w:cs="Times New Roman"/>
          <w:b w:val="0"/>
          <w:bCs w:val="0"/>
          <w:color w:val="auto"/>
          <w:sz w:val="30"/>
          <w:szCs w:val="28"/>
          <w:highlight w:val="none"/>
        </w:rPr>
        <w:fldChar w:fldCharType="begin"/>
      </w:r>
      <w:r>
        <w:rPr>
          <w:rFonts w:hint="default" w:ascii="Times New Roman" w:hAnsi="Times New Roman" w:eastAsia="仿宋_GB2312" w:cs="Times New Roman"/>
          <w:b w:val="0"/>
          <w:bCs w:val="0"/>
          <w:color w:val="auto"/>
          <w:sz w:val="30"/>
          <w:szCs w:val="28"/>
          <w:highlight w:val="none"/>
        </w:rPr>
        <w:instrText xml:space="preserve"> TOC \o "1-2" \n \u </w:instrText>
      </w:r>
      <w:r>
        <w:rPr>
          <w:rFonts w:hint="default" w:ascii="Times New Roman" w:hAnsi="Times New Roman" w:eastAsia="仿宋_GB2312" w:cs="Times New Roman"/>
          <w:b w:val="0"/>
          <w:bCs w:val="0"/>
          <w:color w:val="auto"/>
          <w:sz w:val="30"/>
          <w:szCs w:val="28"/>
          <w:highlight w:val="none"/>
        </w:rPr>
        <w:fldChar w:fldCharType="separate"/>
      </w:r>
      <w:r>
        <w:rPr>
          <w:rFonts w:hint="default" w:ascii="宋体" w:hAnsi="宋体" w:eastAsia="宋体" w:cs="宋体"/>
          <w:b/>
          <w:bCs/>
          <w:color w:val="000000"/>
          <w:kern w:val="0"/>
          <w:sz w:val="24"/>
          <w:szCs w:val="24"/>
        </w:rPr>
        <w:t>1 总则</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1.1 编制目的</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1.2 编制依据</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1.2适用范围</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eastAsia="仿宋_GB2312" w:cs="Times New Roman"/>
          <w:b w:val="0"/>
          <w:bCs w:val="0"/>
          <w:color w:val="auto"/>
          <w:sz w:val="30"/>
          <w:szCs w:val="28"/>
          <w:highlight w:val="none"/>
        </w:rPr>
      </w:pPr>
      <w:r>
        <w:rPr>
          <w:rFonts w:hint="default" w:ascii="宋体" w:hAnsi="宋体" w:eastAsia="宋体" w:cs="宋体"/>
          <w:color w:val="000000"/>
          <w:kern w:val="0"/>
          <w:sz w:val="24"/>
          <w:szCs w:val="24"/>
        </w:rPr>
        <w:t>1.3 工作原则</w:t>
      </w:r>
    </w:p>
    <w:p>
      <w:pPr>
        <w:pStyle w:val="9"/>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t>2 组织体系</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2.1应急领导机构及职责</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2.2应急救援工作组及职责</w:t>
      </w:r>
    </w:p>
    <w:p>
      <w:pPr>
        <w:pStyle w:val="9"/>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t>3 预防预警</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3.1 预防和应急准备</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3.2 监测</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eastAsia="仿宋_GB2312" w:cs="Times New Roman"/>
          <w:b w:val="0"/>
          <w:bCs w:val="0"/>
          <w:color w:val="auto"/>
          <w:sz w:val="30"/>
          <w:szCs w:val="28"/>
          <w:highlight w:val="none"/>
        </w:rPr>
      </w:pPr>
      <w:r>
        <w:rPr>
          <w:rFonts w:hint="default" w:ascii="宋体" w:hAnsi="宋体" w:eastAsia="宋体" w:cs="宋体"/>
          <w:color w:val="000000"/>
          <w:kern w:val="0"/>
          <w:sz w:val="24"/>
          <w:szCs w:val="24"/>
        </w:rPr>
        <w:t>3.3 预警</w:t>
      </w:r>
    </w:p>
    <w:p>
      <w:pPr>
        <w:pStyle w:val="9"/>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t>4 信息报告与通报</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4.1 报告主体和时限</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4.2 报告内容</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4.3 事故评估</w:t>
      </w:r>
    </w:p>
    <w:p>
      <w:pPr>
        <w:pStyle w:val="9"/>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t>5 应急处置</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5.1 响应措施</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5.2 响应级别调整及终止</w:t>
      </w:r>
    </w:p>
    <w:p>
      <w:pPr>
        <w:pStyle w:val="9"/>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t>6 后期工作</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6.1 善后处置</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6.2 奖励和责任</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6.3 事故调查</w:t>
      </w:r>
    </w:p>
    <w:p>
      <w:pPr>
        <w:pStyle w:val="9"/>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t>7 应急保障</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7.1 队伍保障</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7.2 信息保障</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7.3 医疗保障</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7.4 物资与资金保障</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7.5 社会动员保障</w:t>
      </w:r>
    </w:p>
    <w:p>
      <w:pPr>
        <w:pStyle w:val="9"/>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t>8 宣传、培训和演练</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8.1 宣传与培训</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8.2 演练</w:t>
      </w:r>
    </w:p>
    <w:p>
      <w:pPr>
        <w:pStyle w:val="9"/>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t>9 附则</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9.1 预案管理</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9.2 预案解释</w:t>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eastAsia="仿宋_GB2312" w:cs="Times New Roman"/>
          <w:b w:val="0"/>
          <w:bCs w:val="0"/>
          <w:color w:val="auto"/>
          <w:sz w:val="30"/>
          <w:szCs w:val="28"/>
          <w:highlight w:val="none"/>
        </w:rPr>
      </w:pPr>
      <w:r>
        <w:rPr>
          <w:rFonts w:hint="default" w:ascii="宋体" w:hAnsi="宋体" w:eastAsia="宋体" w:cs="宋体"/>
          <w:color w:val="000000"/>
          <w:kern w:val="0"/>
          <w:sz w:val="24"/>
          <w:szCs w:val="24"/>
        </w:rPr>
        <w:t>9.3 预案实施</w:t>
      </w:r>
    </w:p>
    <w:p>
      <w:pPr>
        <w:pStyle w:val="9"/>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t>10 附件</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default" w:ascii="Times New Roman" w:hAnsi="Times New Roman" w:eastAsia="宋体" w:cs="Times New Roman"/>
          <w:bCs/>
          <w:color w:val="auto"/>
          <w:sz w:val="28"/>
          <w:szCs w:val="28"/>
          <w:highlight w:val="none"/>
        </w:rPr>
      </w:pPr>
      <w:r>
        <w:rPr>
          <w:rFonts w:hint="default" w:ascii="Times New Roman" w:hAnsi="Times New Roman" w:eastAsia="仿宋_GB2312" w:cs="Times New Roman"/>
          <w:b w:val="0"/>
          <w:bCs w:val="0"/>
          <w:color w:val="auto"/>
          <w:sz w:val="30"/>
          <w:szCs w:val="28"/>
          <w:highlight w:val="none"/>
        </w:rPr>
        <w:fldChar w:fldCharType="end"/>
      </w:r>
    </w:p>
    <w:p>
      <w:pPr>
        <w:pStyle w:val="21"/>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lang w:val="en-US" w:bidi="ar-SA"/>
        </w:rPr>
        <w:sectPr>
          <w:pgSz w:w="11906" w:h="16838"/>
          <w:pgMar w:top="1440" w:right="1800" w:bottom="1440" w:left="1800" w:header="851" w:footer="992" w:gutter="0"/>
          <w:cols w:space="425" w:num="1"/>
          <w:docGrid w:type="lines" w:linePitch="312" w:charSpace="0"/>
        </w:sectPr>
      </w:pPr>
      <w:bookmarkStart w:id="6" w:name="_Toc114499232"/>
      <w:bookmarkStart w:id="7" w:name="_Toc116293322"/>
    </w:p>
    <w:p>
      <w:pPr>
        <w:pStyle w:val="21"/>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lang w:val="en-US" w:bidi="ar-SA"/>
        </w:rPr>
      </w:pPr>
      <w:r>
        <w:rPr>
          <w:rFonts w:hint="default" w:ascii="黑体" w:hAnsi="黑体" w:eastAsia="黑体" w:cs="黑体"/>
          <w:sz w:val="32"/>
          <w:szCs w:val="32"/>
          <w:lang w:val="en-US" w:bidi="ar-SA"/>
        </w:rPr>
        <w:t>1 总则</w:t>
      </w:r>
      <w:bookmarkEnd w:id="6"/>
      <w:bookmarkEnd w:id="7"/>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8" w:name="_Toc116293323"/>
      <w:bookmarkStart w:id="9" w:name="_Toc114499233"/>
      <w:r>
        <w:rPr>
          <w:rFonts w:hint="default" w:ascii="楷体" w:hAnsi="楷体" w:eastAsia="楷体" w:cs="楷体"/>
          <w:sz w:val="28"/>
          <w:szCs w:val="28"/>
          <w:lang w:val="en-US" w:bidi="ar-SA"/>
        </w:rPr>
        <w:t>1.1 编制目的</w:t>
      </w:r>
      <w:bookmarkEnd w:id="8"/>
      <w:bookmarkEnd w:id="9"/>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为建立健全</w:t>
      </w:r>
      <w:r>
        <w:rPr>
          <w:rFonts w:hint="default" w:ascii="Times New Roman" w:hAnsi="Times New Roman" w:eastAsia="宋体" w:cs="Times New Roman"/>
          <w:color w:val="auto"/>
          <w:sz w:val="28"/>
          <w:szCs w:val="28"/>
          <w:highlight w:val="none"/>
          <w:lang w:eastAsia="zh-CN"/>
        </w:rPr>
        <w:t>城厢镇</w:t>
      </w:r>
      <w:r>
        <w:rPr>
          <w:rFonts w:hint="default" w:ascii="Times New Roman" w:hAnsi="Times New Roman" w:eastAsia="宋体" w:cs="Times New Roman"/>
          <w:color w:val="auto"/>
          <w:sz w:val="28"/>
          <w:szCs w:val="28"/>
          <w:highlight w:val="none"/>
        </w:rPr>
        <w:t>食品药品安全事故应急体制和运行机制，强化应急准备，理清指挥体系和部门职责分工，细化应急响应和工作程序，规范各类事故处置，有效预防、积极应对、及时控制食品药品安全事故及其风险，高效组织应急处置工作，提高本</w:t>
      </w:r>
      <w:r>
        <w:rPr>
          <w:rFonts w:hint="eastAsia" w:ascii="Times New Roman" w:hAnsi="Times New Roman" w:eastAsia="宋体" w:cs="Times New Roman"/>
          <w:color w:val="auto"/>
          <w:sz w:val="28"/>
          <w:szCs w:val="28"/>
          <w:highlight w:val="none"/>
          <w:lang w:val="en-US" w:eastAsia="zh-CN"/>
        </w:rPr>
        <w:t>镇</w:t>
      </w:r>
      <w:r>
        <w:rPr>
          <w:rFonts w:hint="default" w:ascii="Times New Roman" w:hAnsi="Times New Roman" w:eastAsia="宋体" w:cs="Times New Roman"/>
          <w:color w:val="auto"/>
          <w:sz w:val="28"/>
          <w:szCs w:val="28"/>
          <w:highlight w:val="none"/>
        </w:rPr>
        <w:t>综合处理食品药品安全事故的能力，根据有关法律法规，结合</w:t>
      </w:r>
      <w:r>
        <w:rPr>
          <w:rFonts w:hint="default" w:ascii="Times New Roman" w:hAnsi="Times New Roman" w:eastAsia="宋体" w:cs="Times New Roman"/>
          <w:color w:val="auto"/>
          <w:sz w:val="28"/>
          <w:szCs w:val="28"/>
          <w:highlight w:val="none"/>
          <w:lang w:eastAsia="zh-CN"/>
        </w:rPr>
        <w:t>城厢镇</w:t>
      </w:r>
      <w:r>
        <w:rPr>
          <w:rFonts w:hint="default" w:ascii="Times New Roman" w:hAnsi="Times New Roman" w:eastAsia="宋体" w:cs="Times New Roman"/>
          <w:color w:val="auto"/>
          <w:sz w:val="28"/>
          <w:szCs w:val="28"/>
          <w:highlight w:val="none"/>
        </w:rPr>
        <w:t>实际情况，特制定本预案。</w:t>
      </w:r>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10" w:name="_Toc116293324"/>
      <w:r>
        <w:rPr>
          <w:rFonts w:hint="default" w:ascii="楷体" w:hAnsi="楷体" w:eastAsia="楷体" w:cs="楷体"/>
          <w:sz w:val="28"/>
          <w:szCs w:val="28"/>
          <w:lang w:val="en-US" w:bidi="ar-SA"/>
        </w:rPr>
        <w:t>1.2 编制依据</w:t>
      </w:r>
      <w:bookmarkEnd w:id="10"/>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依据《中华人民共和国突发事件应对法》、《中华人民共和国食品安全法》、《中华人民共和国药品管理法》、《中华人民共和国农产品质量安全法》、《中华人民共和国食品安全法实施条例》、《中华人民共和国药品管理法实施条例》、《医疗器械监督管理条例》、《突发公共卫生事件应急条例》、《国家重大食品安全事故应急预案》、《苏州市药品和医疗器械安全突发事件应急预案》、《苏州市食品安全事故应急预案（修订）》、《</w:t>
      </w:r>
      <w:r>
        <w:rPr>
          <w:rFonts w:hint="default" w:ascii="Times New Roman" w:hAnsi="Times New Roman" w:eastAsia="宋体" w:cs="Times New Roman"/>
          <w:color w:val="auto"/>
          <w:sz w:val="28"/>
          <w:szCs w:val="28"/>
          <w:highlight w:val="none"/>
          <w:lang w:eastAsia="zh-CN"/>
        </w:rPr>
        <w:t>城厢镇</w:t>
      </w:r>
      <w:r>
        <w:rPr>
          <w:rFonts w:hint="default" w:ascii="Times New Roman" w:hAnsi="Times New Roman" w:eastAsia="宋体" w:cs="Times New Roman"/>
          <w:color w:val="auto"/>
          <w:sz w:val="28"/>
          <w:szCs w:val="28"/>
          <w:highlight w:val="none"/>
        </w:rPr>
        <w:t>突发事件总体应急预案》等有关法律、法规、规章及相关文件规定，制定本预案。</w:t>
      </w:r>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11" w:name="_Toc116293325"/>
      <w:bookmarkStart w:id="12" w:name="_Toc114499234"/>
      <w:r>
        <w:rPr>
          <w:rFonts w:hint="default" w:ascii="楷体" w:hAnsi="楷体" w:eastAsia="楷体" w:cs="楷体"/>
          <w:sz w:val="28"/>
          <w:szCs w:val="28"/>
          <w:lang w:val="en-US" w:bidi="ar-SA"/>
        </w:rPr>
        <w:t>1.3适用范围</w:t>
      </w:r>
      <w:bookmarkEnd w:id="11"/>
      <w:bookmarkEnd w:id="12"/>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本预案适用于我</w:t>
      </w:r>
      <w:r>
        <w:rPr>
          <w:rFonts w:hint="eastAsia" w:ascii="Times New Roman" w:hAnsi="Times New Roman" w:eastAsia="宋体" w:cs="Times New Roman"/>
          <w:color w:val="auto"/>
          <w:sz w:val="28"/>
          <w:szCs w:val="28"/>
          <w:highlight w:val="none"/>
          <w:lang w:val="en-US" w:eastAsia="zh-CN"/>
        </w:rPr>
        <w:t>镇</w:t>
      </w:r>
      <w:r>
        <w:rPr>
          <w:rFonts w:hint="default" w:ascii="Times New Roman" w:hAnsi="Times New Roman" w:eastAsia="宋体" w:cs="Times New Roman"/>
          <w:color w:val="auto"/>
          <w:sz w:val="28"/>
          <w:szCs w:val="28"/>
          <w:highlight w:val="none"/>
        </w:rPr>
        <w:t>下列食品药品安全事故应急处置：</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1、因食品生产经营者提供的食品引起的食源性疾病等造成人员中毒、健康损害或者可能造成人员中毒、健康损害的；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2、食品生产经营者在生产、加工、贮存、运输、销售等环节因人为或者其他因素导致食品污染，对公众造成人身伤害或者可能造成人身伤害的；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3、因食品生产经营者提供的食品引起的其他人身伤害或者可能引起潜在人身伤害的；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4、由药品生产经营者提供的药品引起的，对人体健康造成或者可能造成损害的药品质量安全事件；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5、我辖区周边地区已经发生的并有可能波及或者已经波及我辖区的食品药品安全事故；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6、其他发生在我行政区域内的食品药品安全事故。</w:t>
      </w:r>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13" w:name="_Toc114499235"/>
      <w:bookmarkStart w:id="14" w:name="_Toc116293326"/>
      <w:r>
        <w:rPr>
          <w:rFonts w:hint="default" w:ascii="楷体" w:hAnsi="楷体" w:eastAsia="楷体" w:cs="楷体"/>
          <w:sz w:val="28"/>
          <w:szCs w:val="28"/>
          <w:lang w:val="en-US" w:bidi="ar-SA"/>
        </w:rPr>
        <w:t>1.4 工作原则</w:t>
      </w:r>
      <w:bookmarkEnd w:id="13"/>
      <w:bookmarkEnd w:id="14"/>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1、以人为本，减少危害。把保障公众健康和生命安全作为应急处置的首要任务，最大限度减少食品药品安全事故造成的社会影响、人员伤亡和健康损害。</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2、分级负责，属地为主。建立</w:t>
      </w:r>
      <w:r>
        <w:rPr>
          <w:rFonts w:hint="default" w:ascii="Times New Roman" w:hAnsi="Times New Roman" w:eastAsia="宋体" w:cs="Times New Roman"/>
          <w:color w:val="auto"/>
          <w:sz w:val="28"/>
          <w:szCs w:val="28"/>
          <w:highlight w:val="none"/>
          <w:lang w:eastAsia="zh-CN"/>
        </w:rPr>
        <w:t>村（社区）</w:t>
      </w:r>
      <w:r>
        <w:rPr>
          <w:rFonts w:hint="default" w:ascii="Times New Roman" w:hAnsi="Times New Roman" w:eastAsia="宋体" w:cs="Times New Roman"/>
          <w:color w:val="auto"/>
          <w:sz w:val="28"/>
          <w:szCs w:val="28"/>
          <w:highlight w:val="none"/>
        </w:rPr>
        <w:t>两级食品药品安全事故应急指挥机构，形成</w:t>
      </w:r>
      <w:r>
        <w:rPr>
          <w:rFonts w:hint="default" w:ascii="Times New Roman" w:hAnsi="Times New Roman" w:eastAsia="宋体" w:cs="Times New Roman"/>
          <w:color w:val="auto"/>
          <w:sz w:val="28"/>
          <w:szCs w:val="28"/>
          <w:highlight w:val="none"/>
          <w:lang w:eastAsia="zh-CN"/>
        </w:rPr>
        <w:t>村（社区）</w:t>
      </w:r>
      <w:r>
        <w:rPr>
          <w:rFonts w:hint="default" w:ascii="Times New Roman" w:hAnsi="Times New Roman" w:eastAsia="宋体" w:cs="Times New Roman"/>
          <w:color w:val="auto"/>
          <w:sz w:val="28"/>
          <w:szCs w:val="28"/>
          <w:highlight w:val="none"/>
        </w:rPr>
        <w:t>两级管理，分级负责，统一指挥，综合协调的食品药品安全事故应对体系；实行属地管理、专业处置，各</w:t>
      </w:r>
      <w:r>
        <w:rPr>
          <w:rFonts w:hint="default" w:ascii="Times New Roman" w:hAnsi="Times New Roman" w:eastAsia="宋体" w:cs="Times New Roman"/>
          <w:color w:val="auto"/>
          <w:sz w:val="28"/>
          <w:szCs w:val="28"/>
          <w:highlight w:val="none"/>
          <w:lang w:eastAsia="zh-CN"/>
        </w:rPr>
        <w:t>村（社区）</w:t>
      </w:r>
      <w:r>
        <w:rPr>
          <w:rFonts w:hint="default" w:ascii="Times New Roman" w:hAnsi="Times New Roman" w:eastAsia="宋体" w:cs="Times New Roman"/>
          <w:color w:val="auto"/>
          <w:sz w:val="28"/>
          <w:szCs w:val="28"/>
          <w:highlight w:val="none"/>
        </w:rPr>
        <w:t>对本管辖区域内发生的食品药品安全事故负有属地管理责任，各有关部门应依法履行监督管理职责。</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3、科学评估，依法处置。有效使用食品药品安全风险监测、评估和预警等科学手段，提高快速反应能力。建立快速反应、协同应对的食品药品安全事故应急机制，依法开展应对处置工作。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4、居安思危，强化准备。坚持常态与非常态相结合，落实各项准备措施，加强科普宣教与应急演练，提高公众自我防范和应对食品药品安全事故的意识和能力。</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5、预防为主，全员防范。将风险管理工作融入日常监管工作全过程，贯穿于监管各环节；充分调动全社会力量，牢固树立风险与应急意识，形成社会共治、全员参与的良好局面。。</w:t>
      </w:r>
    </w:p>
    <w:p>
      <w:pPr>
        <w:pStyle w:val="21"/>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lang w:val="en-US" w:bidi="ar-SA"/>
        </w:rPr>
      </w:pPr>
      <w:bookmarkStart w:id="15" w:name="_Toc114499236"/>
      <w:bookmarkStart w:id="16" w:name="_Toc116293327"/>
      <w:r>
        <w:rPr>
          <w:rFonts w:hint="default" w:ascii="黑体" w:hAnsi="黑体" w:eastAsia="黑体" w:cs="黑体"/>
          <w:sz w:val="32"/>
          <w:szCs w:val="32"/>
          <w:lang w:val="en-US" w:bidi="ar-SA"/>
        </w:rPr>
        <w:t>2 组织体系</w:t>
      </w:r>
      <w:bookmarkEnd w:id="15"/>
      <w:bookmarkEnd w:id="16"/>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17" w:name="_Toc114499237"/>
      <w:bookmarkStart w:id="18" w:name="_Toc116293328"/>
      <w:r>
        <w:rPr>
          <w:rFonts w:hint="default" w:ascii="楷体" w:hAnsi="楷体" w:eastAsia="楷体" w:cs="楷体"/>
          <w:sz w:val="28"/>
          <w:szCs w:val="28"/>
          <w:lang w:val="en-US" w:bidi="ar-SA"/>
        </w:rPr>
        <w:t>2.1</w:t>
      </w:r>
      <w:bookmarkEnd w:id="17"/>
      <w:r>
        <w:rPr>
          <w:rFonts w:hint="default" w:ascii="楷体" w:hAnsi="楷体" w:eastAsia="楷体" w:cs="楷体"/>
          <w:sz w:val="28"/>
          <w:szCs w:val="28"/>
          <w:lang w:val="en-US" w:bidi="ar-SA"/>
        </w:rPr>
        <w:t>应急领导机构及职责</w:t>
      </w:r>
      <w:bookmarkEnd w:id="18"/>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成立食品药品安全事故应急处置指挥部（以下简称食药指），负责统一领导和指挥全</w:t>
      </w:r>
      <w:r>
        <w:rPr>
          <w:rFonts w:hint="default" w:ascii="Times New Roman" w:hAnsi="Times New Roman" w:eastAsia="宋体" w:cs="Times New Roman"/>
          <w:color w:val="auto"/>
          <w:sz w:val="28"/>
          <w:szCs w:val="28"/>
          <w:highlight w:val="none"/>
          <w:lang w:val="en-US" w:eastAsia="zh-CN"/>
        </w:rPr>
        <w:t>镇</w:t>
      </w:r>
      <w:r>
        <w:rPr>
          <w:rFonts w:hint="default" w:ascii="Times New Roman" w:hAnsi="Times New Roman" w:eastAsia="宋体" w:cs="Times New Roman"/>
          <w:color w:val="auto"/>
          <w:sz w:val="28"/>
          <w:szCs w:val="28"/>
          <w:highlight w:val="none"/>
        </w:rPr>
        <w:t>食品、药品安全事故的应急处置工作；组织实施应急处置的对策和措施；事故信息收集、分析和汇总，草拟上报事件产生的原因、责任及相关意见；必要时报请上级单位予以支持，保证食品药品安全事故应急处置工作的顺利进行。</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lang w:val="en-US" w:eastAsia="zh-CN"/>
        </w:rPr>
      </w:pPr>
      <w:r>
        <w:rPr>
          <w:rFonts w:hint="default" w:ascii="Times New Roman" w:hAnsi="Times New Roman" w:eastAsia="宋体" w:cs="Times New Roman"/>
          <w:color w:val="auto"/>
          <w:sz w:val="28"/>
          <w:szCs w:val="28"/>
          <w:highlight w:val="none"/>
          <w:lang w:val="en-US" w:eastAsia="zh-CN"/>
        </w:rPr>
        <w:t>总指挥：顾强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lang w:val="en-US" w:eastAsia="zh-CN"/>
        </w:rPr>
      </w:pPr>
      <w:r>
        <w:rPr>
          <w:rFonts w:hint="default" w:ascii="Times New Roman" w:hAnsi="Times New Roman" w:eastAsia="宋体" w:cs="Times New Roman"/>
          <w:color w:val="auto"/>
          <w:sz w:val="28"/>
          <w:szCs w:val="28"/>
          <w:highlight w:val="none"/>
          <w:lang w:val="en-US" w:eastAsia="zh-CN"/>
        </w:rPr>
        <w:t>副总指挥：王文雷</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lang w:val="en-US" w:eastAsia="zh-CN"/>
        </w:rPr>
      </w:pPr>
      <w:r>
        <w:rPr>
          <w:rFonts w:hint="default" w:ascii="Times New Roman" w:hAnsi="Times New Roman" w:eastAsia="宋体" w:cs="Times New Roman"/>
          <w:color w:val="auto"/>
          <w:sz w:val="28"/>
          <w:szCs w:val="28"/>
          <w:highlight w:val="none"/>
          <w:lang w:val="en-US" w:eastAsia="zh-CN"/>
        </w:rPr>
        <w:t>成员：党政办、人武部、建设局、综合行政执法局、集成指挥中心、经济发展局、财政和资产管理局、社会治理和社会事业局、组织人事和社会保障局、行政审批局、国土分局、城厢供电所、派出所、广电网络、供销社及各行政村（社区）等部门和单位负责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lang w:eastAsia="zh-CN"/>
        </w:rPr>
        <w:t>食药指</w:t>
      </w:r>
      <w:r>
        <w:rPr>
          <w:rFonts w:hint="default" w:ascii="Times New Roman" w:hAnsi="Times New Roman" w:eastAsia="宋体" w:cs="Times New Roman"/>
          <w:color w:val="auto"/>
          <w:sz w:val="28"/>
          <w:szCs w:val="28"/>
          <w:highlight w:val="none"/>
        </w:rPr>
        <w:t>指挥部下设办公室，办公室设在</w:t>
      </w:r>
      <w:r>
        <w:rPr>
          <w:rFonts w:hint="default" w:ascii="Times New Roman" w:hAnsi="Times New Roman" w:eastAsia="宋体" w:cs="Times New Roman"/>
          <w:color w:val="auto"/>
          <w:sz w:val="28"/>
          <w:szCs w:val="28"/>
          <w:highlight w:val="none"/>
          <w:lang w:val="en-US" w:eastAsia="zh-CN"/>
        </w:rPr>
        <w:t>市场监督局城厢分局</w:t>
      </w:r>
      <w:r>
        <w:rPr>
          <w:rFonts w:hint="default" w:ascii="Times New Roman" w:hAnsi="Times New Roman" w:eastAsia="宋体" w:cs="Times New Roman"/>
          <w:color w:val="auto"/>
          <w:sz w:val="28"/>
          <w:szCs w:val="28"/>
          <w:highlight w:val="none"/>
        </w:rPr>
        <w:t>办公室主要职责为：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1.贯彻落实食药指的各项部署，组织实施食品药品安全事故应急处置工作；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2.检查督促有关部门做好食品药品安全事故应急工作，及时有效地控制事故，防止事故蔓延扩大；</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3.协调解决食品药品安全事故应急处置工作中的具体问题，必要时报</w:t>
      </w:r>
      <w:r>
        <w:rPr>
          <w:rFonts w:hint="default" w:ascii="Times New Roman" w:hAnsi="Times New Roman" w:eastAsia="宋体" w:cs="Times New Roman"/>
          <w:color w:val="auto"/>
          <w:sz w:val="28"/>
          <w:szCs w:val="28"/>
          <w:highlight w:val="none"/>
          <w:lang w:eastAsia="zh-CN"/>
        </w:rPr>
        <w:t>食药指</w:t>
      </w:r>
      <w:r>
        <w:rPr>
          <w:rFonts w:hint="default" w:ascii="Times New Roman" w:hAnsi="Times New Roman" w:eastAsia="宋体" w:cs="Times New Roman"/>
          <w:color w:val="auto"/>
          <w:sz w:val="28"/>
          <w:szCs w:val="28"/>
          <w:highlight w:val="none"/>
        </w:rPr>
        <w:t>同意后采取有关控制措施；</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4.向</w:t>
      </w:r>
      <w:r>
        <w:rPr>
          <w:rFonts w:hint="default" w:ascii="Times New Roman" w:hAnsi="Times New Roman" w:eastAsia="宋体" w:cs="Times New Roman"/>
          <w:color w:val="auto"/>
          <w:sz w:val="28"/>
          <w:szCs w:val="28"/>
          <w:highlight w:val="none"/>
          <w:lang w:eastAsia="zh-CN"/>
        </w:rPr>
        <w:t>食药指</w:t>
      </w:r>
      <w:r>
        <w:rPr>
          <w:rFonts w:hint="default" w:ascii="Times New Roman" w:hAnsi="Times New Roman" w:eastAsia="宋体" w:cs="Times New Roman"/>
          <w:color w:val="auto"/>
          <w:sz w:val="28"/>
          <w:szCs w:val="28"/>
          <w:highlight w:val="none"/>
        </w:rPr>
        <w:t>及其成员单位报告、通报事故处置工作情况，提出处置措施建议；</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5.负责组织编制、修订应急预案，组织食品药品安全事故案例评估分析，组织开展应急知识宣传、教育、培训等工作；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6.完成</w:t>
      </w:r>
      <w:r>
        <w:rPr>
          <w:rFonts w:hint="default" w:ascii="Times New Roman" w:hAnsi="Times New Roman" w:eastAsia="宋体" w:cs="Times New Roman"/>
          <w:color w:val="auto"/>
          <w:sz w:val="28"/>
          <w:szCs w:val="28"/>
          <w:highlight w:val="none"/>
          <w:lang w:eastAsia="zh-CN"/>
        </w:rPr>
        <w:t>食药指</w:t>
      </w:r>
      <w:r>
        <w:rPr>
          <w:rFonts w:hint="default" w:ascii="Times New Roman" w:hAnsi="Times New Roman" w:eastAsia="宋体" w:cs="Times New Roman"/>
          <w:color w:val="auto"/>
          <w:sz w:val="28"/>
          <w:szCs w:val="28"/>
          <w:highlight w:val="none"/>
        </w:rPr>
        <w:t>交办的其他任务。</w:t>
      </w:r>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19" w:name="_Toc114499238"/>
      <w:bookmarkStart w:id="20" w:name="_Toc116293329"/>
      <w:r>
        <w:rPr>
          <w:rFonts w:hint="default" w:ascii="楷体" w:hAnsi="楷体" w:eastAsia="楷体" w:cs="楷体"/>
          <w:sz w:val="28"/>
          <w:szCs w:val="28"/>
          <w:lang w:val="en-US" w:bidi="ar-SA"/>
        </w:rPr>
        <w:t>2.2应急救援工作组及职责</w:t>
      </w:r>
      <w:bookmarkEnd w:id="19"/>
      <w:bookmarkEnd w:id="20"/>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食品安全事故发生后，</w:t>
      </w:r>
      <w:r>
        <w:rPr>
          <w:rFonts w:hint="default" w:ascii="Times New Roman" w:hAnsi="Times New Roman" w:eastAsia="宋体" w:cs="Times New Roman"/>
          <w:color w:val="auto"/>
          <w:sz w:val="28"/>
          <w:szCs w:val="28"/>
          <w:highlight w:val="none"/>
          <w:lang w:eastAsia="zh-CN"/>
        </w:rPr>
        <w:t>食药指</w:t>
      </w:r>
      <w:r>
        <w:rPr>
          <w:rFonts w:hint="default" w:ascii="Times New Roman" w:hAnsi="Times New Roman" w:eastAsia="宋体" w:cs="Times New Roman"/>
          <w:color w:val="auto"/>
          <w:sz w:val="28"/>
          <w:szCs w:val="28"/>
          <w:highlight w:val="none"/>
        </w:rPr>
        <w:t>可设立综合协调组、治安警戒组、医疗卫生组、新闻宣传组、善后处理组等应急救援工作组。各工作组的成员组成及职责为：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（1）综合协调组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牵头单位：应急指挥部</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主要职责：立即将事故情况报告</w:t>
      </w:r>
      <w:r>
        <w:rPr>
          <w:rFonts w:hint="default" w:ascii="Times New Roman" w:hAnsi="Times New Roman" w:eastAsia="宋体" w:cs="Times New Roman"/>
          <w:color w:val="auto"/>
          <w:sz w:val="28"/>
          <w:szCs w:val="28"/>
          <w:highlight w:val="none"/>
          <w:lang w:eastAsia="zh-CN"/>
        </w:rPr>
        <w:t>上级</w:t>
      </w:r>
      <w:r>
        <w:rPr>
          <w:rFonts w:hint="default" w:ascii="Times New Roman" w:hAnsi="Times New Roman" w:eastAsia="宋体" w:cs="Times New Roman"/>
          <w:color w:val="auto"/>
          <w:sz w:val="28"/>
          <w:szCs w:val="28"/>
          <w:highlight w:val="none"/>
          <w:lang w:val="en-US" w:eastAsia="zh-CN"/>
        </w:rPr>
        <w:t>政府</w:t>
      </w:r>
      <w:r>
        <w:rPr>
          <w:rFonts w:hint="default" w:ascii="Times New Roman" w:hAnsi="Times New Roman" w:eastAsia="宋体" w:cs="Times New Roman"/>
          <w:color w:val="auto"/>
          <w:sz w:val="28"/>
          <w:szCs w:val="28"/>
          <w:highlight w:val="none"/>
        </w:rPr>
        <w:t>；组织协调实施上级部门救援方案、工作指示和批示；传达总指挥部命令，接收各组反馈情况，沟通各组之间联系；负责应急救援工作情况与事故信息的搜集；掌握现场抢险救灾进度，及时预测事故发展变化趋势；处置信息调度、汇总、上报，与</w:t>
      </w:r>
      <w:r>
        <w:rPr>
          <w:rFonts w:hint="default" w:ascii="Times New Roman" w:hAnsi="Times New Roman" w:eastAsia="宋体" w:cs="Times New Roman"/>
          <w:color w:val="auto"/>
          <w:sz w:val="28"/>
          <w:szCs w:val="28"/>
          <w:highlight w:val="none"/>
          <w:lang w:eastAsia="zh-CN"/>
        </w:rPr>
        <w:t>上级</w:t>
      </w:r>
      <w:r>
        <w:rPr>
          <w:rFonts w:hint="default" w:ascii="Times New Roman" w:hAnsi="Times New Roman" w:eastAsia="宋体" w:cs="Times New Roman"/>
          <w:color w:val="auto"/>
          <w:sz w:val="28"/>
          <w:szCs w:val="28"/>
          <w:highlight w:val="none"/>
        </w:rPr>
        <w:t>指挥部的协调联络等工作。负责抢险救援证件发放；承担领导交办的其他工作。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（2）医疗卫生组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牵头单位：城厢镇社区卫生服务中心</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主要职责：开展紧急医疗救护和现场卫生处置；组织实施上级部门医疗救治方案，提供医疗设施、药品和救治装备；负责对接定点医院、区疾控中心医疗救治及转诊工作；掌握现场应急处置进度，及时预测事件发展变化趋势；提出完善防控工作的策略、措施建议；承担领导交办的其他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（3）治安警戒组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牵头单位：派出所、交警中队</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主要职责：负责制定交通应急措施；负责可疑区域现场封锁工作；负责交通疏导，保障应急处置车辆人员迅速抵达现场；负责社会稳定相关工作，做好群众信访接访；负责防控中相关事故处置；承担领导交办的其他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（4）新闻宣传组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牵头单位：党政办</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主要职责：组织协调新闻媒体及时报道应急处置工作开展情况；积极正确引导舆论，及时澄清事实，处置不实言论；及时收集、整理和报送舆情监测等相关信息；承担领导交办的其他工作。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（5）善后处理组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牵头单位：社会治理和社会事业局</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主要职责：做好对中毒人员的身份确认和处置；落实用于接待中毒人员家属的车辆和住宿；研究制订伤亡人员的补偿测算等善后处理方案，做好相应的安抚和政策解释工作，并及时向指挥部报告善后处理动态。</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lang w:eastAsia="zh-CN"/>
        </w:rPr>
        <w:t>食药指</w:t>
      </w:r>
      <w:r>
        <w:rPr>
          <w:rFonts w:hint="default" w:ascii="Times New Roman" w:hAnsi="Times New Roman" w:eastAsia="宋体" w:cs="Times New Roman"/>
          <w:color w:val="auto"/>
          <w:sz w:val="28"/>
          <w:szCs w:val="28"/>
          <w:highlight w:val="none"/>
        </w:rPr>
        <w:t>相关成员单位要组织食品检验检测、医疗、疾病预防控制等机构为食品安全事故应急处置提供技术支撑。</w:t>
      </w:r>
    </w:p>
    <w:p>
      <w:pPr>
        <w:pStyle w:val="21"/>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lang w:val="en-US" w:bidi="ar-SA"/>
        </w:rPr>
      </w:pPr>
      <w:bookmarkStart w:id="21" w:name="_Toc116293330"/>
      <w:bookmarkStart w:id="22" w:name="_Toc114499239"/>
      <w:r>
        <w:rPr>
          <w:rFonts w:hint="default" w:ascii="黑体" w:hAnsi="黑体" w:eastAsia="黑体" w:cs="黑体"/>
          <w:sz w:val="32"/>
          <w:szCs w:val="32"/>
          <w:lang w:val="en-US" w:bidi="ar-SA"/>
        </w:rPr>
        <w:t>3 预防预警</w:t>
      </w:r>
      <w:bookmarkEnd w:id="21"/>
      <w:bookmarkEnd w:id="22"/>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23" w:name="_Toc116293331"/>
      <w:bookmarkStart w:id="24" w:name="_Toc114499240"/>
      <w:r>
        <w:rPr>
          <w:rFonts w:hint="default" w:ascii="楷体" w:hAnsi="楷体" w:eastAsia="楷体" w:cs="楷体"/>
          <w:sz w:val="28"/>
          <w:szCs w:val="28"/>
          <w:lang w:val="en-US" w:bidi="ar-SA"/>
        </w:rPr>
        <w:t>3.1 预防和应急准备</w:t>
      </w:r>
      <w:bookmarkEnd w:id="23"/>
      <w:bookmarkEnd w:id="24"/>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1）各食品药品生产经营单位应根据自身情况，编制本单位的食品药品安全事故应急预案；做好日常安全隐患排查，对发现的风险隐患及时整改消除；建立应急管理制度，做好应急保障，建立由本企业人员组成的专（兼）职应急管理队伍；每年开展应急相关知识和技能培训，定期组织应急演练，使从业人员掌握应急处置相关程序，提高食品药品安全事故应对能力；与属地有关部门建立应急联动机制，明确应急管理责任人，配合有关部门做好应急管理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2）对本行政区域内存在食品药品安全风险点的生产经营单位定期进行检查和评估，并登记建档，按照有关规定责令其采取风险防范措施；对发现或确认的重大安全隐患进行督办，确保及时整改；制定并及时修订完善本地区食品安全事故应急预案，建立健全应急管理体系，明确工作职责，做好应急资源保障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（3）</w:t>
      </w:r>
      <w:r>
        <w:rPr>
          <w:rFonts w:hint="default" w:ascii="Times New Roman" w:hAnsi="Times New Roman" w:eastAsia="宋体" w:cs="Times New Roman"/>
          <w:color w:val="auto"/>
          <w:sz w:val="28"/>
          <w:szCs w:val="28"/>
          <w:highlight w:val="none"/>
          <w:lang w:eastAsia="zh-CN"/>
        </w:rPr>
        <w:t>食药指</w:t>
      </w:r>
      <w:r>
        <w:rPr>
          <w:rFonts w:hint="default" w:ascii="Times New Roman" w:hAnsi="Times New Roman" w:eastAsia="宋体" w:cs="Times New Roman"/>
          <w:color w:val="auto"/>
          <w:sz w:val="28"/>
          <w:szCs w:val="28"/>
          <w:highlight w:val="none"/>
        </w:rPr>
        <w:t>各成员单位应对可能引发食品药品安全事故的苗头性信息，及时分析研判，发布预警信息，督促有关责任主体采取预防措施，防止事故发生或扩大蔓延。</w:t>
      </w:r>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25" w:name="_Toc116293332"/>
      <w:bookmarkStart w:id="26" w:name="_Toc114499241"/>
      <w:r>
        <w:rPr>
          <w:rFonts w:hint="default" w:ascii="楷体" w:hAnsi="楷体" w:eastAsia="楷体" w:cs="楷体"/>
          <w:sz w:val="28"/>
          <w:szCs w:val="28"/>
          <w:lang w:val="en-US" w:bidi="ar-SA"/>
        </w:rPr>
        <w:t>3.2 监测</w:t>
      </w:r>
      <w:bookmarkEnd w:id="25"/>
      <w:bookmarkEnd w:id="26"/>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各成员单位按照各自职责，根据食品药品安全事故发生的特点，加强食品药品安全隐患排查和监测，尤其是对高风险食品药品和种植养殖、生产加工、流通、消费等重点环节，建立健全风险源等基础信息数据库，划分监测区域，明确监测项目，确定监测点，完善监测网络。市场监管管理局金鸡湖商务区分局负责建立全区统一的食品药品安全事故监测系统，提供必要的设备、设施，配备专（兼）职监测人员，对可能发生的食品药品安全事故进行监测，及时分析食品药品安全事故发生的可能性、级别、趋势和危害程度，向上级食品药品监管部门提出监测报告和应对建议。</w:t>
      </w:r>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27" w:name="_Toc116293333"/>
      <w:r>
        <w:rPr>
          <w:rFonts w:hint="default" w:ascii="楷体" w:hAnsi="楷体" w:eastAsia="楷体" w:cs="楷体"/>
          <w:sz w:val="28"/>
          <w:szCs w:val="28"/>
          <w:lang w:val="en-US" w:bidi="ar-SA"/>
        </w:rPr>
        <w:t>3.3 预警</w:t>
      </w:r>
      <w:bookmarkEnd w:id="27"/>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（1）预警上报及信息发布</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对可以预警的食品药品安全事故进行预警上报。根据预警级别、事故可能造成的危害程度、紧急程度和发展势态，向上级部门报告预警信息。</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（2）预警行动</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根据上级部门发布的预警信息，组织、配合相关部门和机构、专业技术人员及专家对食品药品安全信息和热点敏感舆情的收集、核查、汇总和分析研判。同时，多渠道开展宣传教育，加强对食品药品安全应急科普知识的宣传，告知公众停止食用或者使用不安全食品药品；应急专业队伍和负有相关职责的人员进入待命状态，调集食品药品安全事故应急物资、装备和设备，做好应急保障工作；根据有关要求，及时准确发布事态最新进展，组织专家解读，并对可能产生的危害加以说明；加强舆情跟踪监测，主动回应社会关切，及时澄清谣言传言。</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（3）预警调整和解除</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根据事态发展变化，适时调整预警级别、更新预警信息内容，并重新发布、报告和通报有关情况。当研判可能引发食品药品安全事故的因素已经消除或得到有效控制，应及时解除预警。</w:t>
      </w:r>
    </w:p>
    <w:p>
      <w:pPr>
        <w:pStyle w:val="21"/>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lang w:val="en-US" w:bidi="ar-SA"/>
        </w:rPr>
      </w:pPr>
      <w:bookmarkStart w:id="28" w:name="_Toc116293334"/>
      <w:bookmarkStart w:id="29" w:name="_Toc114499243"/>
      <w:r>
        <w:rPr>
          <w:rFonts w:hint="default" w:ascii="黑体" w:hAnsi="黑体" w:eastAsia="黑体" w:cs="黑体"/>
          <w:sz w:val="32"/>
          <w:szCs w:val="32"/>
          <w:lang w:val="en-US" w:bidi="ar-SA"/>
        </w:rPr>
        <w:t>4 信息报告与通报</w:t>
      </w:r>
      <w:bookmarkEnd w:id="28"/>
      <w:bookmarkEnd w:id="29"/>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30" w:name="_Toc114499244"/>
      <w:bookmarkStart w:id="31" w:name="_Toc116293335"/>
      <w:r>
        <w:rPr>
          <w:rFonts w:hint="default" w:ascii="楷体" w:hAnsi="楷体" w:eastAsia="楷体" w:cs="楷体"/>
          <w:sz w:val="28"/>
          <w:szCs w:val="28"/>
          <w:lang w:val="en-US" w:bidi="ar-SA"/>
        </w:rPr>
        <w:t>4.1 报告主体和时限</w:t>
      </w:r>
      <w:bookmarkEnd w:id="30"/>
      <w:bookmarkEnd w:id="31"/>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建立健全食品药品安全事故信息报告制度，明确报告的主体、程序及内容，强化首报、续报、终报责任意识，提高事故信息报告的时效性、规范性和准确性。任何单位和个人不得迟报、谎报、瞒报、漏报食品药品安全事故信息，不得隐匿、伪造、毁灭有关证据。</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（1）食品药品生产经营者发现其生产经营的食品药品造成或者可能造成公众健康损害的，应当立即向</w:t>
      </w:r>
      <w:r>
        <w:rPr>
          <w:rFonts w:hint="default" w:ascii="Times New Roman" w:hAnsi="Times New Roman" w:eastAsia="宋体" w:cs="Times New Roman"/>
          <w:color w:val="auto"/>
          <w:sz w:val="28"/>
          <w:szCs w:val="28"/>
          <w:highlight w:val="none"/>
          <w:lang w:eastAsia="zh-CN"/>
        </w:rPr>
        <w:t>食药指</w:t>
      </w:r>
      <w:r>
        <w:rPr>
          <w:rFonts w:hint="default" w:ascii="Times New Roman" w:hAnsi="Times New Roman" w:eastAsia="宋体" w:cs="Times New Roman"/>
          <w:color w:val="auto"/>
          <w:sz w:val="28"/>
          <w:szCs w:val="28"/>
          <w:highlight w:val="none"/>
        </w:rPr>
        <w:t>报告。</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（2）发生可能与食品药品安全有关的急性群体性健康损害的单位，应当立即向</w:t>
      </w:r>
      <w:r>
        <w:rPr>
          <w:rFonts w:hint="default" w:ascii="Times New Roman" w:hAnsi="Times New Roman" w:eastAsia="宋体" w:cs="Times New Roman"/>
          <w:color w:val="auto"/>
          <w:sz w:val="28"/>
          <w:szCs w:val="28"/>
          <w:highlight w:val="none"/>
          <w:lang w:eastAsia="zh-CN"/>
        </w:rPr>
        <w:t>食药指</w:t>
      </w:r>
      <w:r>
        <w:rPr>
          <w:rFonts w:hint="default" w:ascii="Times New Roman" w:hAnsi="Times New Roman" w:eastAsia="宋体" w:cs="Times New Roman"/>
          <w:color w:val="auto"/>
          <w:sz w:val="28"/>
          <w:szCs w:val="28"/>
          <w:highlight w:val="none"/>
        </w:rPr>
        <w:t>报告。</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（3）医疗机构发现其接收的病人属于食源性疾病病人或者疑似病人的，应当立即将相关信息向</w:t>
      </w:r>
      <w:r>
        <w:rPr>
          <w:rFonts w:hint="default" w:ascii="Times New Roman" w:hAnsi="Times New Roman" w:eastAsia="宋体" w:cs="Times New Roman"/>
          <w:color w:val="auto"/>
          <w:sz w:val="28"/>
          <w:szCs w:val="28"/>
          <w:highlight w:val="none"/>
          <w:lang w:eastAsia="zh-CN"/>
        </w:rPr>
        <w:t>城厢镇</w:t>
      </w:r>
      <w:r>
        <w:rPr>
          <w:rFonts w:hint="default" w:ascii="Times New Roman" w:hAnsi="Times New Roman" w:eastAsia="宋体" w:cs="Times New Roman"/>
          <w:color w:val="auto"/>
          <w:sz w:val="28"/>
          <w:szCs w:val="28"/>
          <w:highlight w:val="none"/>
        </w:rPr>
        <w:t>行政审批局报告。</w:t>
      </w:r>
      <w:r>
        <w:rPr>
          <w:rFonts w:hint="default" w:ascii="Times New Roman" w:hAnsi="Times New Roman" w:eastAsia="宋体" w:cs="Times New Roman"/>
          <w:color w:val="auto"/>
          <w:sz w:val="28"/>
          <w:szCs w:val="28"/>
          <w:highlight w:val="none"/>
          <w:lang w:eastAsia="zh-CN"/>
        </w:rPr>
        <w:t>城厢镇</w:t>
      </w:r>
      <w:r>
        <w:rPr>
          <w:rFonts w:hint="default" w:ascii="Times New Roman" w:hAnsi="Times New Roman" w:eastAsia="宋体" w:cs="Times New Roman"/>
          <w:color w:val="auto"/>
          <w:sz w:val="28"/>
          <w:szCs w:val="28"/>
          <w:highlight w:val="none"/>
        </w:rPr>
        <w:t>行政审批局认为与食品药品安全有关的，应当及时通报</w:t>
      </w:r>
      <w:r>
        <w:rPr>
          <w:rFonts w:hint="default" w:ascii="Times New Roman" w:hAnsi="Times New Roman" w:eastAsia="宋体" w:cs="Times New Roman"/>
          <w:color w:val="auto"/>
          <w:sz w:val="28"/>
          <w:szCs w:val="28"/>
          <w:highlight w:val="none"/>
          <w:lang w:eastAsia="zh-CN"/>
        </w:rPr>
        <w:t>食药指</w:t>
      </w:r>
      <w:r>
        <w:rPr>
          <w:rFonts w:hint="default" w:ascii="Times New Roman" w:hAnsi="Times New Roman" w:eastAsia="宋体" w:cs="Times New Roman"/>
          <w:color w:val="auto"/>
          <w:sz w:val="28"/>
          <w:szCs w:val="28"/>
          <w:highlight w:val="none"/>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（4）各局办（中心）、各</w:t>
      </w:r>
      <w:r>
        <w:rPr>
          <w:rFonts w:hint="default" w:ascii="Times New Roman" w:hAnsi="Times New Roman" w:eastAsia="宋体" w:cs="Times New Roman"/>
          <w:color w:val="auto"/>
          <w:sz w:val="28"/>
          <w:szCs w:val="28"/>
          <w:highlight w:val="none"/>
          <w:lang w:eastAsia="zh-CN"/>
        </w:rPr>
        <w:t>村（社区）</w:t>
      </w:r>
      <w:r>
        <w:rPr>
          <w:rFonts w:hint="default" w:ascii="Times New Roman" w:hAnsi="Times New Roman" w:eastAsia="宋体" w:cs="Times New Roman"/>
          <w:color w:val="auto"/>
          <w:sz w:val="28"/>
          <w:szCs w:val="28"/>
          <w:highlight w:val="none"/>
        </w:rPr>
        <w:t>获知食品药品安全事故或接到食品药品安全事故报告、举报的，应当立即通报</w:t>
      </w:r>
      <w:r>
        <w:rPr>
          <w:rFonts w:hint="default" w:ascii="Times New Roman" w:hAnsi="Times New Roman" w:eastAsia="宋体" w:cs="Times New Roman"/>
          <w:color w:val="auto"/>
          <w:sz w:val="28"/>
          <w:szCs w:val="28"/>
          <w:highlight w:val="none"/>
          <w:lang w:eastAsia="zh-CN"/>
        </w:rPr>
        <w:t>食药指</w:t>
      </w:r>
      <w:r>
        <w:rPr>
          <w:rFonts w:hint="default" w:ascii="Times New Roman" w:hAnsi="Times New Roman" w:eastAsia="宋体" w:cs="Times New Roman"/>
          <w:color w:val="auto"/>
          <w:sz w:val="28"/>
          <w:szCs w:val="28"/>
          <w:highlight w:val="none"/>
        </w:rPr>
        <w:t>；经初步核实后要继续收集相关信息，并及时将有关情况进一步向</w:t>
      </w:r>
      <w:r>
        <w:rPr>
          <w:rFonts w:hint="default" w:ascii="Times New Roman" w:hAnsi="Times New Roman" w:eastAsia="宋体" w:cs="Times New Roman"/>
          <w:color w:val="auto"/>
          <w:sz w:val="28"/>
          <w:szCs w:val="28"/>
          <w:highlight w:val="none"/>
          <w:lang w:eastAsia="zh-CN"/>
        </w:rPr>
        <w:t>上级</w:t>
      </w:r>
      <w:r>
        <w:rPr>
          <w:rFonts w:hint="default" w:ascii="Times New Roman" w:hAnsi="Times New Roman" w:eastAsia="宋体" w:cs="Times New Roman"/>
          <w:color w:val="auto"/>
          <w:sz w:val="28"/>
          <w:szCs w:val="28"/>
          <w:highlight w:val="none"/>
        </w:rPr>
        <w:t>市管局汇报。</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（5）发生食品药品安全事故,</w:t>
      </w:r>
      <w:r>
        <w:rPr>
          <w:rFonts w:hint="default" w:ascii="Times New Roman" w:hAnsi="Times New Roman" w:eastAsia="宋体" w:cs="Times New Roman"/>
          <w:color w:val="auto"/>
          <w:sz w:val="28"/>
          <w:szCs w:val="28"/>
          <w:highlight w:val="none"/>
          <w:lang w:eastAsia="zh-CN"/>
        </w:rPr>
        <w:t>食药指</w:t>
      </w:r>
      <w:r>
        <w:rPr>
          <w:rFonts w:hint="default" w:ascii="Times New Roman" w:hAnsi="Times New Roman" w:eastAsia="宋体" w:cs="Times New Roman"/>
          <w:color w:val="auto"/>
          <w:sz w:val="28"/>
          <w:szCs w:val="28"/>
          <w:highlight w:val="none"/>
        </w:rPr>
        <w:t>在核实事故属实后立即报告</w:t>
      </w:r>
      <w:r>
        <w:rPr>
          <w:rFonts w:hint="default" w:ascii="Times New Roman" w:hAnsi="Times New Roman" w:eastAsia="宋体" w:cs="Times New Roman"/>
          <w:color w:val="auto"/>
          <w:sz w:val="28"/>
          <w:szCs w:val="28"/>
          <w:highlight w:val="none"/>
          <w:lang w:eastAsia="zh-CN"/>
        </w:rPr>
        <w:t>上级政府</w:t>
      </w:r>
      <w:r>
        <w:rPr>
          <w:rFonts w:hint="default" w:ascii="Times New Roman" w:hAnsi="Times New Roman" w:eastAsia="宋体" w:cs="Times New Roman"/>
          <w:color w:val="auto"/>
          <w:sz w:val="28"/>
          <w:szCs w:val="28"/>
          <w:highlight w:val="none"/>
        </w:rPr>
        <w:t>及上级相关部门。</w:t>
      </w:r>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32" w:name="_Toc116293336"/>
      <w:bookmarkStart w:id="33" w:name="_Toc114499245"/>
      <w:r>
        <w:rPr>
          <w:rFonts w:hint="default" w:ascii="楷体" w:hAnsi="楷体" w:eastAsia="楷体" w:cs="楷体"/>
          <w:sz w:val="28"/>
          <w:szCs w:val="28"/>
          <w:lang w:val="en-US" w:bidi="ar-SA"/>
        </w:rPr>
        <w:t>4.2 报告内容</w:t>
      </w:r>
      <w:bookmarkEnd w:id="32"/>
      <w:bookmarkEnd w:id="33"/>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食品药品生产经营者、医疗机构、技术机构和社会团体、个人报告的食品药品安全事故信息，应当包括事故发生时间、地点和当前状况等基本情况。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lang w:eastAsia="zh-CN"/>
        </w:rPr>
        <w:t>食药指</w:t>
      </w:r>
      <w:r>
        <w:rPr>
          <w:rFonts w:hint="default" w:ascii="Times New Roman" w:hAnsi="Times New Roman" w:eastAsia="宋体" w:cs="Times New Roman"/>
          <w:color w:val="auto"/>
          <w:sz w:val="28"/>
          <w:szCs w:val="28"/>
          <w:highlight w:val="none"/>
        </w:rPr>
        <w:t>及相关部门应认真做好食品药品安全事故信息的首报、续报和终报工作。首报信息应包括信息来源、事故发生时间、地点、当前状况、危害程度、先期处置措施等要素。根据事故发展情况可进行多次续报，续报信息主要包括事故进展、发展趋势、后续应对措施、调查详情、原因分析等要素。事故应急处置结束后，应进行信息终报。终报信息应包括事故概况、调查处置过程、事故性质、责任认定、追溯或处置结果、整改措施和效果评价等要素。终报信息应在事故处理结束后7个工作日内作出。</w:t>
      </w:r>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34" w:name="_Toc114499246"/>
      <w:bookmarkStart w:id="35" w:name="_Toc116293337"/>
      <w:r>
        <w:rPr>
          <w:rFonts w:hint="default" w:ascii="楷体" w:hAnsi="楷体" w:eastAsia="楷体" w:cs="楷体"/>
          <w:sz w:val="28"/>
          <w:szCs w:val="28"/>
          <w:lang w:val="en-US" w:bidi="ar-SA"/>
        </w:rPr>
        <w:t>4.3 事故评估</w:t>
      </w:r>
      <w:bookmarkEnd w:id="34"/>
      <w:bookmarkEnd w:id="35"/>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事故评估内容应包括：</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（1）涉事产品可能导致的健康损害及所涉及的范围，是否已造成健康损害后果及严重程度；</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（2）事故的影响范围及严重程度；</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（3）事故发展蔓延趋势等。</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lang w:eastAsia="zh-CN"/>
        </w:rPr>
        <w:t>食药指</w:t>
      </w:r>
      <w:r>
        <w:rPr>
          <w:rFonts w:hint="default" w:ascii="Times New Roman" w:hAnsi="Times New Roman" w:eastAsia="宋体" w:cs="Times New Roman"/>
          <w:color w:val="auto"/>
          <w:sz w:val="28"/>
          <w:szCs w:val="28"/>
          <w:highlight w:val="none"/>
        </w:rPr>
        <w:t>应按规定及时向上级相关部门提供相关信息和资料，由上级相关部门统一组织开展食品药品安全事故评估。</w:t>
      </w:r>
    </w:p>
    <w:p>
      <w:pPr>
        <w:pStyle w:val="21"/>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lang w:val="en-US" w:bidi="ar-SA"/>
        </w:rPr>
      </w:pPr>
      <w:bookmarkStart w:id="36" w:name="_Toc116293338"/>
      <w:bookmarkStart w:id="37" w:name="_Toc114499247"/>
      <w:r>
        <w:rPr>
          <w:rFonts w:hint="default" w:ascii="黑体" w:hAnsi="黑体" w:eastAsia="黑体" w:cs="黑体"/>
          <w:sz w:val="32"/>
          <w:szCs w:val="32"/>
          <w:lang w:val="en-US" w:bidi="ar-SA"/>
        </w:rPr>
        <w:t>5 应急处置</w:t>
      </w:r>
      <w:bookmarkEnd w:id="36"/>
      <w:bookmarkEnd w:id="37"/>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38" w:name="_Toc114499248"/>
      <w:bookmarkStart w:id="39" w:name="_Toc116293339"/>
      <w:r>
        <w:rPr>
          <w:rFonts w:hint="default" w:ascii="楷体" w:hAnsi="楷体" w:eastAsia="楷体" w:cs="楷体"/>
          <w:sz w:val="28"/>
          <w:szCs w:val="28"/>
          <w:lang w:val="en-US" w:bidi="ar-SA"/>
        </w:rPr>
        <w:t>5.1 响应措施</w:t>
      </w:r>
      <w:bookmarkEnd w:id="38"/>
      <w:bookmarkEnd w:id="39"/>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应急响应启动后，</w:t>
      </w:r>
      <w:r>
        <w:rPr>
          <w:rFonts w:hint="default" w:ascii="Times New Roman" w:hAnsi="Times New Roman" w:eastAsia="宋体" w:cs="Times New Roman"/>
          <w:color w:val="auto"/>
          <w:sz w:val="28"/>
          <w:szCs w:val="28"/>
          <w:highlight w:val="none"/>
          <w:lang w:eastAsia="zh-CN"/>
        </w:rPr>
        <w:t>食药指</w:t>
      </w:r>
      <w:r>
        <w:rPr>
          <w:rFonts w:hint="default" w:ascii="Times New Roman" w:hAnsi="Times New Roman" w:eastAsia="宋体" w:cs="Times New Roman"/>
          <w:color w:val="auto"/>
          <w:sz w:val="28"/>
          <w:szCs w:val="28"/>
          <w:highlight w:val="none"/>
        </w:rPr>
        <w:t>和有关部门根据</w:t>
      </w:r>
      <w:r>
        <w:rPr>
          <w:rFonts w:hint="default" w:ascii="Times New Roman" w:hAnsi="Times New Roman" w:eastAsia="宋体" w:cs="Times New Roman"/>
          <w:color w:val="auto"/>
          <w:sz w:val="28"/>
          <w:szCs w:val="28"/>
          <w:highlight w:val="none"/>
          <w:lang w:eastAsia="zh-CN"/>
        </w:rPr>
        <w:t>上级</w:t>
      </w:r>
      <w:r>
        <w:rPr>
          <w:rFonts w:hint="default" w:ascii="Times New Roman" w:hAnsi="Times New Roman" w:eastAsia="宋体" w:cs="Times New Roman"/>
          <w:color w:val="auto"/>
          <w:sz w:val="28"/>
          <w:szCs w:val="28"/>
          <w:highlight w:val="none"/>
        </w:rPr>
        <w:t>响应级别和职责分工，组织开展以下相关措施</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（1）医疗救治</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迅速组织当地医疗资源和力量，对食品药品安全事故患者进行诊断治疗，将重症患者转运到有条件的医疗机构加强救治。提出保护公众身体健康的措施建议，做好患者心理疏导。</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（2）现场处置</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各有关部门应当依法先行登记保存或查封、扣押可能导致食品药品安全事故的食品药品及其原料和食品药品相关产品；对确认属于被污染的食品药品及其原料，责令生产经营者按相关法律法规停止生产经营和召回；对被污染的食品药品相关产品，在完成相关调查后，责令生产经营者立即进行安全处置；必要时应当标明危害范围，防止危害扩大或证据灭失等。依法封存涉事相关场所以及用于食品药品生产经营的工具、设备，待现场调查结束后，责令彻底清洗消毒被污染的场所以及用于食品药品生产经营的工具、设备，消除污染。</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（3）事故调查</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按照依法依规、实事求是、尊重科学的原则，及时开展事故调查工作。事故调查应当准确查清事故性质和原因，分析评估事故风险和发展趋势，认定事故责任，研究提出防范措施和整改意见建议，并提交调查报告。对涉嫌犯罪的，司法机关及时介入，开展相关违法犯罪行为侦破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（4）信息发布和舆论引导</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在</w:t>
      </w:r>
      <w:r>
        <w:rPr>
          <w:rFonts w:hint="eastAsia" w:ascii="Times New Roman" w:hAnsi="Times New Roman" w:eastAsia="宋体" w:cs="Times New Roman"/>
          <w:color w:val="auto"/>
          <w:sz w:val="28"/>
          <w:szCs w:val="28"/>
          <w:highlight w:val="none"/>
          <w:lang w:val="en-US" w:eastAsia="zh-CN"/>
        </w:rPr>
        <w:t>镇</w:t>
      </w:r>
      <w:r>
        <w:rPr>
          <w:rFonts w:hint="default" w:ascii="Times New Roman" w:hAnsi="Times New Roman" w:eastAsia="宋体" w:cs="Times New Roman"/>
          <w:color w:val="auto"/>
          <w:sz w:val="28"/>
          <w:szCs w:val="28"/>
          <w:highlight w:val="none"/>
        </w:rPr>
        <w:t>党委的指导下，</w:t>
      </w:r>
      <w:r>
        <w:rPr>
          <w:rFonts w:hint="default" w:ascii="Times New Roman" w:hAnsi="Times New Roman" w:eastAsia="宋体" w:cs="Times New Roman"/>
          <w:color w:val="auto"/>
          <w:sz w:val="28"/>
          <w:szCs w:val="28"/>
          <w:highlight w:val="none"/>
          <w:lang w:eastAsia="zh-CN"/>
        </w:rPr>
        <w:t>食药指</w:t>
      </w:r>
      <w:r>
        <w:rPr>
          <w:rFonts w:hint="default" w:ascii="Times New Roman" w:hAnsi="Times New Roman" w:eastAsia="宋体" w:cs="Times New Roman"/>
          <w:color w:val="auto"/>
          <w:sz w:val="28"/>
          <w:szCs w:val="28"/>
          <w:highlight w:val="none"/>
        </w:rPr>
        <w:t>同事故调查处置主管部门指定专人负责信息汇集和联络工作，迅速拟定信息发布方案，确定发布内容，及时上报上级部门审核后统一发布信息。在信息发布中，应当及时、准确、全面、客观地报道事故进展、医疗救治、善后处置等情况。第一时间发布简要信息，随后发布初步核实情况、应对措施和公众防范措施等，并根据事故处置情况做好后续信息发布。加强舆情监测，做好舆论引导。</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（5）维护社会稳定</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加强事发地区社会治安管控，严厉打击借机传播谣言、制造社会恐慌、哄抢物资等违法犯罪行为。加强救助患者的医疗机构、涉事生产经营单位、应急物资存放点等重点地区治安管控。做好各类矛盾纠纷化解和法律服务工作，防止出现群体性事件，维护社会稳定。</w:t>
      </w:r>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40" w:name="_Toc114499249"/>
      <w:bookmarkStart w:id="41" w:name="_Toc116293340"/>
      <w:r>
        <w:rPr>
          <w:rFonts w:hint="default" w:ascii="楷体" w:hAnsi="楷体" w:eastAsia="楷体" w:cs="楷体"/>
          <w:sz w:val="28"/>
          <w:szCs w:val="28"/>
          <w:lang w:val="en-US" w:bidi="ar-SA"/>
        </w:rPr>
        <w:t>5.2 响应级别调整及终止</w:t>
      </w:r>
      <w:bookmarkEnd w:id="40"/>
      <w:bookmarkEnd w:id="41"/>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根据上级部门发布的应急响应级别调整，结合实际情况和处置工作需要，及时调整事故响应程度，避免应急响应过度或不足，直至响应终止。</w:t>
      </w:r>
    </w:p>
    <w:p>
      <w:pPr>
        <w:pStyle w:val="21"/>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lang w:val="en-US" w:bidi="ar-SA"/>
        </w:rPr>
      </w:pPr>
      <w:bookmarkStart w:id="42" w:name="_Toc114499250"/>
      <w:bookmarkStart w:id="43" w:name="_Toc116293341"/>
      <w:r>
        <w:rPr>
          <w:rFonts w:hint="default" w:ascii="黑体" w:hAnsi="黑体" w:eastAsia="黑体" w:cs="黑体"/>
          <w:sz w:val="32"/>
          <w:szCs w:val="32"/>
          <w:lang w:val="en-US" w:bidi="ar-SA"/>
        </w:rPr>
        <w:t>6 后期工作</w:t>
      </w:r>
      <w:bookmarkEnd w:id="42"/>
      <w:bookmarkEnd w:id="43"/>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44" w:name="_Toc116293342"/>
      <w:bookmarkStart w:id="45" w:name="_Toc114499251"/>
      <w:r>
        <w:rPr>
          <w:rFonts w:hint="default" w:ascii="楷体" w:hAnsi="楷体" w:eastAsia="楷体" w:cs="楷体"/>
          <w:sz w:val="28"/>
          <w:szCs w:val="28"/>
          <w:lang w:val="en-US" w:bidi="ar-SA"/>
        </w:rPr>
        <w:t>6.1 善后处置</w:t>
      </w:r>
      <w:bookmarkEnd w:id="44"/>
      <w:bookmarkEnd w:id="45"/>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食品药品安全事故的善后处置包括人员安置、补偿，征用物资及运输费用补偿，应急及医疗机构垫付费用、事故受害者后续治疗费用、产品抽样及检验费用的及时拨付，污染物收集、清理与处理等。造成食品药品安全事故的责任单位和责任人应当按照有关规定对受害人给予赔偿，承担受害人后续治疗及保障等相关费用。</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lang w:eastAsia="zh-CN"/>
        </w:rPr>
        <w:t>食药指</w:t>
      </w:r>
      <w:r>
        <w:rPr>
          <w:rFonts w:hint="default" w:ascii="Times New Roman" w:hAnsi="Times New Roman" w:eastAsia="宋体" w:cs="Times New Roman"/>
          <w:color w:val="auto"/>
          <w:sz w:val="28"/>
          <w:szCs w:val="28"/>
          <w:highlight w:val="none"/>
        </w:rPr>
        <w:t>及有关部门要积极稳妥、深入细致地做好善后处置工作，尽快妥善安置、慰问受害和受影响人员，消除事故影响，恢复正常秩序；完善相关政策，促进行业健康发展。</w:t>
      </w:r>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46" w:name="_Toc114499252"/>
      <w:bookmarkStart w:id="47" w:name="_Toc116293343"/>
      <w:r>
        <w:rPr>
          <w:rFonts w:hint="default" w:ascii="楷体" w:hAnsi="楷体" w:eastAsia="楷体" w:cs="楷体"/>
          <w:sz w:val="28"/>
          <w:szCs w:val="28"/>
          <w:lang w:val="en-US" w:bidi="ar-SA"/>
        </w:rPr>
        <w:t>6.2 奖励和责任</w:t>
      </w:r>
      <w:bookmarkEnd w:id="46"/>
      <w:bookmarkEnd w:id="47"/>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对在食品药品安全事故应对工作中有突出贡献的单位和个人，应依据有关规定给予褒奖。对失职、渎职的人员，要按照有关规定追究责任；构成犯罪的，依法追究刑事责任。</w:t>
      </w:r>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48" w:name="_Toc114499253"/>
      <w:bookmarkStart w:id="49" w:name="_Toc116293344"/>
      <w:r>
        <w:rPr>
          <w:rFonts w:hint="default" w:ascii="楷体" w:hAnsi="楷体" w:eastAsia="楷体" w:cs="楷体"/>
          <w:sz w:val="28"/>
          <w:szCs w:val="28"/>
          <w:lang w:val="en-US" w:bidi="ar-SA"/>
        </w:rPr>
        <w:t xml:space="preserve">6.3 </w:t>
      </w:r>
      <w:bookmarkEnd w:id="48"/>
      <w:bookmarkEnd w:id="49"/>
      <w:r>
        <w:rPr>
          <w:rFonts w:hint="default" w:ascii="楷体" w:hAnsi="楷体" w:eastAsia="楷体" w:cs="楷体"/>
          <w:sz w:val="28"/>
          <w:szCs w:val="28"/>
          <w:lang w:val="en-US" w:bidi="ar-SA"/>
        </w:rPr>
        <w:t>事故调查</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食品药品安全事故处置工作结束后，</w:t>
      </w:r>
      <w:r>
        <w:rPr>
          <w:rFonts w:hint="default" w:ascii="Times New Roman" w:hAnsi="Times New Roman" w:eastAsia="宋体" w:cs="Times New Roman"/>
          <w:color w:val="auto"/>
          <w:sz w:val="28"/>
          <w:szCs w:val="28"/>
          <w:highlight w:val="none"/>
          <w:lang w:eastAsia="zh-CN"/>
        </w:rPr>
        <w:t>食药指</w:t>
      </w:r>
      <w:r>
        <w:rPr>
          <w:rFonts w:hint="default" w:ascii="Times New Roman" w:hAnsi="Times New Roman" w:eastAsia="宋体" w:cs="Times New Roman"/>
          <w:color w:val="auto"/>
          <w:sz w:val="28"/>
          <w:szCs w:val="28"/>
          <w:highlight w:val="none"/>
        </w:rPr>
        <w:t>及有关部门配合上级有关部门进行事故调查，事故调查严格按照相关法律法规规定进行。</w:t>
      </w:r>
    </w:p>
    <w:p>
      <w:pPr>
        <w:pStyle w:val="21"/>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lang w:val="en-US" w:bidi="ar-SA"/>
        </w:rPr>
      </w:pPr>
      <w:bookmarkStart w:id="50" w:name="_Toc114499254"/>
      <w:bookmarkStart w:id="51" w:name="_Toc116293345"/>
      <w:r>
        <w:rPr>
          <w:rFonts w:hint="default" w:ascii="黑体" w:hAnsi="黑体" w:eastAsia="黑体" w:cs="黑体"/>
          <w:sz w:val="32"/>
          <w:szCs w:val="32"/>
          <w:lang w:val="en-US" w:bidi="ar-SA"/>
        </w:rPr>
        <w:t>7 应急保障</w:t>
      </w:r>
      <w:bookmarkEnd w:id="50"/>
      <w:bookmarkEnd w:id="51"/>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52" w:name="_Toc114499255"/>
      <w:bookmarkStart w:id="53" w:name="_Toc116293346"/>
      <w:r>
        <w:rPr>
          <w:rFonts w:hint="default" w:ascii="楷体" w:hAnsi="楷体" w:eastAsia="楷体" w:cs="楷体"/>
          <w:sz w:val="28"/>
          <w:szCs w:val="28"/>
          <w:lang w:val="en-US" w:bidi="ar-SA"/>
        </w:rPr>
        <w:t>7.1 队伍保障</w:t>
      </w:r>
      <w:bookmarkEnd w:id="52"/>
      <w:bookmarkEnd w:id="53"/>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强化应急处置队伍能力建设，组织开展必要的培训和应急演练，提高食品药品安全事故快速反应和应急处置能力。发挥应急专家队伍作用，为食品药品安全事故指挥决策、危害评估和调查处理等工作提供咨询建议。</w:t>
      </w:r>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54" w:name="_Toc116293347"/>
      <w:bookmarkStart w:id="55" w:name="_Toc114499256"/>
      <w:r>
        <w:rPr>
          <w:rFonts w:hint="default" w:ascii="楷体" w:hAnsi="楷体" w:eastAsia="楷体" w:cs="楷体"/>
          <w:sz w:val="28"/>
          <w:szCs w:val="28"/>
          <w:lang w:val="en-US" w:bidi="ar-SA"/>
        </w:rPr>
        <w:t>7.2 信息保障</w:t>
      </w:r>
      <w:bookmarkEnd w:id="54"/>
      <w:bookmarkEnd w:id="55"/>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设立信息报告和举报电话，充分发挥食品药品安全协管员、信息员和志愿者的作用，畅通信息报告渠道，确保食品药品安全事故信息的及时报告与相关信息的及时收集。</w:t>
      </w:r>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56" w:name="_Toc116293348"/>
      <w:bookmarkStart w:id="57" w:name="_Toc114499257"/>
      <w:r>
        <w:rPr>
          <w:rFonts w:hint="default" w:ascii="楷体" w:hAnsi="楷体" w:eastAsia="楷体" w:cs="楷体"/>
          <w:sz w:val="28"/>
          <w:szCs w:val="28"/>
          <w:lang w:val="en-US" w:bidi="ar-SA"/>
        </w:rPr>
        <w:t>7.3 医疗保障</w:t>
      </w:r>
      <w:bookmarkEnd w:id="56"/>
      <w:bookmarkEnd w:id="57"/>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在食品药品安全事故造成人员伤害时，应及时组织做好医疗救治工作。</w:t>
      </w:r>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58" w:name="_Toc116293349"/>
      <w:bookmarkStart w:id="59" w:name="_Toc114499258"/>
      <w:r>
        <w:rPr>
          <w:rFonts w:hint="default" w:ascii="楷体" w:hAnsi="楷体" w:eastAsia="楷体" w:cs="楷体"/>
          <w:sz w:val="28"/>
          <w:szCs w:val="28"/>
          <w:lang w:val="en-US" w:bidi="ar-SA"/>
        </w:rPr>
        <w:t>7.4 物资与资金保障</w:t>
      </w:r>
      <w:bookmarkEnd w:id="58"/>
      <w:bookmarkEnd w:id="59"/>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食品药品安全事故应急处置所需设施、设备和物资的储备与调用应得到有效保障；使用储备物资后应及时补充；对食品药品安全事故应急处置工作提供资金保障。</w:t>
      </w:r>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60" w:name="_Toc116293350"/>
      <w:bookmarkStart w:id="61" w:name="_Toc114499259"/>
      <w:r>
        <w:rPr>
          <w:rFonts w:hint="default" w:ascii="楷体" w:hAnsi="楷体" w:eastAsia="楷体" w:cs="楷体"/>
          <w:sz w:val="28"/>
          <w:szCs w:val="28"/>
          <w:lang w:val="en-US" w:bidi="ar-SA"/>
        </w:rPr>
        <w:t>7.5 社会动员保障</w:t>
      </w:r>
      <w:bookmarkEnd w:id="60"/>
      <w:bookmarkEnd w:id="61"/>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根据食品药品安全事故应急处置的需要，动员和组织社会力量协助参与处置，必要时依法调用企业及个人物资。在动用社会力量或企业、个人物资进行应急处置后，应当及时归还或给予补偿。</w:t>
      </w:r>
    </w:p>
    <w:p>
      <w:pPr>
        <w:pStyle w:val="21"/>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lang w:val="en-US" w:bidi="ar-SA"/>
        </w:rPr>
      </w:pPr>
      <w:bookmarkStart w:id="62" w:name="_Toc116293351"/>
      <w:bookmarkStart w:id="63" w:name="_Toc114499260"/>
      <w:r>
        <w:rPr>
          <w:rFonts w:hint="default" w:ascii="黑体" w:hAnsi="黑体" w:eastAsia="黑体" w:cs="黑体"/>
          <w:sz w:val="32"/>
          <w:szCs w:val="32"/>
          <w:lang w:val="en-US" w:bidi="ar-SA"/>
        </w:rPr>
        <w:t>8 宣传、培训和演练</w:t>
      </w:r>
      <w:bookmarkEnd w:id="62"/>
      <w:bookmarkEnd w:id="63"/>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64" w:name="_Toc116293352"/>
      <w:bookmarkStart w:id="65" w:name="_Toc114499261"/>
      <w:r>
        <w:rPr>
          <w:rFonts w:hint="default" w:ascii="楷体" w:hAnsi="楷体" w:eastAsia="楷体" w:cs="楷体"/>
          <w:sz w:val="28"/>
          <w:szCs w:val="28"/>
          <w:lang w:val="en-US" w:bidi="ar-SA"/>
        </w:rPr>
        <w:t>8.1 宣传与培训</w:t>
      </w:r>
      <w:bookmarkEnd w:id="64"/>
      <w:bookmarkEnd w:id="65"/>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应急预案管理责任主体要充分利用互联网、横幅、短信、电子屏等多种媒体广泛宣传，对食品药品安全监管人员、食品药品生产经营者、种植养殖从业者、广大消费者等开展食品药品安全应急知识教育与培训，促进监管人员熟练掌握应急处置技能，提高消费者的风险防范意识和自救互救能力。</w:t>
      </w:r>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66" w:name="_Toc114499262"/>
      <w:bookmarkStart w:id="67" w:name="_Toc116293353"/>
      <w:r>
        <w:rPr>
          <w:rFonts w:hint="default" w:ascii="楷体" w:hAnsi="楷体" w:eastAsia="楷体" w:cs="楷体"/>
          <w:sz w:val="28"/>
          <w:szCs w:val="28"/>
          <w:lang w:val="en-US" w:bidi="ar-SA"/>
        </w:rPr>
        <w:t>8.2 演练</w:t>
      </w:r>
      <w:bookmarkEnd w:id="66"/>
      <w:bookmarkEnd w:id="67"/>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应急预案编制单位应当根据实际情况采取实战演练、桌面推演等方式，组织开展人员参与广泛、处置联动性强、形式多样、节约高效的应急演练。各</w:t>
      </w:r>
      <w:r>
        <w:rPr>
          <w:rFonts w:hint="default" w:ascii="Times New Roman" w:hAnsi="Times New Roman" w:eastAsia="宋体" w:cs="Times New Roman"/>
          <w:color w:val="auto"/>
          <w:sz w:val="28"/>
          <w:szCs w:val="28"/>
          <w:highlight w:val="none"/>
          <w:lang w:eastAsia="zh-CN"/>
        </w:rPr>
        <w:t>村（社区）</w:t>
      </w:r>
      <w:r>
        <w:rPr>
          <w:rFonts w:hint="default" w:ascii="Times New Roman" w:hAnsi="Times New Roman" w:eastAsia="宋体" w:cs="Times New Roman"/>
          <w:color w:val="auto"/>
          <w:sz w:val="28"/>
          <w:szCs w:val="28"/>
          <w:highlight w:val="none"/>
        </w:rPr>
        <w:t>也应当结合实际经常组织开展应急演练。</w:t>
      </w:r>
    </w:p>
    <w:p>
      <w:pPr>
        <w:pStyle w:val="21"/>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lang w:val="en-US" w:bidi="ar-SA"/>
        </w:rPr>
      </w:pPr>
      <w:bookmarkStart w:id="68" w:name="_Toc116293354"/>
      <w:bookmarkStart w:id="69" w:name="_Toc114499263"/>
      <w:r>
        <w:rPr>
          <w:rFonts w:hint="default" w:ascii="黑体" w:hAnsi="黑体" w:eastAsia="黑体" w:cs="黑体"/>
          <w:sz w:val="32"/>
          <w:szCs w:val="32"/>
          <w:lang w:val="en-US" w:bidi="ar-SA"/>
        </w:rPr>
        <w:t>9 附则</w:t>
      </w:r>
      <w:bookmarkEnd w:id="68"/>
      <w:bookmarkEnd w:id="69"/>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70" w:name="_Toc116293355"/>
      <w:bookmarkStart w:id="71" w:name="_Toc114499264"/>
      <w:r>
        <w:rPr>
          <w:rFonts w:hint="default" w:ascii="楷体" w:hAnsi="楷体" w:eastAsia="楷体" w:cs="楷体"/>
          <w:sz w:val="28"/>
          <w:szCs w:val="28"/>
          <w:lang w:val="en-US" w:bidi="ar-SA"/>
        </w:rPr>
        <w:t>9.1 预案管理</w:t>
      </w:r>
      <w:bookmarkEnd w:id="70"/>
      <w:bookmarkEnd w:id="71"/>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预案实施后，</w:t>
      </w:r>
      <w:r>
        <w:rPr>
          <w:rFonts w:hint="default" w:ascii="Times New Roman" w:hAnsi="Times New Roman" w:eastAsia="宋体" w:cs="Times New Roman"/>
          <w:color w:val="auto"/>
          <w:sz w:val="28"/>
          <w:szCs w:val="28"/>
          <w:highlight w:val="none"/>
          <w:lang w:eastAsia="zh-CN"/>
        </w:rPr>
        <w:t>城厢镇</w:t>
      </w:r>
      <w:r>
        <w:rPr>
          <w:rFonts w:hint="default" w:ascii="Times New Roman" w:hAnsi="Times New Roman" w:eastAsia="宋体" w:cs="Times New Roman"/>
          <w:color w:val="auto"/>
          <w:sz w:val="28"/>
          <w:szCs w:val="28"/>
          <w:highlight w:val="none"/>
        </w:rPr>
        <w:t>食药指应组织有关部门开展预案宣传、培训和演练，并根据实际情况，适时组织评估和修订。</w:t>
      </w:r>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72" w:name="_Toc116293356"/>
      <w:bookmarkStart w:id="73" w:name="_Toc114499265"/>
      <w:r>
        <w:rPr>
          <w:rFonts w:hint="default" w:ascii="楷体" w:hAnsi="楷体" w:eastAsia="楷体" w:cs="楷体"/>
          <w:sz w:val="28"/>
          <w:szCs w:val="28"/>
          <w:lang w:val="en-US" w:bidi="ar-SA"/>
        </w:rPr>
        <w:t>9.2 预案解释</w:t>
      </w:r>
      <w:bookmarkEnd w:id="72"/>
      <w:bookmarkEnd w:id="73"/>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本预案由</w:t>
      </w:r>
      <w:r>
        <w:rPr>
          <w:rFonts w:hint="default" w:ascii="Times New Roman" w:hAnsi="Times New Roman" w:eastAsia="宋体" w:cs="Times New Roman"/>
          <w:color w:val="auto"/>
          <w:sz w:val="28"/>
          <w:szCs w:val="28"/>
          <w:highlight w:val="none"/>
          <w:lang w:eastAsia="zh-CN"/>
        </w:rPr>
        <w:t>城厢镇</w:t>
      </w:r>
      <w:r>
        <w:rPr>
          <w:rFonts w:hint="default" w:ascii="Times New Roman" w:hAnsi="Times New Roman" w:eastAsia="宋体" w:cs="Times New Roman"/>
          <w:color w:val="auto"/>
          <w:sz w:val="28"/>
          <w:szCs w:val="28"/>
          <w:highlight w:val="none"/>
        </w:rPr>
        <w:t>食药指负责解释。</w:t>
      </w:r>
    </w:p>
    <w:p>
      <w:pPr>
        <w:pStyle w:val="2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74" w:name="_Toc114499266"/>
      <w:bookmarkStart w:id="75" w:name="_Toc116293357"/>
      <w:r>
        <w:rPr>
          <w:rFonts w:hint="default" w:ascii="楷体" w:hAnsi="楷体" w:eastAsia="楷体" w:cs="楷体"/>
          <w:sz w:val="28"/>
          <w:szCs w:val="28"/>
          <w:lang w:val="en-US" w:bidi="ar-SA"/>
        </w:rPr>
        <w:t>9.3 预案实施</w:t>
      </w:r>
      <w:bookmarkEnd w:id="74"/>
      <w:bookmarkEnd w:id="75"/>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本预案自发布之日起施行。</w:t>
      </w:r>
    </w:p>
    <w:p>
      <w:pPr>
        <w:pStyle w:val="21"/>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lang w:val="en-US" w:bidi="ar-SA"/>
        </w:rPr>
      </w:pPr>
      <w:bookmarkStart w:id="76" w:name="_Toc114499267"/>
      <w:bookmarkStart w:id="77" w:name="_Toc116293358"/>
      <w:r>
        <w:rPr>
          <w:rFonts w:hint="default" w:ascii="黑体" w:hAnsi="黑体" w:eastAsia="黑体" w:cs="黑体"/>
          <w:sz w:val="32"/>
          <w:szCs w:val="32"/>
          <w:lang w:val="en-US" w:bidi="ar-SA"/>
        </w:rPr>
        <w:t>10 附件</w:t>
      </w:r>
      <w:bookmarkEnd w:id="76"/>
      <w:bookmarkEnd w:id="77"/>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 xml:space="preserve">附件1 </w:t>
      </w:r>
      <w:r>
        <w:rPr>
          <w:rFonts w:hint="default" w:ascii="Times New Roman" w:hAnsi="Times New Roman" w:eastAsia="宋体" w:cs="Times New Roman"/>
          <w:color w:val="auto"/>
          <w:sz w:val="28"/>
          <w:szCs w:val="28"/>
          <w:highlight w:val="none"/>
          <w:lang w:eastAsia="zh-CN"/>
        </w:rPr>
        <w:t>城厢镇</w:t>
      </w:r>
      <w:r>
        <w:rPr>
          <w:rFonts w:hint="default" w:ascii="Times New Roman" w:hAnsi="Times New Roman" w:eastAsia="宋体" w:cs="Times New Roman"/>
          <w:color w:val="auto"/>
          <w:sz w:val="28"/>
          <w:szCs w:val="28"/>
          <w:highlight w:val="none"/>
        </w:rPr>
        <w:t>食品药品安全事故应急响应处置流程图</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cs="Times New Roman"/>
          <w:color w:val="auto"/>
          <w:highlight w:val="none"/>
        </w:rPr>
        <w:drawing>
          <wp:anchor distT="0" distB="0" distL="0" distR="0" simplePos="0" relativeHeight="251659264" behindDoc="0" locked="0" layoutInCell="1" allowOverlap="1">
            <wp:simplePos x="0" y="0"/>
            <wp:positionH relativeFrom="column">
              <wp:posOffset>-168275</wp:posOffset>
            </wp:positionH>
            <wp:positionV relativeFrom="paragraph">
              <wp:posOffset>165735</wp:posOffset>
            </wp:positionV>
            <wp:extent cx="5708650" cy="5028565"/>
            <wp:effectExtent l="0" t="0" r="6350" b="0"/>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708650" cy="5028565"/>
                    </a:xfrm>
                    <a:prstGeom prst="rect">
                      <a:avLst/>
                    </a:prstGeom>
                    <a:noFill/>
                    <a:ln>
                      <a:noFill/>
                    </a:ln>
                  </pic:spPr>
                </pic:pic>
              </a:graphicData>
            </a:graphic>
          </wp:anchor>
        </w:drawing>
      </w: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_GBK">
    <w:altName w:val="黑体"/>
    <w:panose1 w:val="03000509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yODMxYTE0ZTc0ZGU3Y2QwODc3MzYzN2Q1YmNiM2EifQ=="/>
  </w:docVars>
  <w:rsids>
    <w:rsidRoot w:val="00DD7463"/>
    <w:rsid w:val="00001AB4"/>
    <w:rsid w:val="0002677E"/>
    <w:rsid w:val="0004752D"/>
    <w:rsid w:val="000867A7"/>
    <w:rsid w:val="000A40AD"/>
    <w:rsid w:val="000B044C"/>
    <w:rsid w:val="000B2FF3"/>
    <w:rsid w:val="00102CDB"/>
    <w:rsid w:val="001053AD"/>
    <w:rsid w:val="001070AA"/>
    <w:rsid w:val="001116A8"/>
    <w:rsid w:val="00115938"/>
    <w:rsid w:val="00131D16"/>
    <w:rsid w:val="001458D1"/>
    <w:rsid w:val="00196CF6"/>
    <w:rsid w:val="001A33C0"/>
    <w:rsid w:val="001C5255"/>
    <w:rsid w:val="001F6534"/>
    <w:rsid w:val="00247CAE"/>
    <w:rsid w:val="00294638"/>
    <w:rsid w:val="002A5E43"/>
    <w:rsid w:val="002C274D"/>
    <w:rsid w:val="002D2FFA"/>
    <w:rsid w:val="002D305A"/>
    <w:rsid w:val="002D7537"/>
    <w:rsid w:val="00313132"/>
    <w:rsid w:val="003145E7"/>
    <w:rsid w:val="0032663E"/>
    <w:rsid w:val="00387004"/>
    <w:rsid w:val="003904DF"/>
    <w:rsid w:val="00394858"/>
    <w:rsid w:val="003B7399"/>
    <w:rsid w:val="003E5F9D"/>
    <w:rsid w:val="003F49B9"/>
    <w:rsid w:val="003F6258"/>
    <w:rsid w:val="004017B8"/>
    <w:rsid w:val="00404900"/>
    <w:rsid w:val="00431DFB"/>
    <w:rsid w:val="00442731"/>
    <w:rsid w:val="00444C33"/>
    <w:rsid w:val="00494AE6"/>
    <w:rsid w:val="004B2F6E"/>
    <w:rsid w:val="004C1F45"/>
    <w:rsid w:val="004E001E"/>
    <w:rsid w:val="00532508"/>
    <w:rsid w:val="00544D5F"/>
    <w:rsid w:val="00567D4E"/>
    <w:rsid w:val="00590C96"/>
    <w:rsid w:val="005C20C6"/>
    <w:rsid w:val="005C7435"/>
    <w:rsid w:val="00634A23"/>
    <w:rsid w:val="00650885"/>
    <w:rsid w:val="00667CE8"/>
    <w:rsid w:val="0068019A"/>
    <w:rsid w:val="0069130D"/>
    <w:rsid w:val="006B1D4E"/>
    <w:rsid w:val="00785D1A"/>
    <w:rsid w:val="007F7000"/>
    <w:rsid w:val="008279EB"/>
    <w:rsid w:val="008333A9"/>
    <w:rsid w:val="00833569"/>
    <w:rsid w:val="00856B57"/>
    <w:rsid w:val="00885C0F"/>
    <w:rsid w:val="008A1258"/>
    <w:rsid w:val="008B5185"/>
    <w:rsid w:val="00904241"/>
    <w:rsid w:val="0093681E"/>
    <w:rsid w:val="00996531"/>
    <w:rsid w:val="00A639EC"/>
    <w:rsid w:val="00AB1117"/>
    <w:rsid w:val="00AE6780"/>
    <w:rsid w:val="00AF32D6"/>
    <w:rsid w:val="00AF4926"/>
    <w:rsid w:val="00AF5B64"/>
    <w:rsid w:val="00B12A2E"/>
    <w:rsid w:val="00B14BCD"/>
    <w:rsid w:val="00B4684D"/>
    <w:rsid w:val="00B52E57"/>
    <w:rsid w:val="00B65301"/>
    <w:rsid w:val="00C00F80"/>
    <w:rsid w:val="00C43C5C"/>
    <w:rsid w:val="00C51510"/>
    <w:rsid w:val="00C67D08"/>
    <w:rsid w:val="00C91BDD"/>
    <w:rsid w:val="00CD33D4"/>
    <w:rsid w:val="00CE56FD"/>
    <w:rsid w:val="00D12E74"/>
    <w:rsid w:val="00D40ABA"/>
    <w:rsid w:val="00D41291"/>
    <w:rsid w:val="00D45E6B"/>
    <w:rsid w:val="00DA762A"/>
    <w:rsid w:val="00DC38B8"/>
    <w:rsid w:val="00DD7463"/>
    <w:rsid w:val="00E14CD4"/>
    <w:rsid w:val="00E21E2C"/>
    <w:rsid w:val="00EA1C95"/>
    <w:rsid w:val="00EE0B72"/>
    <w:rsid w:val="00EF249B"/>
    <w:rsid w:val="00EF50D0"/>
    <w:rsid w:val="00F220CE"/>
    <w:rsid w:val="00F23466"/>
    <w:rsid w:val="00F42930"/>
    <w:rsid w:val="00F447E7"/>
    <w:rsid w:val="00F65898"/>
    <w:rsid w:val="00FB2B64"/>
    <w:rsid w:val="00FE75F4"/>
    <w:rsid w:val="034D095E"/>
    <w:rsid w:val="0438346A"/>
    <w:rsid w:val="06F93331"/>
    <w:rsid w:val="0824366F"/>
    <w:rsid w:val="0F5D7FA7"/>
    <w:rsid w:val="109B0729"/>
    <w:rsid w:val="12763F41"/>
    <w:rsid w:val="13C421E2"/>
    <w:rsid w:val="13CC0A2B"/>
    <w:rsid w:val="20A37750"/>
    <w:rsid w:val="28464505"/>
    <w:rsid w:val="3DC5725C"/>
    <w:rsid w:val="3FE02E9B"/>
    <w:rsid w:val="43EB11A1"/>
    <w:rsid w:val="45085DA2"/>
    <w:rsid w:val="4B285867"/>
    <w:rsid w:val="4B4E78E6"/>
    <w:rsid w:val="4BAE7B78"/>
    <w:rsid w:val="4DD45D25"/>
    <w:rsid w:val="507A65AB"/>
    <w:rsid w:val="587B46E8"/>
    <w:rsid w:val="5B1F572C"/>
    <w:rsid w:val="5CE86853"/>
    <w:rsid w:val="5F4F14D4"/>
    <w:rsid w:val="5F906B1A"/>
    <w:rsid w:val="5FA52D02"/>
    <w:rsid w:val="60F41D0D"/>
    <w:rsid w:val="76304ADF"/>
    <w:rsid w:val="78FD6DDA"/>
    <w:rsid w:val="7DF364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3">
    <w:name w:val="Normal Indent"/>
    <w:basedOn w:val="1"/>
    <w:qFormat/>
    <w:uiPriority w:val="0"/>
    <w:pPr>
      <w:overflowPunct w:val="0"/>
      <w:spacing w:line="480" w:lineRule="exact"/>
      <w:ind w:firstLine="560" w:firstLineChars="200"/>
      <w:textAlignment w:val="center"/>
    </w:pPr>
    <w:rPr>
      <w:sz w:val="28"/>
      <w:szCs w:val="20"/>
    </w:rPr>
  </w:style>
  <w:style w:type="paragraph" w:styleId="4">
    <w:name w:val="Body Text"/>
    <w:basedOn w:val="1"/>
    <w:next w:val="5"/>
    <w:qFormat/>
    <w:uiPriority w:val="0"/>
  </w:style>
  <w:style w:type="paragraph" w:styleId="5">
    <w:name w:val="Title"/>
    <w:basedOn w:val="1"/>
    <w:next w:val="3"/>
    <w:qFormat/>
    <w:uiPriority w:val="0"/>
    <w:pPr>
      <w:spacing w:before="240" w:after="60"/>
      <w:jc w:val="center"/>
      <w:outlineLvl w:val="0"/>
    </w:pPr>
    <w:rPr>
      <w:rFonts w:ascii="Cambria" w:hAnsi="Cambria" w:eastAsia="宋体"/>
      <w:b/>
      <w:bCs/>
    </w:rPr>
  </w:style>
  <w:style w:type="paragraph" w:styleId="6">
    <w:name w:val="Balloon Text"/>
    <w:basedOn w:val="1"/>
    <w:link w:val="19"/>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Subtitle"/>
    <w:basedOn w:val="1"/>
    <w:next w:val="1"/>
    <w:link w:val="15"/>
    <w:qFormat/>
    <w:uiPriority w:val="11"/>
    <w:pPr>
      <w:spacing w:before="240" w:after="60" w:line="312" w:lineRule="auto"/>
      <w:jc w:val="center"/>
      <w:outlineLvl w:val="1"/>
    </w:pPr>
    <w:rPr>
      <w:b/>
      <w:bCs/>
      <w:kern w:val="28"/>
      <w:sz w:val="32"/>
      <w:szCs w:val="32"/>
    </w:rPr>
  </w:style>
  <w:style w:type="paragraph" w:styleId="11">
    <w:name w:val="toc 2"/>
    <w:basedOn w:val="1"/>
    <w:next w:val="1"/>
    <w:unhideWhenUsed/>
    <w:qFormat/>
    <w:uiPriority w:val="39"/>
    <w:pPr>
      <w:ind w:left="420" w:leftChars="200"/>
    </w:pPr>
  </w:style>
  <w:style w:type="character" w:styleId="14">
    <w:name w:val="page number"/>
    <w:basedOn w:val="13"/>
    <w:qFormat/>
    <w:uiPriority w:val="0"/>
  </w:style>
  <w:style w:type="character" w:customStyle="1" w:styleId="15">
    <w:name w:val="副标题 字符"/>
    <w:basedOn w:val="13"/>
    <w:link w:val="10"/>
    <w:qFormat/>
    <w:uiPriority w:val="11"/>
    <w:rPr>
      <w:b/>
      <w:bCs/>
      <w:kern w:val="28"/>
      <w:sz w:val="32"/>
      <w:szCs w:val="32"/>
    </w:rPr>
  </w:style>
  <w:style w:type="character" w:customStyle="1" w:styleId="16">
    <w:name w:val="页眉 字符"/>
    <w:basedOn w:val="13"/>
    <w:link w:val="8"/>
    <w:qFormat/>
    <w:uiPriority w:val="99"/>
    <w:rPr>
      <w:sz w:val="18"/>
      <w:szCs w:val="18"/>
    </w:rPr>
  </w:style>
  <w:style w:type="character" w:customStyle="1" w:styleId="17">
    <w:name w:val="页脚 字符"/>
    <w:basedOn w:val="13"/>
    <w:link w:val="7"/>
    <w:qFormat/>
    <w:uiPriority w:val="99"/>
    <w:rPr>
      <w:sz w:val="18"/>
      <w:szCs w:val="18"/>
    </w:rPr>
  </w:style>
  <w:style w:type="paragraph" w:customStyle="1" w:styleId="18">
    <w:name w:val="正文～!"/>
    <w:basedOn w:val="1"/>
    <w:qFormat/>
    <w:uiPriority w:val="0"/>
    <w:pPr>
      <w:adjustRightInd w:val="0"/>
      <w:snapToGrid w:val="0"/>
      <w:spacing w:line="360" w:lineRule="auto"/>
      <w:ind w:right="-57" w:rightChars="-27" w:firstLine="560" w:firstLineChars="200"/>
    </w:pPr>
    <w:rPr>
      <w:rFonts w:ascii="仿宋_GB2312" w:hAnsi="Times New Roman" w:eastAsia="仿宋_GB2312" w:cs="宋体"/>
      <w:sz w:val="28"/>
      <w:szCs w:val="20"/>
    </w:rPr>
  </w:style>
  <w:style w:type="character" w:customStyle="1" w:styleId="19">
    <w:name w:val="批注框文本 字符"/>
    <w:basedOn w:val="13"/>
    <w:link w:val="6"/>
    <w:semiHidden/>
    <w:qFormat/>
    <w:uiPriority w:val="99"/>
    <w:rPr>
      <w:sz w:val="18"/>
      <w:szCs w:val="18"/>
    </w:rPr>
  </w:style>
  <w:style w:type="paragraph" w:customStyle="1" w:styleId="20">
    <w:name w:val="标题1"/>
    <w:basedOn w:val="1"/>
    <w:next w:val="1"/>
    <w:qFormat/>
    <w:uiPriority w:val="0"/>
    <w:pPr>
      <w:autoSpaceDE w:val="0"/>
      <w:autoSpaceDN w:val="0"/>
      <w:snapToGrid w:val="0"/>
      <w:spacing w:line="700" w:lineRule="atLeast"/>
      <w:jc w:val="center"/>
    </w:pPr>
    <w:rPr>
      <w:rFonts w:eastAsia="方正小标宋_GBK"/>
      <w:snapToGrid w:val="0"/>
      <w:kern w:val="0"/>
      <w:sz w:val="44"/>
      <w:szCs w:val="20"/>
    </w:rPr>
  </w:style>
  <w:style w:type="paragraph" w:customStyle="1" w:styleId="21">
    <w:name w:val="一级"/>
    <w:basedOn w:val="1"/>
    <w:qFormat/>
    <w:uiPriority w:val="0"/>
    <w:pPr>
      <w:widowControl/>
      <w:spacing w:before="100" w:beforeLines="100" w:after="50" w:afterLines="50" w:line="500" w:lineRule="exact"/>
      <w:ind w:firstLine="640" w:firstLineChars="200"/>
      <w:jc w:val="left"/>
    </w:pPr>
    <w:rPr>
      <w:rFonts w:ascii="Times New Roman" w:hAnsi="Times New Roman" w:eastAsia="黑体"/>
      <w:b/>
      <w:color w:val="000000"/>
      <w:kern w:val="0"/>
      <w:sz w:val="36"/>
      <w:szCs w:val="30"/>
    </w:rPr>
  </w:style>
  <w:style w:type="paragraph" w:customStyle="1" w:styleId="22">
    <w:name w:val="二级标题"/>
    <w:basedOn w:val="1"/>
    <w:qFormat/>
    <w:uiPriority w:val="0"/>
    <w:pPr>
      <w:widowControl/>
      <w:spacing w:before="50" w:beforeLines="50" w:after="50" w:afterLines="50" w:line="500" w:lineRule="exact"/>
      <w:ind w:firstLine="643" w:firstLineChars="200"/>
      <w:jc w:val="left"/>
    </w:pPr>
    <w:rPr>
      <w:rFonts w:ascii="Times New Roman" w:hAnsi="Times New Roman" w:eastAsia="黑体"/>
      <w:b/>
      <w:color w:val="000000"/>
      <w:kern w:val="0"/>
      <w:sz w:val="32"/>
      <w:szCs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D7076A-DA40-4228-AB3A-940CECDB9349}">
  <ds:schemaRefs/>
</ds:datastoreItem>
</file>

<file path=docProps/app.xml><?xml version="1.0" encoding="utf-8"?>
<Properties xmlns="http://schemas.openxmlformats.org/officeDocument/2006/extended-properties" xmlns:vt="http://schemas.openxmlformats.org/officeDocument/2006/docPropsVTypes">
  <Template>Normal</Template>
  <Pages>22</Pages>
  <Words>6766</Words>
  <Characters>6882</Characters>
  <Lines>53</Lines>
  <Paragraphs>14</Paragraphs>
  <TotalTime>1</TotalTime>
  <ScaleCrop>false</ScaleCrop>
  <LinksUpToDate>false</LinksUpToDate>
  <CharactersWithSpaces>6953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2022-10-27T07:22:00Z</dcterms:created>
  <dc:creator>jin junxun</dc:creator>
  <cp:lastModifiedBy>G</cp:lastModifiedBy>
  <dcterms:modified xsi:type="dcterms:W3CDTF">2022-12-13T10:20:49Z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1393B62B49DD4151A831E1A716DA8E84</vt:lpwstr>
  </property>
</Properties>
</file>