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jc w:val="center"/>
        <w:outlineLvl w:val="0"/>
        <w:rPr>
          <w:rFonts w:hint="eastAsia" w:ascii="黑体" w:hAnsi="黑体" w:eastAsia="黑体" w:cs="黑体"/>
          <w:b/>
          <w:kern w:val="0"/>
          <w:sz w:val="52"/>
          <w:szCs w:val="52"/>
          <w:lang w:val="en-US" w:eastAsia="zh-CN"/>
        </w:rPr>
      </w:pPr>
    </w:p>
    <w:p>
      <w:pPr>
        <w:spacing w:before="312" w:beforeLines="100" w:after="312" w:afterLines="100" w:line="360" w:lineRule="auto"/>
        <w:jc w:val="center"/>
        <w:outlineLvl w:val="0"/>
        <w:rPr>
          <w:rFonts w:hint="eastAsia" w:ascii="黑体" w:hAnsi="黑体" w:eastAsia="黑体" w:cs="黑体"/>
          <w:b/>
          <w:kern w:val="0"/>
          <w:sz w:val="52"/>
          <w:szCs w:val="52"/>
        </w:rPr>
      </w:pPr>
      <w:r>
        <w:rPr>
          <w:rFonts w:hint="eastAsia" w:ascii="黑体" w:hAnsi="黑体" w:eastAsia="黑体" w:cs="黑体"/>
          <w:b/>
          <w:kern w:val="0"/>
          <w:sz w:val="52"/>
          <w:szCs w:val="52"/>
          <w:lang w:val="en-US" w:eastAsia="zh-CN"/>
        </w:rPr>
        <w:t>太仓市城厢</w:t>
      </w:r>
      <w:r>
        <w:rPr>
          <w:rFonts w:hint="eastAsia" w:ascii="黑体" w:hAnsi="黑体" w:eastAsia="黑体" w:cs="黑体"/>
          <w:b/>
          <w:kern w:val="0"/>
          <w:sz w:val="52"/>
          <w:szCs w:val="52"/>
        </w:rPr>
        <w:t>镇</w:t>
      </w:r>
    </w:p>
    <w:p>
      <w:pPr>
        <w:spacing w:before="312" w:beforeLines="100" w:after="312" w:afterLines="100" w:line="360" w:lineRule="auto"/>
        <w:jc w:val="center"/>
        <w:outlineLvl w:val="0"/>
        <w:rPr>
          <w:rFonts w:hint="eastAsia" w:ascii="黑体" w:hAnsi="黑体" w:eastAsia="黑体" w:cs="黑体"/>
          <w:b/>
          <w:kern w:val="0"/>
          <w:sz w:val="52"/>
          <w:szCs w:val="52"/>
        </w:rPr>
      </w:pPr>
      <w:bookmarkStart w:id="0" w:name="_Toc15546"/>
      <w:bookmarkStart w:id="1" w:name="_Toc15618"/>
      <w:bookmarkStart w:id="2" w:name="_Toc7196"/>
      <w:bookmarkStart w:id="3" w:name="_Toc1169"/>
      <w:bookmarkStart w:id="4" w:name="_Toc5281"/>
      <w:bookmarkStart w:id="5" w:name="_Toc4769"/>
      <w:r>
        <w:rPr>
          <w:rFonts w:hint="eastAsia" w:ascii="黑体" w:hAnsi="黑体" w:eastAsia="黑体" w:cs="黑体"/>
          <w:b/>
          <w:kern w:val="0"/>
          <w:sz w:val="52"/>
          <w:szCs w:val="52"/>
          <w:lang w:val="en-US" w:eastAsia="zh-CN"/>
        </w:rPr>
        <w:t>环境污染事件应急预案</w:t>
      </w:r>
      <w:bookmarkEnd w:id="0"/>
      <w:bookmarkEnd w:id="1"/>
      <w:bookmarkEnd w:id="2"/>
      <w:bookmarkEnd w:id="3"/>
      <w:bookmarkEnd w:id="4"/>
      <w:bookmarkEnd w:id="5"/>
    </w:p>
    <w:p>
      <w:pPr>
        <w:pStyle w:val="9"/>
        <w:rPr>
          <w:rFonts w:ascii="宋体" w:hAnsi="宋体" w:eastAsia="宋体" w:cs="宋体"/>
          <w:b/>
          <w:sz w:val="28"/>
          <w:szCs w:val="28"/>
        </w:rPr>
      </w:pPr>
    </w:p>
    <w:p>
      <w:pPr>
        <w:spacing w:line="360" w:lineRule="auto"/>
        <w:jc w:val="center"/>
        <w:rPr>
          <w:rFonts w:ascii="宋体" w:hAnsi="宋体" w:eastAsia="宋体" w:cs="宋体"/>
          <w:b/>
          <w:kern w:val="0"/>
          <w:sz w:val="28"/>
          <w:szCs w:val="28"/>
        </w:rPr>
      </w:pPr>
    </w:p>
    <w:p>
      <w:pPr>
        <w:pStyle w:val="9"/>
        <w:rPr>
          <w:rFonts w:ascii="宋体" w:hAnsi="宋体" w:eastAsia="宋体" w:cs="宋体"/>
          <w:b/>
          <w:sz w:val="28"/>
          <w:szCs w:val="28"/>
        </w:rPr>
      </w:pPr>
    </w:p>
    <w:p>
      <w:pPr>
        <w:pStyle w:val="9"/>
        <w:rPr>
          <w:rFonts w:ascii="宋体" w:hAnsi="宋体" w:eastAsia="宋体" w:cs="宋体"/>
          <w:b/>
          <w:sz w:val="28"/>
          <w:szCs w:val="28"/>
        </w:rPr>
      </w:pPr>
    </w:p>
    <w:p>
      <w:pPr>
        <w:pStyle w:val="9"/>
        <w:rPr>
          <w:rFonts w:ascii="宋体" w:hAnsi="宋体" w:eastAsia="宋体" w:cs="宋体"/>
          <w:b/>
          <w:sz w:val="28"/>
          <w:szCs w:val="28"/>
        </w:rPr>
      </w:pPr>
    </w:p>
    <w:p>
      <w:pPr>
        <w:pStyle w:val="9"/>
        <w:rPr>
          <w:rFonts w:ascii="宋体" w:hAnsi="宋体" w:eastAsia="宋体" w:cs="宋体"/>
          <w:b/>
          <w:sz w:val="28"/>
          <w:szCs w:val="28"/>
        </w:rPr>
      </w:pPr>
    </w:p>
    <w:p>
      <w:pPr>
        <w:pStyle w:val="9"/>
        <w:rPr>
          <w:rFonts w:ascii="宋体" w:hAnsi="宋体" w:eastAsia="宋体" w:cs="宋体"/>
          <w:b/>
          <w:sz w:val="28"/>
          <w:szCs w:val="28"/>
        </w:rPr>
      </w:pPr>
    </w:p>
    <w:p>
      <w:pPr>
        <w:pStyle w:val="9"/>
        <w:rPr>
          <w:rFonts w:ascii="宋体" w:hAnsi="宋体" w:eastAsia="宋体" w:cs="宋体"/>
          <w:b/>
          <w:sz w:val="28"/>
          <w:szCs w:val="28"/>
        </w:rPr>
      </w:pPr>
    </w:p>
    <w:p>
      <w:pPr>
        <w:pStyle w:val="10"/>
        <w:outlineLvl w:val="9"/>
        <w:rPr>
          <w:rFonts w:ascii="宋体" w:hAnsi="宋体" w:eastAsia="宋体" w:cs="宋体"/>
          <w:b/>
          <w:sz w:val="28"/>
          <w:szCs w:val="28"/>
        </w:rPr>
      </w:pPr>
    </w:p>
    <w:p>
      <w:pPr>
        <w:pStyle w:val="6"/>
      </w:pPr>
    </w:p>
    <w:p>
      <w:pPr>
        <w:pStyle w:val="9"/>
        <w:rPr>
          <w:rFonts w:ascii="宋体" w:hAnsi="宋体" w:eastAsia="宋体" w:cs="宋体"/>
          <w:b/>
          <w:sz w:val="28"/>
          <w:szCs w:val="28"/>
        </w:rPr>
      </w:pPr>
    </w:p>
    <w:p>
      <w:pPr>
        <w:pStyle w:val="9"/>
        <w:rPr>
          <w:rFonts w:ascii="宋体" w:hAnsi="宋体" w:eastAsia="宋体" w:cs="宋体"/>
          <w:b/>
          <w:sz w:val="28"/>
          <w:szCs w:val="28"/>
        </w:rPr>
      </w:pPr>
    </w:p>
    <w:p>
      <w:pPr>
        <w:pStyle w:val="10"/>
        <w:outlineLvl w:val="9"/>
        <w:rPr>
          <w:rFonts w:ascii="宋体" w:hAnsi="宋体" w:eastAsia="宋体" w:cs="宋体"/>
          <w:b/>
          <w:sz w:val="28"/>
          <w:szCs w:val="28"/>
        </w:rPr>
      </w:pPr>
    </w:p>
    <w:p>
      <w:pPr>
        <w:pStyle w:val="6"/>
      </w:pPr>
    </w:p>
    <w:p>
      <w:pPr>
        <w:pStyle w:val="6"/>
        <w:rPr>
          <w:rFonts w:ascii="宋体" w:hAnsi="宋体" w:eastAsia="宋体" w:cs="宋体"/>
          <w:b/>
          <w:sz w:val="28"/>
          <w:szCs w:val="28"/>
        </w:rPr>
      </w:pPr>
    </w:p>
    <w:p>
      <w:pPr>
        <w:pStyle w:val="6"/>
        <w:rPr>
          <w:rFonts w:ascii="宋体" w:hAnsi="宋体" w:eastAsia="宋体" w:cs="宋体"/>
          <w:b/>
          <w:sz w:val="28"/>
          <w:szCs w:val="28"/>
        </w:rPr>
      </w:pPr>
    </w:p>
    <w:p>
      <w:pPr>
        <w:pStyle w:val="9"/>
        <w:rPr>
          <w:rFonts w:ascii="宋体" w:hAnsi="宋体" w:eastAsia="宋体" w:cs="宋体"/>
          <w:b/>
          <w:sz w:val="28"/>
          <w:szCs w:val="28"/>
        </w:rPr>
      </w:pPr>
    </w:p>
    <w:p>
      <w:pPr>
        <w:spacing w:after="156" w:afterLines="50"/>
        <w:jc w:val="center"/>
        <w:outlineLvl w:val="0"/>
        <w:rPr>
          <w:rFonts w:hint="eastAsia" w:ascii="宋体" w:hAnsi="宋体" w:eastAsia="宋体" w:cs="宋体"/>
          <w:b/>
          <w:sz w:val="44"/>
          <w:szCs w:val="44"/>
        </w:rPr>
      </w:pPr>
      <w:r>
        <w:rPr>
          <w:rFonts w:hint="eastAsia" w:ascii="宋体" w:hAnsi="宋体" w:eastAsia="宋体" w:cs="宋体"/>
          <w:b/>
          <w:sz w:val="44"/>
          <w:szCs w:val="44"/>
          <w:lang w:val="en-US" w:eastAsia="zh-CN"/>
        </w:rPr>
        <w:t>太仓市城厢镇安全生产委员会</w:t>
      </w:r>
    </w:p>
    <w:p>
      <w:pPr>
        <w:pStyle w:val="9"/>
        <w:jc w:val="center"/>
        <w:rPr>
          <w:rFonts w:ascii="宋体" w:hAnsi="宋体" w:eastAsia="宋体" w:cs="宋体"/>
          <w:b/>
          <w:sz w:val="32"/>
          <w:szCs w:val="32"/>
        </w:rPr>
      </w:pPr>
      <w:r>
        <w:rPr>
          <w:rFonts w:hint="eastAsia" w:ascii="宋体" w:hAnsi="宋体" w:eastAsia="宋体" w:cs="宋体"/>
          <w:b/>
          <w:spacing w:val="20"/>
          <w:sz w:val="32"/>
          <w:szCs w:val="32"/>
        </w:rPr>
        <w:t>二〇二二年十</w:t>
      </w:r>
      <w:r>
        <w:rPr>
          <w:rFonts w:hint="eastAsia" w:ascii="宋体" w:hAnsi="宋体" w:eastAsia="宋体" w:cs="宋体"/>
          <w:b/>
          <w:spacing w:val="20"/>
          <w:sz w:val="32"/>
          <w:szCs w:val="32"/>
          <w:lang w:val="en-US" w:eastAsia="zh-CN"/>
        </w:rPr>
        <w:t>二</w:t>
      </w:r>
      <w:r>
        <w:rPr>
          <w:rFonts w:hint="eastAsia" w:ascii="宋体" w:hAnsi="宋体" w:eastAsia="宋体" w:cs="宋体"/>
          <w:b/>
          <w:spacing w:val="20"/>
          <w:sz w:val="32"/>
          <w:szCs w:val="32"/>
        </w:rPr>
        <w:t>月</w:t>
      </w:r>
    </w:p>
    <w:p>
      <w:pPr>
        <w:rPr>
          <w:rFonts w:hint="default" w:ascii="Times New Roman" w:hAnsi="Times New Roman" w:eastAsia="方正仿宋_GB2312" w:cs="Times New Roman"/>
        </w:rPr>
      </w:pPr>
    </w:p>
    <w:p>
      <w:pPr>
        <w:pStyle w:val="6"/>
        <w:rPr>
          <w:rFonts w:hint="default"/>
        </w:rPr>
      </w:pPr>
    </w:p>
    <w:p>
      <w:pPr>
        <w:tabs>
          <w:tab w:val="left" w:pos="9193"/>
          <w:tab w:val="left" w:pos="9827"/>
        </w:tabs>
        <w:autoSpaceDE w:val="0"/>
        <w:autoSpaceDN w:val="0"/>
        <w:snapToGrid/>
        <w:spacing w:line="240" w:lineRule="auto"/>
        <w:jc w:val="center"/>
        <w:rPr>
          <w:rFonts w:hint="default" w:ascii="Times New Roman" w:hAnsi="Times New Roman" w:eastAsia="仿宋" w:cs="Times New Roman"/>
          <w:snapToGrid w:val="0"/>
          <w:color w:val="auto"/>
          <w:kern w:val="0"/>
          <w:sz w:val="36"/>
          <w:szCs w:val="36"/>
          <w:highlight w:val="none"/>
        </w:rPr>
        <w:sectPr>
          <w:footerReference r:id="rId3" w:type="default"/>
          <w:pgSz w:w="11905" w:h="16838"/>
          <w:pgMar w:top="1803" w:right="1440" w:bottom="1803" w:left="1440" w:header="1531" w:footer="1270" w:gutter="0"/>
          <w:pgNumType w:fmt="numberInDash"/>
          <w:cols w:space="0" w:num="1"/>
        </w:sectPr>
      </w:pPr>
    </w:p>
    <w:p>
      <w:pPr>
        <w:pStyle w:val="40"/>
        <w:tabs>
          <w:tab w:val="left" w:pos="9193"/>
          <w:tab w:val="left" w:pos="9827"/>
        </w:tabs>
        <w:spacing w:line="580" w:lineRule="exact"/>
        <w:rPr>
          <w:rFonts w:hint="default" w:ascii="黑体" w:hAnsi="黑体" w:eastAsia="黑体" w:cs="黑体"/>
          <w:b/>
          <w:bCs/>
          <w:sz w:val="32"/>
          <w:szCs w:val="32"/>
          <w:lang w:val="en-US" w:eastAsia="zh-CN" w:bidi="ar-SA"/>
        </w:rPr>
      </w:pPr>
      <w:r>
        <w:rPr>
          <w:rFonts w:hint="default" w:ascii="黑体" w:hAnsi="黑体" w:eastAsia="黑体" w:cs="黑体"/>
          <w:b/>
          <w:bCs/>
          <w:sz w:val="32"/>
          <w:szCs w:val="32"/>
          <w:lang w:val="en-US" w:bidi="ar-SA"/>
        </w:rPr>
        <w:t>目  录</w:t>
      </w:r>
    </w:p>
    <w:p>
      <w:pPr>
        <w:pStyle w:val="23"/>
        <w:ind w:left="440" w:firstLine="640"/>
        <w:rPr>
          <w:rFonts w:hint="default" w:ascii="Times New Roman" w:hAnsi="Times New Roman" w:eastAsia="方正仿宋_GB2312" w:cs="Times New Roman"/>
        </w:rPr>
      </w:pPr>
    </w:p>
    <w:p>
      <w:pPr>
        <w:pStyle w:val="17"/>
        <w:tabs>
          <w:tab w:val="right" w:leader="dot" w:pos="9025"/>
        </w:tabs>
        <w:rPr>
          <w:rFonts w:hint="default" w:ascii="宋体" w:hAnsi="宋体" w:eastAsia="宋体" w:cs="宋体"/>
          <w:b/>
          <w:bCs/>
          <w:caps w:val="0"/>
          <w:color w:val="000000"/>
          <w:kern w:val="0"/>
          <w:sz w:val="24"/>
          <w:szCs w:val="24"/>
          <w:lang w:val="en-US" w:bidi="ar-SA"/>
        </w:rPr>
      </w:pPr>
      <w:bookmarkStart w:id="6" w:name="_Toc8827"/>
      <w:bookmarkStart w:id="7" w:name="_Toc12687"/>
      <w:r>
        <w:rPr>
          <w:rFonts w:hint="default" w:ascii="Times New Roman" w:hAnsi="Times New Roman" w:eastAsia="方正仿宋_GB2312" w:cs="Times New Roman"/>
          <w:bCs w:val="0"/>
          <w:caps w:val="0"/>
          <w:sz w:val="30"/>
          <w:szCs w:val="30"/>
        </w:rPr>
        <w:fldChar w:fldCharType="begin"/>
      </w:r>
      <w:r>
        <w:rPr>
          <w:rFonts w:hint="default" w:ascii="Times New Roman" w:hAnsi="Times New Roman" w:eastAsia="方正仿宋_GB2312" w:cs="Times New Roman"/>
          <w:bCs w:val="0"/>
          <w:caps w:val="0"/>
          <w:sz w:val="30"/>
          <w:szCs w:val="30"/>
        </w:rPr>
        <w:instrText xml:space="preserve"> TOC \o "1-2" \h \z \u </w:instrText>
      </w:r>
      <w:r>
        <w:rPr>
          <w:rFonts w:hint="default" w:ascii="Times New Roman" w:hAnsi="Times New Roman" w:eastAsia="方正仿宋_GB2312" w:cs="Times New Roman"/>
          <w:bCs w:val="0"/>
          <w:caps w:val="0"/>
          <w:sz w:val="30"/>
          <w:szCs w:val="30"/>
        </w:rPr>
        <w:fldChar w:fldCharType="separate"/>
      </w:r>
      <w:r>
        <w:rPr>
          <w:rFonts w:hint="default" w:ascii="宋体" w:hAnsi="宋体" w:eastAsia="宋体" w:cs="宋体"/>
          <w:b/>
          <w:bCs/>
          <w:caps w:val="0"/>
          <w:color w:val="000000"/>
          <w:kern w:val="0"/>
          <w:sz w:val="24"/>
          <w:szCs w:val="24"/>
          <w:lang w:val="en-US" w:bidi="ar-SA"/>
        </w:rPr>
        <w:fldChar w:fldCharType="begin"/>
      </w:r>
      <w:r>
        <w:rPr>
          <w:rFonts w:hint="default" w:ascii="宋体" w:hAnsi="宋体" w:eastAsia="宋体" w:cs="宋体"/>
          <w:b/>
          <w:bCs/>
          <w:caps w:val="0"/>
          <w:color w:val="000000"/>
          <w:kern w:val="0"/>
          <w:sz w:val="24"/>
          <w:szCs w:val="24"/>
          <w:lang w:val="en-US" w:bidi="ar-SA"/>
        </w:rPr>
        <w:instrText xml:space="preserve"> HYPERLINK \l "_Toc13658" </w:instrText>
      </w:r>
      <w:r>
        <w:rPr>
          <w:rFonts w:hint="default" w:ascii="宋体" w:hAnsi="宋体" w:eastAsia="宋体" w:cs="宋体"/>
          <w:b/>
          <w:bCs/>
          <w:caps w:val="0"/>
          <w:color w:val="000000"/>
          <w:kern w:val="0"/>
          <w:sz w:val="24"/>
          <w:szCs w:val="24"/>
          <w:lang w:val="en-US" w:bidi="ar-SA"/>
        </w:rPr>
        <w:fldChar w:fldCharType="separate"/>
      </w:r>
      <w:r>
        <w:rPr>
          <w:rFonts w:hint="default" w:ascii="宋体" w:hAnsi="宋体" w:eastAsia="宋体" w:cs="宋体"/>
          <w:b/>
          <w:bCs/>
          <w:caps w:val="0"/>
          <w:color w:val="000000"/>
          <w:kern w:val="0"/>
          <w:sz w:val="24"/>
          <w:szCs w:val="24"/>
          <w:lang w:val="en-US" w:bidi="ar-SA"/>
        </w:rPr>
        <w:t>1 总则</w:t>
      </w:r>
      <w:r>
        <w:rPr>
          <w:rFonts w:hint="default" w:ascii="宋体" w:hAnsi="宋体" w:eastAsia="宋体" w:cs="宋体"/>
          <w:b/>
          <w:bCs/>
          <w: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"_Toc8509"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1.1  编制目的</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"_Toc15342"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1.2  编制依据</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"_Toc10497"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1.3  工作原则</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"_Toc25028"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1.4  适用范围</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"_Toc20794"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1.5  事件分级</w:t>
      </w:r>
      <w:r>
        <w:rPr>
          <w:rFonts w:hint="default" w:ascii="宋体" w:hAnsi="宋体" w:eastAsia="宋体" w:cs="宋体"/>
          <w:smallCaps w:val="0"/>
          <w:color w:val="000000"/>
          <w:kern w:val="0"/>
          <w:sz w:val="24"/>
          <w:szCs w:val="24"/>
          <w:lang w:val="en-US" w:bidi="ar-SA"/>
        </w:rPr>
        <w:fldChar w:fldCharType="end"/>
      </w:r>
    </w:p>
    <w:p>
      <w:pPr>
        <w:pStyle w:val="17"/>
        <w:keepNext w:val="0"/>
        <w:keepLines w:val="0"/>
        <w:pageBreakBefore w:val="0"/>
        <w:widowControl w:val="0"/>
        <w:tabs>
          <w:tab w:val="right" w:pos="8844"/>
        </w:tabs>
        <w:kinsoku/>
        <w:wordWrap/>
        <w:overflowPunct/>
        <w:topLinePunct w:val="0"/>
        <w:autoSpaceDE/>
        <w:autoSpaceDN/>
        <w:bidi w:val="0"/>
        <w:adjustRightInd/>
        <w:snapToGrid/>
        <w:spacing w:before="0" w:after="0" w:line="480" w:lineRule="exact"/>
        <w:jc w:val="both"/>
        <w:textAlignment w:val="auto"/>
        <w:rPr>
          <w:rFonts w:hint="default" w:ascii="宋体" w:hAnsi="宋体" w:eastAsia="宋体" w:cs="宋体"/>
          <w:b/>
          <w:bCs/>
          <w:caps w:val="0"/>
          <w:color w:val="000000"/>
          <w:kern w:val="0"/>
          <w:sz w:val="24"/>
          <w:szCs w:val="24"/>
          <w:lang w:val="en-US" w:bidi="ar-SA"/>
        </w:rPr>
      </w:pPr>
      <w:r>
        <w:rPr>
          <w:rFonts w:hint="default" w:ascii="宋体" w:hAnsi="宋体" w:eastAsia="宋体" w:cs="宋体"/>
          <w:b/>
          <w:bCs/>
          <w:caps w:val="0"/>
          <w:color w:val="000000"/>
          <w:kern w:val="0"/>
          <w:sz w:val="24"/>
          <w:szCs w:val="24"/>
          <w:lang w:val="en-US" w:bidi="ar-SA"/>
        </w:rPr>
        <w:fldChar w:fldCharType="begin"/>
      </w:r>
      <w:r>
        <w:rPr>
          <w:rFonts w:hint="default" w:ascii="宋体" w:hAnsi="宋体" w:eastAsia="宋体" w:cs="宋体"/>
          <w:b/>
          <w:bCs/>
          <w:caps w:val="0"/>
          <w:color w:val="000000"/>
          <w:kern w:val="0"/>
          <w:sz w:val="24"/>
          <w:szCs w:val="24"/>
          <w:lang w:val="en-US" w:bidi="ar-SA"/>
        </w:rPr>
        <w:instrText xml:space="preserve"> HYPERLINK \l "_Toc10374" </w:instrText>
      </w:r>
      <w:r>
        <w:rPr>
          <w:rFonts w:hint="default" w:ascii="宋体" w:hAnsi="宋体" w:eastAsia="宋体" w:cs="宋体"/>
          <w:b/>
          <w:bCs/>
          <w:caps w:val="0"/>
          <w:color w:val="000000"/>
          <w:kern w:val="0"/>
          <w:sz w:val="24"/>
          <w:szCs w:val="24"/>
          <w:lang w:val="en-US" w:bidi="ar-SA"/>
        </w:rPr>
        <w:fldChar w:fldCharType="separate"/>
      </w:r>
      <w:r>
        <w:rPr>
          <w:rFonts w:hint="default" w:ascii="宋体" w:hAnsi="宋体" w:eastAsia="宋体" w:cs="宋体"/>
          <w:b/>
          <w:bCs/>
          <w:caps w:val="0"/>
          <w:color w:val="000000"/>
          <w:kern w:val="0"/>
          <w:sz w:val="24"/>
          <w:szCs w:val="24"/>
          <w:lang w:val="en-US" w:bidi="ar-SA"/>
        </w:rPr>
        <w:t>2 组织指挥体系与职责</w:t>
      </w:r>
      <w:r>
        <w:rPr>
          <w:rFonts w:hint="default" w:ascii="宋体" w:hAnsi="宋体" w:eastAsia="宋体" w:cs="宋体"/>
          <w:b/>
          <w:bCs/>
          <w: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"_Toc6338"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2.1  领导机构</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Times New Roman" w:hAnsi="Times New Roman" w:eastAsia="方正仿宋_GB2312" w:cs="Times New Roman"/>
          <w:kern w:val="2"/>
          <w:sz w:val="32"/>
          <w:szCs w:val="32"/>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"_Toc28703"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 xml:space="preserve">2.2  </w:t>
      </w:r>
      <w:r>
        <w:rPr>
          <w:rFonts w:hint="default" w:ascii="宋体" w:hAnsi="宋体" w:eastAsia="宋体" w:cs="宋体"/>
          <w:smallCaps w:val="0"/>
          <w:color w:val="000000"/>
          <w:kern w:val="0"/>
          <w:sz w:val="24"/>
          <w:szCs w:val="24"/>
          <w:lang w:val="en-US" w:eastAsia="zh-CN" w:bidi="ar-SA"/>
        </w:rPr>
        <w:t>现场指挥部</w:t>
      </w:r>
      <w:r>
        <w:rPr>
          <w:rFonts w:hint="default" w:ascii="宋体" w:hAnsi="宋体" w:eastAsia="宋体" w:cs="宋体"/>
          <w:smallCaps w:val="0"/>
          <w:color w:val="000000"/>
          <w:kern w:val="0"/>
          <w:sz w:val="24"/>
          <w:szCs w:val="24"/>
          <w:lang w:val="en-US" w:bidi="ar-SA"/>
        </w:rPr>
        <w:fldChar w:fldCharType="end"/>
      </w:r>
    </w:p>
    <w:p>
      <w:pPr>
        <w:pStyle w:val="17"/>
        <w:keepNext w:val="0"/>
        <w:keepLines w:val="0"/>
        <w:pageBreakBefore w:val="0"/>
        <w:widowControl w:val="0"/>
        <w:tabs>
          <w:tab w:val="right" w:pos="8844"/>
        </w:tabs>
        <w:kinsoku/>
        <w:wordWrap/>
        <w:overflowPunct/>
        <w:topLinePunct w:val="0"/>
        <w:autoSpaceDE/>
        <w:autoSpaceDN/>
        <w:bidi w:val="0"/>
        <w:adjustRightInd/>
        <w:snapToGrid/>
        <w:spacing w:before="0" w:after="0" w:line="480" w:lineRule="exact"/>
        <w:jc w:val="both"/>
        <w:textAlignment w:val="auto"/>
        <w:rPr>
          <w:rFonts w:hint="default" w:ascii="宋体" w:hAnsi="宋体" w:eastAsia="宋体" w:cs="宋体"/>
          <w:b/>
          <w:bCs/>
          <w:caps w:val="0"/>
          <w:color w:val="000000"/>
          <w:kern w:val="0"/>
          <w:sz w:val="24"/>
          <w:szCs w:val="24"/>
          <w:lang w:val="en-US" w:bidi="ar-SA"/>
        </w:rPr>
      </w:pPr>
      <w:r>
        <w:rPr>
          <w:rFonts w:hint="default" w:ascii="宋体" w:hAnsi="宋体" w:eastAsia="宋体" w:cs="宋体"/>
          <w:b/>
          <w:bCs/>
          <w:caps w:val="0"/>
          <w:color w:val="000000"/>
          <w:kern w:val="0"/>
          <w:sz w:val="24"/>
          <w:szCs w:val="24"/>
          <w:lang w:val="en-US" w:bidi="ar-SA"/>
        </w:rPr>
        <w:fldChar w:fldCharType="begin"/>
      </w:r>
      <w:r>
        <w:rPr>
          <w:rFonts w:hint="default" w:ascii="宋体" w:hAnsi="宋体" w:eastAsia="宋体" w:cs="宋体"/>
          <w:b/>
          <w:bCs/>
          <w:caps w:val="0"/>
          <w:color w:val="000000"/>
          <w:kern w:val="0"/>
          <w:sz w:val="24"/>
          <w:szCs w:val="24"/>
          <w:lang w:val="en-US" w:bidi="ar-SA"/>
        </w:rPr>
        <w:instrText xml:space="preserve"> HYPERLINK \l "_Toc31489" </w:instrText>
      </w:r>
      <w:r>
        <w:rPr>
          <w:rFonts w:hint="default" w:ascii="宋体" w:hAnsi="宋体" w:eastAsia="宋体" w:cs="宋体"/>
          <w:b/>
          <w:bCs/>
          <w:caps w:val="0"/>
          <w:color w:val="000000"/>
          <w:kern w:val="0"/>
          <w:sz w:val="24"/>
          <w:szCs w:val="24"/>
          <w:lang w:val="en-US" w:bidi="ar-SA"/>
        </w:rPr>
        <w:fldChar w:fldCharType="separate"/>
      </w:r>
      <w:r>
        <w:rPr>
          <w:rFonts w:hint="default" w:ascii="宋体" w:hAnsi="宋体" w:eastAsia="宋体" w:cs="宋体"/>
          <w:b/>
          <w:bCs/>
          <w:caps w:val="0"/>
          <w:color w:val="000000"/>
          <w:kern w:val="0"/>
          <w:sz w:val="24"/>
          <w:szCs w:val="24"/>
          <w:lang w:val="en-US" w:bidi="ar-SA"/>
        </w:rPr>
        <w:t>3 监测预警</w:t>
      </w:r>
      <w:r>
        <w:rPr>
          <w:rFonts w:hint="default" w:ascii="宋体" w:hAnsi="宋体" w:eastAsia="宋体" w:cs="宋体"/>
          <w:b/>
          <w:bCs/>
          <w: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"_Toc7520"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3.1  监测与风险分析</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Times New Roman" w:hAnsi="Times New Roman" w:eastAsia="方正仿宋_GB2312" w:cs="Times New Roman"/>
          <w:kern w:val="2"/>
          <w:sz w:val="32"/>
          <w:szCs w:val="32"/>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"_Toc1699"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3.2  预警</w:t>
      </w:r>
      <w:r>
        <w:rPr>
          <w:rFonts w:hint="default" w:ascii="宋体" w:hAnsi="宋体" w:eastAsia="宋体" w:cs="宋体"/>
          <w:smallCaps w:val="0"/>
          <w:color w:val="000000"/>
          <w:kern w:val="0"/>
          <w:sz w:val="24"/>
          <w:szCs w:val="24"/>
          <w:lang w:val="en-US" w:bidi="ar-SA"/>
        </w:rPr>
        <w:fldChar w:fldCharType="end"/>
      </w:r>
    </w:p>
    <w:p>
      <w:pPr>
        <w:pStyle w:val="17"/>
        <w:keepNext w:val="0"/>
        <w:keepLines w:val="0"/>
        <w:pageBreakBefore w:val="0"/>
        <w:widowControl w:val="0"/>
        <w:tabs>
          <w:tab w:val="right" w:pos="8844"/>
        </w:tabs>
        <w:kinsoku/>
        <w:wordWrap/>
        <w:overflowPunct/>
        <w:topLinePunct w:val="0"/>
        <w:autoSpaceDE/>
        <w:autoSpaceDN/>
        <w:bidi w:val="0"/>
        <w:adjustRightInd/>
        <w:snapToGrid/>
        <w:spacing w:before="0" w:after="0" w:line="480" w:lineRule="exact"/>
        <w:jc w:val="both"/>
        <w:textAlignment w:val="auto"/>
        <w:rPr>
          <w:rFonts w:hint="default" w:ascii="宋体" w:hAnsi="宋体" w:eastAsia="宋体" w:cs="宋体"/>
          <w:b/>
          <w:bCs/>
          <w:caps w:val="0"/>
          <w:color w:val="000000"/>
          <w:kern w:val="0"/>
          <w:sz w:val="24"/>
          <w:szCs w:val="24"/>
          <w:lang w:val="en-US" w:bidi="ar-SA"/>
        </w:rPr>
      </w:pPr>
      <w:r>
        <w:rPr>
          <w:rFonts w:hint="default" w:ascii="宋体" w:hAnsi="宋体" w:eastAsia="宋体" w:cs="宋体"/>
          <w:b/>
          <w:bCs/>
          <w:caps w:val="0"/>
          <w:color w:val="000000"/>
          <w:kern w:val="0"/>
          <w:sz w:val="24"/>
          <w:szCs w:val="24"/>
          <w:lang w:val="en-US" w:bidi="ar-SA"/>
        </w:rPr>
        <w:fldChar w:fldCharType="begin"/>
      </w:r>
      <w:r>
        <w:rPr>
          <w:rFonts w:hint="default" w:ascii="宋体" w:hAnsi="宋体" w:eastAsia="宋体" w:cs="宋体"/>
          <w:b/>
          <w:bCs/>
          <w:caps w:val="0"/>
          <w:color w:val="000000"/>
          <w:kern w:val="0"/>
          <w:sz w:val="24"/>
          <w:szCs w:val="24"/>
          <w:lang w:val="en-US" w:bidi="ar-SA"/>
        </w:rPr>
        <w:instrText xml:space="preserve"> HYPERLINK \l "_Toc6249" </w:instrText>
      </w:r>
      <w:r>
        <w:rPr>
          <w:rFonts w:hint="default" w:ascii="宋体" w:hAnsi="宋体" w:eastAsia="宋体" w:cs="宋体"/>
          <w:b/>
          <w:bCs/>
          <w:caps w:val="0"/>
          <w:color w:val="000000"/>
          <w:kern w:val="0"/>
          <w:sz w:val="24"/>
          <w:szCs w:val="24"/>
          <w:lang w:val="en-US" w:bidi="ar-SA"/>
        </w:rPr>
        <w:fldChar w:fldCharType="separate"/>
      </w:r>
      <w:r>
        <w:rPr>
          <w:rFonts w:hint="default" w:ascii="宋体" w:hAnsi="宋体" w:eastAsia="宋体" w:cs="宋体"/>
          <w:b/>
          <w:bCs/>
          <w:caps w:val="0"/>
          <w:color w:val="000000"/>
          <w:kern w:val="0"/>
          <w:sz w:val="24"/>
          <w:szCs w:val="24"/>
          <w:lang w:val="en-US" w:bidi="ar-SA"/>
        </w:rPr>
        <w:t>4 信息报告与通报</w:t>
      </w:r>
      <w:r>
        <w:rPr>
          <w:rFonts w:hint="default" w:ascii="宋体" w:hAnsi="宋体" w:eastAsia="宋体" w:cs="宋体"/>
          <w:b/>
          <w:bCs/>
          <w: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"_Toc32342"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4.1  信息报告和通报要求</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Times New Roman" w:hAnsi="Times New Roman" w:eastAsia="方正仿宋_GB2312" w:cs="Times New Roman"/>
          <w:kern w:val="2"/>
          <w:sz w:val="32"/>
          <w:szCs w:val="32"/>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"_Toc12035"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4.2  信息报告内容和方式</w:t>
      </w:r>
      <w:r>
        <w:rPr>
          <w:rFonts w:hint="default" w:ascii="宋体" w:hAnsi="宋体" w:eastAsia="宋体" w:cs="宋体"/>
          <w:smallCaps w:val="0"/>
          <w:color w:val="000000"/>
          <w:kern w:val="0"/>
          <w:sz w:val="24"/>
          <w:szCs w:val="24"/>
          <w:lang w:val="en-US" w:bidi="ar-SA"/>
        </w:rPr>
        <w:fldChar w:fldCharType="end"/>
      </w:r>
    </w:p>
    <w:p>
      <w:pPr>
        <w:pStyle w:val="17"/>
        <w:keepNext w:val="0"/>
        <w:keepLines w:val="0"/>
        <w:pageBreakBefore w:val="0"/>
        <w:widowControl w:val="0"/>
        <w:tabs>
          <w:tab w:val="right" w:pos="8844"/>
        </w:tabs>
        <w:kinsoku/>
        <w:wordWrap/>
        <w:overflowPunct/>
        <w:topLinePunct w:val="0"/>
        <w:autoSpaceDE/>
        <w:autoSpaceDN/>
        <w:bidi w:val="0"/>
        <w:adjustRightInd/>
        <w:snapToGrid/>
        <w:spacing w:before="0" w:after="0" w:line="480" w:lineRule="exact"/>
        <w:jc w:val="both"/>
        <w:textAlignment w:val="auto"/>
        <w:rPr>
          <w:rFonts w:hint="default" w:ascii="宋体" w:hAnsi="宋体" w:eastAsia="宋体" w:cs="宋体"/>
          <w:b/>
          <w:bCs/>
          <w:caps w:val="0"/>
          <w:color w:val="000000"/>
          <w:kern w:val="0"/>
          <w:sz w:val="24"/>
          <w:szCs w:val="24"/>
          <w:lang w:val="en-US" w:bidi="ar-SA"/>
        </w:rPr>
      </w:pPr>
      <w:r>
        <w:rPr>
          <w:rFonts w:hint="default" w:ascii="宋体" w:hAnsi="宋体" w:eastAsia="宋体" w:cs="宋体"/>
          <w:b/>
          <w:bCs/>
          <w:caps w:val="0"/>
          <w:color w:val="000000"/>
          <w:kern w:val="0"/>
          <w:sz w:val="24"/>
          <w:szCs w:val="24"/>
          <w:lang w:val="en-US" w:bidi="ar-SA"/>
        </w:rPr>
        <w:fldChar w:fldCharType="begin"/>
      </w:r>
      <w:r>
        <w:rPr>
          <w:rFonts w:hint="default" w:ascii="宋体" w:hAnsi="宋体" w:eastAsia="宋体" w:cs="宋体"/>
          <w:b/>
          <w:bCs/>
          <w:caps w:val="0"/>
          <w:color w:val="000000"/>
          <w:kern w:val="0"/>
          <w:sz w:val="24"/>
          <w:szCs w:val="24"/>
          <w:lang w:val="en-US" w:bidi="ar-SA"/>
        </w:rPr>
        <w:instrText xml:space="preserve"> HYPERLINK \l "_Toc6421" </w:instrText>
      </w:r>
      <w:r>
        <w:rPr>
          <w:rFonts w:hint="default" w:ascii="宋体" w:hAnsi="宋体" w:eastAsia="宋体" w:cs="宋体"/>
          <w:b/>
          <w:bCs/>
          <w:caps w:val="0"/>
          <w:color w:val="000000"/>
          <w:kern w:val="0"/>
          <w:sz w:val="24"/>
          <w:szCs w:val="24"/>
          <w:lang w:val="en-US" w:bidi="ar-SA"/>
        </w:rPr>
        <w:fldChar w:fldCharType="separate"/>
      </w:r>
      <w:r>
        <w:rPr>
          <w:rFonts w:hint="default" w:ascii="宋体" w:hAnsi="宋体" w:eastAsia="宋体" w:cs="宋体"/>
          <w:b/>
          <w:bCs/>
          <w:caps w:val="0"/>
          <w:color w:val="000000"/>
          <w:kern w:val="0"/>
          <w:sz w:val="24"/>
          <w:szCs w:val="24"/>
          <w:lang w:val="en-US" w:bidi="ar-SA"/>
        </w:rPr>
        <w:t>5 应急响应</w:t>
      </w:r>
      <w:r>
        <w:rPr>
          <w:rFonts w:hint="default" w:ascii="宋体" w:hAnsi="宋体" w:eastAsia="宋体" w:cs="宋体"/>
          <w:b/>
          <w:bCs/>
          <w: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"_Toc15424"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5.1  分级响应</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"_Toc28038"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5.2  指挥协调</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"_Toc3215"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5.3  响应措施</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Times New Roman" w:hAnsi="Times New Roman" w:eastAsia="方正仿宋_GB2312" w:cs="Times New Roman"/>
          <w:kern w:val="2"/>
          <w:sz w:val="32"/>
          <w:szCs w:val="32"/>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"_Toc19795"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5.4  应急终止</w:t>
      </w:r>
      <w:r>
        <w:rPr>
          <w:rFonts w:hint="default" w:ascii="宋体" w:hAnsi="宋体" w:eastAsia="宋体" w:cs="宋体"/>
          <w:smallCaps w:val="0"/>
          <w:color w:val="000000"/>
          <w:kern w:val="0"/>
          <w:sz w:val="24"/>
          <w:szCs w:val="24"/>
          <w:lang w:val="en-US" w:bidi="ar-SA"/>
        </w:rPr>
        <w:fldChar w:fldCharType="end"/>
      </w:r>
    </w:p>
    <w:p>
      <w:pPr>
        <w:pStyle w:val="17"/>
        <w:keepNext w:val="0"/>
        <w:keepLines w:val="0"/>
        <w:pageBreakBefore w:val="0"/>
        <w:widowControl w:val="0"/>
        <w:tabs>
          <w:tab w:val="right" w:pos="8844"/>
        </w:tabs>
        <w:kinsoku/>
        <w:wordWrap/>
        <w:overflowPunct/>
        <w:topLinePunct w:val="0"/>
        <w:autoSpaceDE/>
        <w:autoSpaceDN/>
        <w:bidi w:val="0"/>
        <w:adjustRightInd/>
        <w:snapToGrid/>
        <w:spacing w:before="0" w:after="0" w:line="480" w:lineRule="exact"/>
        <w:jc w:val="both"/>
        <w:textAlignment w:val="auto"/>
        <w:rPr>
          <w:rFonts w:hint="default" w:ascii="宋体" w:hAnsi="宋体" w:eastAsia="宋体" w:cs="宋体"/>
          <w:b/>
          <w:bCs/>
          <w:caps w:val="0"/>
          <w:color w:val="000000"/>
          <w:kern w:val="0"/>
          <w:sz w:val="24"/>
          <w:szCs w:val="24"/>
          <w:lang w:val="en-US" w:bidi="ar-SA"/>
        </w:rPr>
      </w:pPr>
      <w:r>
        <w:rPr>
          <w:rFonts w:hint="default" w:ascii="宋体" w:hAnsi="宋体" w:eastAsia="宋体" w:cs="宋体"/>
          <w:b/>
          <w:bCs/>
          <w:caps w:val="0"/>
          <w:color w:val="000000"/>
          <w:kern w:val="0"/>
          <w:sz w:val="24"/>
          <w:szCs w:val="24"/>
          <w:lang w:val="en-US" w:bidi="ar-SA"/>
        </w:rPr>
        <w:fldChar w:fldCharType="begin"/>
      </w:r>
      <w:r>
        <w:rPr>
          <w:rFonts w:hint="default" w:ascii="宋体" w:hAnsi="宋体" w:eastAsia="宋体" w:cs="宋体"/>
          <w:b/>
          <w:bCs/>
          <w:caps w:val="0"/>
          <w:color w:val="000000"/>
          <w:kern w:val="0"/>
          <w:sz w:val="24"/>
          <w:szCs w:val="24"/>
          <w:lang w:val="en-US" w:bidi="ar-SA"/>
        </w:rPr>
        <w:instrText xml:space="preserve"> HYPERLINK \l "_Toc19994" </w:instrText>
      </w:r>
      <w:r>
        <w:rPr>
          <w:rFonts w:hint="default" w:ascii="宋体" w:hAnsi="宋体" w:eastAsia="宋体" w:cs="宋体"/>
          <w:b/>
          <w:bCs/>
          <w:caps w:val="0"/>
          <w:color w:val="000000"/>
          <w:kern w:val="0"/>
          <w:sz w:val="24"/>
          <w:szCs w:val="24"/>
          <w:lang w:val="en-US" w:bidi="ar-SA"/>
        </w:rPr>
        <w:fldChar w:fldCharType="separate"/>
      </w:r>
      <w:r>
        <w:rPr>
          <w:rFonts w:hint="default" w:ascii="宋体" w:hAnsi="宋体" w:eastAsia="宋体" w:cs="宋体"/>
          <w:b/>
          <w:bCs/>
          <w:caps w:val="0"/>
          <w:color w:val="000000"/>
          <w:kern w:val="0"/>
          <w:sz w:val="24"/>
          <w:szCs w:val="24"/>
          <w:lang w:val="en-US" w:bidi="ar-SA"/>
        </w:rPr>
        <w:t>6 后期处置</w:t>
      </w:r>
      <w:r>
        <w:rPr>
          <w:rFonts w:hint="default" w:ascii="宋体" w:hAnsi="宋体" w:eastAsia="宋体" w:cs="宋体"/>
          <w:b/>
          <w:bCs/>
          <w: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"_Toc27777"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6.1  善后处置</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Times New Roman" w:hAnsi="Times New Roman" w:eastAsia="方正仿宋_GB2312" w:cs="Times New Roman"/>
          <w:kern w:val="2"/>
          <w:sz w:val="32"/>
          <w:szCs w:val="32"/>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"_Toc12618"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6.2  环境损害评估及事件调查</w:t>
      </w:r>
      <w:r>
        <w:rPr>
          <w:rFonts w:hint="default" w:ascii="宋体" w:hAnsi="宋体" w:eastAsia="宋体" w:cs="宋体"/>
          <w:smallCaps w:val="0"/>
          <w:color w:val="000000"/>
          <w:kern w:val="0"/>
          <w:sz w:val="24"/>
          <w:szCs w:val="24"/>
          <w:lang w:val="en-US" w:bidi="ar-SA"/>
        </w:rPr>
        <w:fldChar w:fldCharType="end"/>
      </w:r>
    </w:p>
    <w:p>
      <w:pPr>
        <w:pStyle w:val="17"/>
        <w:tabs>
          <w:tab w:val="right" w:leader="dot" w:pos="9025"/>
        </w:tabs>
        <w:rPr>
          <w:rFonts w:hint="default" w:ascii="Times New Roman" w:hAnsi="Times New Roman" w:eastAsia="方正仿宋_GB2312" w:cs="Times New Roman"/>
        </w:rPr>
        <w:sectPr>
          <w:footerReference r:id="rId4" w:type="default"/>
          <w:pgSz w:w="11905" w:h="16838"/>
          <w:pgMar w:top="1803" w:right="1440" w:bottom="1803" w:left="1440" w:header="1531" w:footer="1270" w:gutter="0"/>
          <w:pgNumType w:fmt="numberInDash" w:start="1"/>
          <w:cols w:space="0" w:num="1"/>
        </w:sectPr>
      </w:pPr>
    </w:p>
    <w:p>
      <w:pPr>
        <w:pStyle w:val="17"/>
        <w:keepNext w:val="0"/>
        <w:keepLines w:val="0"/>
        <w:pageBreakBefore w:val="0"/>
        <w:widowControl w:val="0"/>
        <w:tabs>
          <w:tab w:val="right" w:pos="8844"/>
        </w:tabs>
        <w:kinsoku/>
        <w:wordWrap/>
        <w:overflowPunct/>
        <w:topLinePunct w:val="0"/>
        <w:autoSpaceDE/>
        <w:autoSpaceDN/>
        <w:bidi w:val="0"/>
        <w:adjustRightInd/>
        <w:snapToGrid/>
        <w:spacing w:before="0" w:after="0" w:line="480" w:lineRule="exact"/>
        <w:jc w:val="both"/>
        <w:textAlignment w:val="auto"/>
        <w:rPr>
          <w:rFonts w:hint="default" w:ascii="宋体" w:hAnsi="宋体" w:eastAsia="宋体" w:cs="宋体"/>
          <w:b/>
          <w:bCs/>
          <w:caps w:val="0"/>
          <w:color w:val="000000"/>
          <w:kern w:val="0"/>
          <w:sz w:val="24"/>
          <w:szCs w:val="24"/>
          <w:lang w:val="en-US" w:bidi="ar-SA"/>
        </w:rPr>
      </w:pPr>
      <w:r>
        <w:rPr>
          <w:rFonts w:hint="default" w:ascii="宋体" w:hAnsi="宋体" w:eastAsia="宋体" w:cs="宋体"/>
          <w:b/>
          <w:bCs/>
          <w:caps w:val="0"/>
          <w:color w:val="000000"/>
          <w:kern w:val="0"/>
          <w:sz w:val="24"/>
          <w:szCs w:val="24"/>
          <w:lang w:val="en-US" w:bidi="ar-SA"/>
        </w:rPr>
        <w:fldChar w:fldCharType="begin"/>
      </w:r>
      <w:r>
        <w:rPr>
          <w:rFonts w:hint="default" w:ascii="宋体" w:hAnsi="宋体" w:eastAsia="宋体" w:cs="宋体"/>
          <w:b/>
          <w:bCs/>
          <w:caps w:val="0"/>
          <w:color w:val="000000"/>
          <w:kern w:val="0"/>
          <w:sz w:val="24"/>
          <w:szCs w:val="24"/>
          <w:lang w:val="en-US" w:bidi="ar-SA"/>
        </w:rPr>
        <w:instrText xml:space="preserve"> HYPERLINK \l "_Toc15455" </w:instrText>
      </w:r>
      <w:r>
        <w:rPr>
          <w:rFonts w:hint="default" w:ascii="宋体" w:hAnsi="宋体" w:eastAsia="宋体" w:cs="宋体"/>
          <w:b/>
          <w:bCs/>
          <w:caps w:val="0"/>
          <w:color w:val="000000"/>
          <w:kern w:val="0"/>
          <w:sz w:val="24"/>
          <w:szCs w:val="24"/>
          <w:lang w:val="en-US" w:bidi="ar-SA"/>
        </w:rPr>
        <w:fldChar w:fldCharType="separate"/>
      </w:r>
      <w:r>
        <w:rPr>
          <w:rFonts w:hint="default" w:ascii="宋体" w:hAnsi="宋体" w:eastAsia="宋体" w:cs="宋体"/>
          <w:b/>
          <w:bCs/>
          <w:caps w:val="0"/>
          <w:color w:val="000000"/>
          <w:kern w:val="0"/>
          <w:sz w:val="24"/>
          <w:szCs w:val="24"/>
          <w:lang w:val="en-US" w:bidi="ar-SA"/>
        </w:rPr>
        <w:t>7 应急保障</w:t>
      </w:r>
      <w:r>
        <w:rPr>
          <w:rFonts w:hint="default" w:ascii="宋体" w:hAnsi="宋体" w:eastAsia="宋体" w:cs="宋体"/>
          <w:b/>
          <w:bCs/>
          <w: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"_Toc8829"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7.1  资金保障</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"_Toc24318"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7.2  应急物资保障</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"_Toc3612"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7.3  通信保障</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"_Toc32592"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7.4  应急队伍保障</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"_Toc27322"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7.5  技术储备与保障</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"_Toc31586"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7.6  交通运输保障</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"_Toc24806"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7.7  救援装备保障</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"_Toc31057"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7.8  医疗救护保障</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"_Toc26327"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7.9  治安保障</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"_Toc1251"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7.10 社会动员保障</w:t>
      </w:r>
      <w:r>
        <w:rPr>
          <w:rFonts w:hint="default" w:ascii="宋体" w:hAnsi="宋体" w:eastAsia="宋体" w:cs="宋体"/>
          <w:smallCaps w:val="0"/>
          <w:color w:val="000000"/>
          <w:kern w:val="0"/>
          <w:sz w:val="24"/>
          <w:szCs w:val="24"/>
          <w:lang w:val="en-US" w:bidi="ar-SA"/>
        </w:rPr>
        <w:fldChar w:fldCharType="end"/>
      </w:r>
    </w:p>
    <w:p>
      <w:pPr>
        <w:pStyle w:val="17"/>
        <w:keepNext w:val="0"/>
        <w:keepLines w:val="0"/>
        <w:pageBreakBefore w:val="0"/>
        <w:widowControl w:val="0"/>
        <w:tabs>
          <w:tab w:val="right" w:pos="8844"/>
        </w:tabs>
        <w:kinsoku/>
        <w:wordWrap/>
        <w:overflowPunct/>
        <w:topLinePunct w:val="0"/>
        <w:autoSpaceDE/>
        <w:autoSpaceDN/>
        <w:bidi w:val="0"/>
        <w:adjustRightInd/>
        <w:snapToGrid/>
        <w:spacing w:before="0" w:after="0" w:line="480" w:lineRule="exact"/>
        <w:jc w:val="both"/>
        <w:textAlignment w:val="auto"/>
        <w:rPr>
          <w:rFonts w:hint="default" w:ascii="宋体" w:hAnsi="宋体" w:eastAsia="宋体" w:cs="宋体"/>
          <w:b/>
          <w:bCs/>
          <w:caps w:val="0"/>
          <w:color w:val="000000"/>
          <w:kern w:val="0"/>
          <w:sz w:val="24"/>
          <w:szCs w:val="24"/>
          <w:lang w:val="en-US" w:bidi="ar-SA"/>
        </w:rPr>
      </w:pPr>
      <w:r>
        <w:rPr>
          <w:rFonts w:hint="default" w:ascii="宋体" w:hAnsi="宋体" w:eastAsia="宋体" w:cs="宋体"/>
          <w:b/>
          <w:bCs/>
          <w:caps w:val="0"/>
          <w:color w:val="000000"/>
          <w:kern w:val="0"/>
          <w:sz w:val="24"/>
          <w:szCs w:val="24"/>
          <w:lang w:val="en-US" w:bidi="ar-SA"/>
        </w:rPr>
        <w:fldChar w:fldCharType="begin"/>
      </w:r>
      <w:r>
        <w:rPr>
          <w:rFonts w:hint="default" w:ascii="宋体" w:hAnsi="宋体" w:eastAsia="宋体" w:cs="宋体"/>
          <w:b/>
          <w:bCs/>
          <w:caps w:val="0"/>
          <w:color w:val="000000"/>
          <w:kern w:val="0"/>
          <w:sz w:val="24"/>
          <w:szCs w:val="24"/>
          <w:lang w:val="en-US" w:bidi="ar-SA"/>
        </w:rPr>
        <w:instrText xml:space="preserve"> HYPERLINK \l "_Toc5653" </w:instrText>
      </w:r>
      <w:r>
        <w:rPr>
          <w:rFonts w:hint="default" w:ascii="宋体" w:hAnsi="宋体" w:eastAsia="宋体" w:cs="宋体"/>
          <w:b/>
          <w:bCs/>
          <w:caps w:val="0"/>
          <w:color w:val="000000"/>
          <w:kern w:val="0"/>
          <w:sz w:val="24"/>
          <w:szCs w:val="24"/>
          <w:lang w:val="en-US" w:bidi="ar-SA"/>
        </w:rPr>
        <w:fldChar w:fldCharType="separate"/>
      </w:r>
      <w:r>
        <w:rPr>
          <w:rFonts w:hint="default" w:ascii="宋体" w:hAnsi="宋体" w:eastAsia="宋体" w:cs="宋体"/>
          <w:b/>
          <w:bCs/>
          <w:caps w:val="0"/>
          <w:color w:val="000000"/>
          <w:kern w:val="0"/>
          <w:sz w:val="24"/>
          <w:szCs w:val="24"/>
          <w:lang w:val="en-US" w:bidi="ar-SA"/>
        </w:rPr>
        <w:t>8 应急培训与演练</w:t>
      </w:r>
      <w:r>
        <w:rPr>
          <w:rFonts w:hint="default" w:ascii="宋体" w:hAnsi="宋体" w:eastAsia="宋体" w:cs="宋体"/>
          <w:b/>
          <w:bCs/>
          <w: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"_Toc748"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8.1  宣传</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"_Toc29645"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8.2  培训</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Times New Roman" w:hAnsi="Times New Roman" w:eastAsia="方正仿宋_GB2312" w:cs="Times New Roman"/>
          <w:kern w:val="2"/>
          <w:sz w:val="32"/>
          <w:szCs w:val="32"/>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"_Toc28909"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8.3  应急演练</w:t>
      </w:r>
      <w:r>
        <w:rPr>
          <w:rFonts w:hint="default" w:ascii="宋体" w:hAnsi="宋体" w:eastAsia="宋体" w:cs="宋体"/>
          <w:smallCaps w:val="0"/>
          <w:color w:val="000000"/>
          <w:kern w:val="0"/>
          <w:sz w:val="24"/>
          <w:szCs w:val="24"/>
          <w:lang w:val="en-US" w:bidi="ar-SA"/>
        </w:rPr>
        <w:fldChar w:fldCharType="end"/>
      </w:r>
    </w:p>
    <w:p>
      <w:pPr>
        <w:pStyle w:val="17"/>
        <w:keepNext w:val="0"/>
        <w:keepLines w:val="0"/>
        <w:pageBreakBefore w:val="0"/>
        <w:widowControl w:val="0"/>
        <w:tabs>
          <w:tab w:val="right" w:pos="8844"/>
        </w:tabs>
        <w:kinsoku/>
        <w:wordWrap/>
        <w:overflowPunct/>
        <w:topLinePunct w:val="0"/>
        <w:autoSpaceDE/>
        <w:autoSpaceDN/>
        <w:bidi w:val="0"/>
        <w:adjustRightInd/>
        <w:snapToGrid/>
        <w:spacing w:before="0" w:after="0" w:line="480" w:lineRule="exact"/>
        <w:jc w:val="both"/>
        <w:textAlignment w:val="auto"/>
        <w:rPr>
          <w:rFonts w:hint="default" w:ascii="宋体" w:hAnsi="宋体" w:eastAsia="宋体" w:cs="宋体"/>
          <w:b/>
          <w:bCs/>
          <w:caps w:val="0"/>
          <w:color w:val="000000"/>
          <w:kern w:val="0"/>
          <w:sz w:val="24"/>
          <w:szCs w:val="24"/>
          <w:lang w:val="en-US" w:bidi="ar-SA"/>
        </w:rPr>
      </w:pPr>
      <w:r>
        <w:rPr>
          <w:rFonts w:hint="default" w:ascii="宋体" w:hAnsi="宋体" w:eastAsia="宋体" w:cs="宋体"/>
          <w:b/>
          <w:bCs/>
          <w:caps w:val="0"/>
          <w:color w:val="000000"/>
          <w:kern w:val="0"/>
          <w:sz w:val="24"/>
          <w:szCs w:val="24"/>
          <w:lang w:val="en-US" w:bidi="ar-SA"/>
        </w:rPr>
        <w:fldChar w:fldCharType="begin"/>
      </w:r>
      <w:r>
        <w:rPr>
          <w:rFonts w:hint="default" w:ascii="宋体" w:hAnsi="宋体" w:eastAsia="宋体" w:cs="宋体"/>
          <w:b/>
          <w:bCs/>
          <w:caps w:val="0"/>
          <w:color w:val="000000"/>
          <w:kern w:val="0"/>
          <w:sz w:val="24"/>
          <w:szCs w:val="24"/>
          <w:lang w:val="en-US" w:bidi="ar-SA"/>
        </w:rPr>
        <w:instrText xml:space="preserve"> HYPERLINK \l "_Toc26743" </w:instrText>
      </w:r>
      <w:r>
        <w:rPr>
          <w:rFonts w:hint="default" w:ascii="宋体" w:hAnsi="宋体" w:eastAsia="宋体" w:cs="宋体"/>
          <w:b/>
          <w:bCs/>
          <w:caps w:val="0"/>
          <w:color w:val="000000"/>
          <w:kern w:val="0"/>
          <w:sz w:val="24"/>
          <w:szCs w:val="24"/>
          <w:lang w:val="en-US" w:bidi="ar-SA"/>
        </w:rPr>
        <w:fldChar w:fldCharType="separate"/>
      </w:r>
      <w:r>
        <w:rPr>
          <w:rFonts w:hint="default" w:ascii="宋体" w:hAnsi="宋体" w:eastAsia="宋体" w:cs="宋体"/>
          <w:b/>
          <w:bCs/>
          <w:caps w:val="0"/>
          <w:color w:val="000000"/>
          <w:kern w:val="0"/>
          <w:sz w:val="24"/>
          <w:szCs w:val="24"/>
          <w:lang w:val="en-US" w:bidi="ar-SA"/>
        </w:rPr>
        <w:t>9 附则</w:t>
      </w:r>
      <w:r>
        <w:rPr>
          <w:rFonts w:hint="default" w:ascii="宋体" w:hAnsi="宋体" w:eastAsia="宋体" w:cs="宋体"/>
          <w:b/>
          <w:bCs/>
          <w: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"_Toc23177"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9.1  奖励与责任</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"_Toc18932"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9.2  预案管理</w:t>
      </w:r>
      <w:r>
        <w:rPr>
          <w:rFonts w:hint="default" w:ascii="宋体" w:hAnsi="宋体" w:eastAsia="宋体" w:cs="宋体"/>
          <w:smallCaps w:val="0"/>
          <w:color w:val="000000"/>
          <w:kern w:val="0"/>
          <w:sz w:val="24"/>
          <w:szCs w:val="24"/>
          <w:lang w:val="en-US" w:bidi="ar-SA"/>
        </w:rPr>
        <w:fldChar w:fldCharType="end"/>
      </w:r>
    </w:p>
    <w:p>
      <w:pPr>
        <w:pStyle w:val="20"/>
        <w:keepNext w:val="0"/>
        <w:keepLines w:val="0"/>
        <w:pageBreakBefore w:val="0"/>
        <w:widowControl w:val="0"/>
        <w:tabs>
          <w:tab w:val="right" w:pos="8844"/>
        </w:tabs>
        <w:kinsoku/>
        <w:wordWrap/>
        <w:overflowPunct/>
        <w:topLinePunct w:val="0"/>
        <w:autoSpaceDE/>
        <w:autoSpaceDN/>
        <w:bidi w:val="0"/>
        <w:adjustRightInd/>
        <w:snapToGrid/>
        <w:spacing w:line="480" w:lineRule="exact"/>
        <w:ind w:left="440" w:leftChars="200"/>
        <w:jc w:val="both"/>
        <w:textAlignment w:val="auto"/>
        <w:rPr>
          <w:rFonts w:hint="default" w:ascii="宋体" w:hAnsi="宋体" w:eastAsia="宋体" w:cs="宋体"/>
          <w:smallCaps w:val="0"/>
          <w:color w:val="000000"/>
          <w:kern w:val="0"/>
          <w:sz w:val="24"/>
          <w:szCs w:val="24"/>
          <w:lang w:val="en-US" w:bidi="ar-SA"/>
        </w:rPr>
      </w:pPr>
      <w:r>
        <w:rPr>
          <w:rFonts w:hint="default" w:ascii="宋体" w:hAnsi="宋体" w:eastAsia="宋体" w:cs="宋体"/>
          <w:smallCaps w:val="0"/>
          <w:color w:val="000000"/>
          <w:kern w:val="0"/>
          <w:sz w:val="24"/>
          <w:szCs w:val="24"/>
          <w:lang w:val="en-US" w:bidi="ar-SA"/>
        </w:rPr>
        <w:fldChar w:fldCharType="begin"/>
      </w:r>
      <w:r>
        <w:rPr>
          <w:rFonts w:hint="default" w:ascii="宋体" w:hAnsi="宋体" w:eastAsia="宋体" w:cs="宋体"/>
          <w:smallCaps w:val="0"/>
          <w:color w:val="000000"/>
          <w:kern w:val="0"/>
          <w:sz w:val="24"/>
          <w:szCs w:val="24"/>
          <w:lang w:val="en-US" w:bidi="ar-SA"/>
        </w:rPr>
        <w:instrText xml:space="preserve"> HYPERLINK \l "_Toc31684" </w:instrText>
      </w:r>
      <w:r>
        <w:rPr>
          <w:rFonts w:hint="default" w:ascii="宋体" w:hAnsi="宋体" w:eastAsia="宋体" w:cs="宋体"/>
          <w:smallCaps w:val="0"/>
          <w:color w:val="000000"/>
          <w:kern w:val="0"/>
          <w:sz w:val="24"/>
          <w:szCs w:val="24"/>
          <w:lang w:val="en-US" w:bidi="ar-SA"/>
        </w:rPr>
        <w:fldChar w:fldCharType="separate"/>
      </w:r>
      <w:r>
        <w:rPr>
          <w:rFonts w:hint="default" w:ascii="宋体" w:hAnsi="宋体" w:eastAsia="宋体" w:cs="宋体"/>
          <w:smallCaps w:val="0"/>
          <w:color w:val="000000"/>
          <w:kern w:val="0"/>
          <w:sz w:val="24"/>
          <w:szCs w:val="24"/>
          <w:lang w:val="en-US" w:bidi="ar-SA"/>
        </w:rPr>
        <w:t>9.3  预案实施时间</w:t>
      </w:r>
      <w:r>
        <w:rPr>
          <w:rFonts w:hint="default" w:ascii="宋体" w:hAnsi="宋体" w:eastAsia="宋体" w:cs="宋体"/>
          <w:smallCaps w:val="0"/>
          <w:color w:val="000000"/>
          <w:kern w:val="0"/>
          <w:sz w:val="24"/>
          <w:szCs w:val="24"/>
          <w:lang w:val="en-US" w:bidi="ar-SA"/>
        </w:rPr>
        <w:fldChar w:fldCharType="end"/>
      </w:r>
    </w:p>
    <w:p>
      <w:pPr>
        <w:pStyle w:val="17"/>
        <w:keepNext w:val="0"/>
        <w:keepLines w:val="0"/>
        <w:pageBreakBefore w:val="0"/>
        <w:widowControl w:val="0"/>
        <w:tabs>
          <w:tab w:val="right" w:pos="8844"/>
        </w:tabs>
        <w:kinsoku/>
        <w:wordWrap/>
        <w:overflowPunct/>
        <w:topLinePunct w:val="0"/>
        <w:autoSpaceDE/>
        <w:autoSpaceDN/>
        <w:bidi w:val="0"/>
        <w:adjustRightInd/>
        <w:snapToGrid/>
        <w:spacing w:before="0" w:after="0" w:line="480" w:lineRule="exact"/>
        <w:jc w:val="both"/>
        <w:textAlignment w:val="auto"/>
        <w:rPr>
          <w:rFonts w:hint="default" w:ascii="宋体" w:hAnsi="宋体" w:eastAsia="宋体" w:cs="宋体"/>
          <w:b/>
          <w:bCs/>
          <w:caps w:val="0"/>
          <w:color w:val="000000"/>
          <w:kern w:val="0"/>
          <w:sz w:val="24"/>
          <w:szCs w:val="24"/>
          <w:lang w:val="en-US" w:eastAsia="zh-CN" w:bidi="ar-SA"/>
        </w:rPr>
      </w:pPr>
      <w:r>
        <w:rPr>
          <w:rFonts w:hint="default" w:ascii="宋体" w:hAnsi="宋体" w:eastAsia="宋体" w:cs="宋体"/>
          <w:b/>
          <w:bCs/>
          <w:caps w:val="0"/>
          <w:color w:val="000000"/>
          <w:kern w:val="0"/>
          <w:sz w:val="24"/>
          <w:szCs w:val="24"/>
          <w:lang w:val="en-US" w:eastAsia="zh-CN" w:bidi="ar-SA"/>
        </w:rPr>
        <w:t>10 附件</w:t>
      </w:r>
    </w:p>
    <w:p>
      <w:pPr>
        <w:snapToGrid w:val="0"/>
        <w:jc w:val="center"/>
        <w:outlineLvl w:val="0"/>
        <w:rPr>
          <w:rFonts w:hint="default" w:ascii="Times New Roman" w:hAnsi="Times New Roman" w:eastAsia="方正仿宋_GB2312" w:cs="Times New Roman"/>
          <w:b/>
          <w:sz w:val="32"/>
        </w:rPr>
        <w:sectPr>
          <w:footerReference r:id="rId5" w:type="default"/>
          <w:pgSz w:w="11905" w:h="16838"/>
          <w:pgMar w:top="1803" w:right="1440" w:bottom="1803" w:left="1440" w:header="1531" w:footer="1270" w:gutter="0"/>
          <w:pgNumType w:fmt="numberInDash" w:start="1"/>
          <w:cols w:space="0" w:num="1"/>
        </w:sectPr>
      </w:pPr>
      <w:r>
        <w:rPr>
          <w:rFonts w:hint="default" w:ascii="Times New Roman" w:hAnsi="Times New Roman" w:eastAsia="方正仿宋_GB2312" w:cs="Times New Roman"/>
          <w:bCs/>
          <w:caps/>
          <w:szCs w:val="30"/>
        </w:rPr>
        <w:fldChar w:fldCharType="end"/>
      </w:r>
      <w:bookmarkStart w:id="8" w:name="_Toc80549735"/>
      <w:bookmarkStart w:id="9" w:name="_Toc22363"/>
      <w:bookmarkStart w:id="10" w:name="_Toc80549834"/>
      <w:bookmarkStart w:id="11" w:name="_Toc24563"/>
    </w:p>
    <w:p>
      <w:pPr>
        <w:pStyle w:val="4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12" w:name="_Toc13658"/>
      <w:r>
        <w:rPr>
          <w:rFonts w:hint="default" w:ascii="黑体" w:hAnsi="黑体" w:eastAsia="黑体" w:cs="黑体"/>
          <w:sz w:val="32"/>
          <w:szCs w:val="32"/>
          <w:lang w:val="en-US" w:bidi="ar-SA"/>
        </w:rPr>
        <w:t>1  总则</w:t>
      </w:r>
      <w:bookmarkEnd w:id="6"/>
      <w:bookmarkEnd w:id="7"/>
      <w:bookmarkEnd w:id="8"/>
      <w:bookmarkEnd w:id="9"/>
      <w:bookmarkEnd w:id="10"/>
      <w:bookmarkEnd w:id="11"/>
      <w:bookmarkEnd w:id="12"/>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13" w:name="_Toc32754"/>
      <w:bookmarkStart w:id="14" w:name="_Toc4652"/>
      <w:bookmarkStart w:id="15" w:name="_Toc80549736"/>
      <w:bookmarkStart w:id="16" w:name="_Toc12210"/>
      <w:bookmarkStart w:id="17" w:name="_Toc80549835"/>
      <w:bookmarkStart w:id="18" w:name="_Toc8509"/>
      <w:bookmarkStart w:id="19" w:name="_Toc27789"/>
      <w:r>
        <w:rPr>
          <w:rFonts w:hint="default" w:ascii="楷体" w:hAnsi="楷体" w:eastAsia="楷体" w:cs="楷体"/>
          <w:sz w:val="28"/>
          <w:szCs w:val="28"/>
          <w:lang w:val="en-US" w:bidi="ar-SA"/>
        </w:rPr>
        <w:t>1.1 编制目的</w:t>
      </w:r>
      <w:bookmarkEnd w:id="13"/>
      <w:bookmarkEnd w:id="14"/>
      <w:bookmarkEnd w:id="15"/>
      <w:bookmarkEnd w:id="16"/>
      <w:bookmarkEnd w:id="17"/>
      <w:bookmarkEnd w:id="18"/>
      <w:bookmarkEnd w:id="1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为了切实加强</w:t>
      </w:r>
      <w:r>
        <w:rPr>
          <w:rFonts w:hint="default" w:ascii="Times New Roman" w:hAnsi="Times New Roman" w:eastAsia="宋体" w:cs="Times New Roman"/>
          <w:bCs/>
          <w:kern w:val="2"/>
          <w:sz w:val="28"/>
          <w:szCs w:val="32"/>
          <w:lang w:val="en-US" w:eastAsia="zh-CN" w:bidi="ar-SA"/>
        </w:rPr>
        <w:t>城厢镇</w:t>
      </w:r>
      <w:r>
        <w:rPr>
          <w:rFonts w:hint="default" w:ascii="Times New Roman" w:hAnsi="Times New Roman" w:eastAsia="宋体" w:cs="Times New Roman"/>
          <w:bCs/>
          <w:kern w:val="2"/>
          <w:sz w:val="28"/>
          <w:szCs w:val="32"/>
          <w:lang w:val="en-US" w:bidi="ar-SA"/>
        </w:rPr>
        <w:t>突发环境事件应急管理工作，建立健全突发环境事件应对工作机制，提高突发环境事件应对能力，预防、减轻和控制事件影响，及时有效组织应急救援工作，最大程度降低突发环境事件所造成的环境污染和生态破坏损失，保障环境安全和公众生命财产安全，促进</w:t>
      </w:r>
      <w:r>
        <w:rPr>
          <w:rFonts w:hint="default" w:ascii="Times New Roman" w:hAnsi="Times New Roman" w:eastAsia="宋体" w:cs="Times New Roman"/>
          <w:bCs/>
          <w:kern w:val="2"/>
          <w:sz w:val="28"/>
          <w:szCs w:val="32"/>
          <w:lang w:val="en-US" w:eastAsia="zh-CN" w:bidi="ar-SA"/>
        </w:rPr>
        <w:t>城厢镇</w:t>
      </w:r>
      <w:r>
        <w:rPr>
          <w:rFonts w:hint="default" w:ascii="Times New Roman" w:hAnsi="Times New Roman" w:eastAsia="宋体" w:cs="Times New Roman"/>
          <w:bCs/>
          <w:kern w:val="2"/>
          <w:sz w:val="28"/>
          <w:szCs w:val="32"/>
          <w:lang w:val="en-US" w:bidi="ar-SA"/>
        </w:rPr>
        <w:t>的全面、协调、可持续发展，制定本预案。</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20" w:name="_bookmark3"/>
      <w:bookmarkEnd w:id="20"/>
      <w:bookmarkStart w:id="21" w:name="1.2_编制依据"/>
      <w:bookmarkEnd w:id="21"/>
      <w:bookmarkStart w:id="22" w:name="_Toc15342"/>
      <w:bookmarkStart w:id="23" w:name="_Toc8657"/>
      <w:bookmarkStart w:id="24" w:name="_Toc7307"/>
      <w:bookmarkStart w:id="25" w:name="_Toc80549737"/>
      <w:bookmarkStart w:id="26" w:name="_Toc80549836"/>
      <w:bookmarkStart w:id="27" w:name="_Toc29513"/>
      <w:bookmarkStart w:id="28" w:name="_Toc21069"/>
      <w:r>
        <w:rPr>
          <w:rFonts w:hint="default" w:ascii="楷体" w:hAnsi="楷体" w:eastAsia="楷体" w:cs="楷体"/>
          <w:sz w:val="28"/>
          <w:szCs w:val="28"/>
          <w:lang w:val="en-US" w:bidi="ar-SA"/>
        </w:rPr>
        <w:t>1.2 编制依据</w:t>
      </w:r>
      <w:bookmarkEnd w:id="22"/>
      <w:bookmarkEnd w:id="23"/>
      <w:bookmarkEnd w:id="24"/>
      <w:bookmarkEnd w:id="25"/>
      <w:bookmarkEnd w:id="26"/>
      <w:bookmarkEnd w:id="27"/>
      <w:bookmarkEnd w:id="2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依据《中华人民共和国环境保护法》《中华人民共和国突发事件应对法》《突发环境事件应急管理办法（环境保护部令第34号）》《突发环境事件信息报告办法（环境保护部令第17号）》《突发环境事件调查处理办法（环境保护部令第32号）》《国家突发公共事件总体应急预案》《国家突发环境事件应急预案》《江苏省突发事件总体应急预案》《江苏省突发环境事件应急预案》《江苏省实施&lt;中华人民共和国突发事件应对法&gt;办法》《苏州市突发事件总体应急预案》《苏州市太仓辐射事故应急预案》《太仓市突发事件总体应急预案》《太仓市突发环境事件应急预案》《太仓市浏河集中式饮用水源地突发环境事件应急预案》《太仓市突发水污染事件应急预案》及有关法律、法规、规范性文件的要求，制定本预案。</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29" w:name="_Toc10497"/>
      <w:bookmarkStart w:id="30" w:name="_Toc80549837"/>
      <w:bookmarkStart w:id="31" w:name="_Toc80549738"/>
      <w:bookmarkStart w:id="32" w:name="_Toc3984"/>
      <w:bookmarkStart w:id="33" w:name="_Toc17442"/>
      <w:bookmarkStart w:id="34" w:name="_Toc12723"/>
      <w:bookmarkStart w:id="35" w:name="_Toc12975"/>
      <w:r>
        <w:rPr>
          <w:rFonts w:hint="default" w:ascii="楷体" w:hAnsi="楷体" w:eastAsia="楷体" w:cs="楷体"/>
          <w:sz w:val="28"/>
          <w:szCs w:val="28"/>
          <w:lang w:val="en-US" w:bidi="ar-SA"/>
        </w:rPr>
        <w:t>1.3 工作原则</w:t>
      </w:r>
      <w:bookmarkEnd w:id="29"/>
      <w:bookmarkEnd w:id="30"/>
      <w:bookmarkEnd w:id="31"/>
      <w:bookmarkEnd w:id="32"/>
      <w:bookmarkEnd w:id="33"/>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bookmarkStart w:id="36" w:name="_Toc369"/>
      <w:bookmarkStart w:id="37" w:name="_Toc80549739"/>
      <w:bookmarkStart w:id="38" w:name="_Toc21426"/>
      <w:bookmarkStart w:id="39" w:name="_Toc80549838"/>
      <w:bookmarkStart w:id="40" w:name="_Toc25028"/>
      <w:r>
        <w:rPr>
          <w:rFonts w:hint="default" w:ascii="Times New Roman" w:hAnsi="Times New Roman" w:eastAsia="宋体" w:cs="Times New Roman"/>
          <w:bCs/>
          <w:kern w:val="2"/>
          <w:sz w:val="28"/>
          <w:szCs w:val="32"/>
          <w:lang w:val="en-US" w:bidi="ar-SA"/>
        </w:rPr>
        <w:t>坚持统一领导、分级负责；属地为主、协调联动；快速反应、科学处置；资源共享、保障有力的原则。突发环境事件发生后，事发地</w:t>
      </w:r>
      <w:r>
        <w:rPr>
          <w:rFonts w:hint="eastAsia" w:ascii="Times New Roman" w:hAnsi="Times New Roman" w:eastAsia="宋体" w:cs="Times New Roman"/>
          <w:bCs/>
          <w:kern w:val="2"/>
          <w:sz w:val="28"/>
          <w:szCs w:val="32"/>
          <w:lang w:val="en-US" w:eastAsia="zh-CN" w:bidi="ar-SA"/>
        </w:rPr>
        <w:t>村（社区）</w:t>
      </w:r>
      <w:r>
        <w:rPr>
          <w:rFonts w:hint="default" w:ascii="Times New Roman" w:hAnsi="Times New Roman" w:eastAsia="宋体" w:cs="Times New Roman"/>
          <w:bCs/>
          <w:kern w:val="2"/>
          <w:sz w:val="28"/>
          <w:szCs w:val="32"/>
          <w:lang w:val="en-US" w:bidi="ar-SA"/>
        </w:rPr>
        <w:t>和有关部门应按照职责分工和相关预案开展应急处置工作。</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r>
        <w:rPr>
          <w:rFonts w:hint="default" w:ascii="楷体" w:hAnsi="楷体" w:eastAsia="楷体" w:cs="楷体"/>
          <w:sz w:val="28"/>
          <w:szCs w:val="28"/>
          <w:lang w:val="en-US" w:bidi="ar-SA"/>
        </w:rPr>
        <w:t>1.4 适用范围</w:t>
      </w:r>
      <w:bookmarkEnd w:id="34"/>
      <w:bookmarkEnd w:id="35"/>
      <w:bookmarkEnd w:id="36"/>
      <w:bookmarkEnd w:id="37"/>
      <w:bookmarkEnd w:id="38"/>
      <w:bookmarkEnd w:id="39"/>
      <w:bookmarkEnd w:id="40"/>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本预案适用于</w:t>
      </w:r>
      <w:r>
        <w:rPr>
          <w:rFonts w:hint="default" w:ascii="Times New Roman" w:hAnsi="Times New Roman" w:eastAsia="宋体" w:cs="Times New Roman"/>
          <w:bCs/>
          <w:kern w:val="2"/>
          <w:sz w:val="28"/>
          <w:szCs w:val="32"/>
          <w:lang w:val="en-US" w:eastAsia="zh-CN" w:bidi="ar-SA"/>
        </w:rPr>
        <w:t>城厢镇</w:t>
      </w:r>
      <w:r>
        <w:rPr>
          <w:rFonts w:hint="default" w:ascii="Times New Roman" w:hAnsi="Times New Roman" w:eastAsia="宋体" w:cs="Times New Roman"/>
          <w:bCs/>
          <w:kern w:val="2"/>
          <w:sz w:val="28"/>
          <w:szCs w:val="32"/>
          <w:lang w:val="en-US" w:bidi="ar-SA"/>
        </w:rPr>
        <w:t>行政区域内发生的突发环境事件，以及发生在本镇行政区域外但可能造成本镇生态环境重大影响需要采取紧急应对措施的突发环境事件的应对工作。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本预案所称突发环境事件，是指由于污染物排放或自然灾害、生产安全事故等因素，导致污染物或放射性物质等有毒有害物质进入大气、水体、土壤等环境介质，突然造成或可能造成环境质量下降，危及公众身体健康和财产安全。或造成生态环境破坏，或造成重大社会影响，需要采取紧急措施予以应对的事件，主要包括大气污染、水体污染、土壤污染等突发性环境污染事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因生产安全、交通运输、自然灾害及人为破坏或恐怖袭击引发以环境污染为次生灾害的突发事件，同时启动其他相关应急预案。</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核设施及有关核活动发生的核与辐射事故造成的辐射污染事件、船舶污染事故、重污染天气、太湖蓝藻暴发等应对工作，按照各自相应的应急预案执行。</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41" w:name="_Toc6375"/>
      <w:bookmarkStart w:id="42" w:name="_Toc9248"/>
      <w:bookmarkStart w:id="43" w:name="_Toc29124"/>
      <w:bookmarkStart w:id="44" w:name="_Toc13668"/>
      <w:bookmarkStart w:id="45" w:name="_Toc11343"/>
      <w:bookmarkStart w:id="46" w:name="_Toc17077"/>
      <w:bookmarkStart w:id="47" w:name="_Toc80549839"/>
      <w:bookmarkStart w:id="48" w:name="_Toc26507"/>
      <w:bookmarkStart w:id="49" w:name="_Toc13449"/>
      <w:bookmarkStart w:id="50" w:name="_Toc20794"/>
      <w:bookmarkStart w:id="51" w:name="_Toc27570"/>
      <w:bookmarkStart w:id="52" w:name="_Toc80549740"/>
      <w:bookmarkStart w:id="53" w:name="_Toc44925681"/>
      <w:bookmarkStart w:id="54" w:name="_Toc12233"/>
      <w:bookmarkStart w:id="55" w:name="_Toc8672"/>
      <w:bookmarkStart w:id="56" w:name="_Toc13545"/>
      <w:r>
        <w:rPr>
          <w:rFonts w:hint="default" w:ascii="楷体" w:hAnsi="楷体" w:eastAsia="楷体" w:cs="楷体"/>
          <w:sz w:val="28"/>
          <w:szCs w:val="28"/>
          <w:lang w:val="en-US" w:bidi="ar-SA"/>
        </w:rPr>
        <w:t>1.5 事件分级</w:t>
      </w:r>
      <w:bookmarkEnd w:id="41"/>
      <w:bookmarkEnd w:id="42"/>
      <w:bookmarkEnd w:id="43"/>
      <w:bookmarkEnd w:id="44"/>
      <w:bookmarkEnd w:id="45"/>
      <w:bookmarkEnd w:id="46"/>
      <w:bookmarkEnd w:id="47"/>
      <w:bookmarkEnd w:id="48"/>
      <w:bookmarkEnd w:id="49"/>
      <w:bookmarkEnd w:id="50"/>
      <w:bookmarkEnd w:id="51"/>
      <w:bookmarkEnd w:id="52"/>
      <w:bookmarkEnd w:id="53"/>
      <w:bookmarkEnd w:id="54"/>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按照突发环境事件的严重性和紧急程度，分为特别重大、重大、较大和一般四级。</w:t>
      </w:r>
    </w:p>
    <w:p>
      <w:pPr>
        <w:pStyle w:val="43"/>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2"/>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1.5.1特别重大突发环境事件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 xml:space="preserve">凡符合下列情形之一的，为特别重大突发环境事件：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 xml:space="preserve">（1）因环境污染直接导致10人以上死亡或50人以上中毒或重伤的；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 xml:space="preserve">（2）因环境污染疏散、转移人员1万人以上的；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 xml:space="preserve">（3）因环境污染造成直接经济损失2000万元以上的；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 xml:space="preserve">（4）因环境污染造成区域生态功能部分丧失或该区域国家重点保护野生动植物种群大批死亡的；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（5）因环境污染造成县级城市集中式饮用水水源地取水中断的。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（6）造成跨省级行政区域影响的突发环境事件。</w:t>
      </w:r>
    </w:p>
    <w:p>
      <w:pPr>
        <w:pStyle w:val="43"/>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2"/>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1.5.2重大突发环境事件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 xml:space="preserve">凡符合下列情形之一的，为重大突发环境事件：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 xml:space="preserve">（1）因环境污染直接导致3人以上、10人以下死亡，或10人以上、50人以下中毒或重伤的；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（2）因环境污染需疏散、转移人员5000人以上、1万人以下的；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 xml:space="preserve">（3）因环境污染造成直接经济损失500万元以上、2000万元以下的；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w w:val="95"/>
          <w:kern w:val="2"/>
          <w:sz w:val="28"/>
          <w:szCs w:val="32"/>
          <w:lang w:val="en-US" w:bidi="ar-SA"/>
        </w:rPr>
      </w:pPr>
      <w:r>
        <w:rPr>
          <w:rFonts w:hint="default" w:ascii="Times New Roman" w:hAnsi="Times New Roman" w:eastAsia="宋体" w:cs="Times New Roman"/>
          <w:bCs/>
          <w:kern w:val="2"/>
          <w:sz w:val="28"/>
          <w:szCs w:val="32"/>
          <w:lang w:val="en-US" w:bidi="ar-SA"/>
        </w:rPr>
        <w:t>（4）</w:t>
      </w:r>
      <w:r>
        <w:rPr>
          <w:rFonts w:hint="default" w:ascii="Times New Roman" w:hAnsi="Times New Roman" w:eastAsia="宋体" w:cs="Times New Roman"/>
          <w:bCs/>
          <w:w w:val="95"/>
          <w:kern w:val="2"/>
          <w:sz w:val="28"/>
          <w:szCs w:val="32"/>
          <w:lang w:val="en-US" w:bidi="ar-SA"/>
        </w:rPr>
        <w:t xml:space="preserve">因环境污染造成国家重点保护的动植物物种受到破坏的；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（5）</w:t>
      </w:r>
      <w:r>
        <w:rPr>
          <w:rFonts w:hint="default" w:ascii="Times New Roman" w:hAnsi="Times New Roman" w:eastAsia="宋体" w:cs="Times New Roman"/>
          <w:bCs/>
          <w:w w:val="95"/>
          <w:kern w:val="2"/>
          <w:sz w:val="28"/>
          <w:szCs w:val="32"/>
          <w:lang w:val="en-US" w:bidi="ar-SA"/>
        </w:rPr>
        <w:t>因环境污染造成乡镇集中式饮用水水源地取水中断的；</w:t>
      </w:r>
      <w:r>
        <w:rPr>
          <w:rFonts w:hint="default" w:ascii="Times New Roman" w:hAnsi="Times New Roman" w:eastAsia="宋体" w:cs="Times New Roman"/>
          <w:bCs/>
          <w:kern w:val="2"/>
          <w:sz w:val="28"/>
          <w:szCs w:val="32"/>
          <w:lang w:val="en-US" w:bidi="ar-SA"/>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（6）造成跨地级市行政区域影响的突发环境事件。</w:t>
      </w:r>
    </w:p>
    <w:p>
      <w:pPr>
        <w:pStyle w:val="43"/>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2"/>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1.5.3较大突发环境事件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 xml:space="preserve">凡符合下列情形之一的，为较大突发环境事件：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 xml:space="preserve">（1）因环境污染直接导致3人以下死亡，或10人以下中毒或重伤的；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 xml:space="preserve">（2）因环境污染需疏散、转移人员5000人以下的；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 xml:space="preserve">（3）因环境污染造成直接经济损失500万元以下的；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 xml:space="preserve">（4）因环境污染造成跨县级行政区域纠纷，引起一般性群体影响的；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（5）对环境造成一定影响，尚未达到较大突发环境事件级别的。</w:t>
      </w:r>
    </w:p>
    <w:p>
      <w:pPr>
        <w:pStyle w:val="43"/>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2"/>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1.5.4一般突发环境事件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 xml:space="preserve">除特别重大突发环境事件、重大突发环境事件、较大突发环境事件以外的突发环境事件。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方正仿宋_GB2312" w:cs="Times New Roman"/>
          <w:b/>
          <w:sz w:val="32"/>
        </w:rPr>
      </w:pPr>
      <w:r>
        <w:rPr>
          <w:rFonts w:hint="default" w:ascii="Times New Roman" w:hAnsi="Times New Roman" w:eastAsia="宋体" w:cs="Times New Roman"/>
          <w:bCs/>
          <w:kern w:val="2"/>
          <w:sz w:val="28"/>
          <w:szCs w:val="32"/>
          <w:lang w:val="en-US" w:bidi="ar-SA"/>
        </w:rPr>
        <w:t>上述分级标准有关数量的表述中，“以上”含本数，“以下”不含本数。</w:t>
      </w:r>
      <w:bookmarkEnd w:id="55"/>
      <w:bookmarkEnd w:id="56"/>
      <w:bookmarkStart w:id="57" w:name="2_基本情况"/>
      <w:bookmarkEnd w:id="57"/>
      <w:r>
        <w:rPr>
          <w:rFonts w:hint="default" w:ascii="Times New Roman" w:hAnsi="Times New Roman" w:eastAsia="方正仿宋_GB2312" w:cs="Times New Roman"/>
          <w:b/>
          <w:sz w:val="32"/>
        </w:rPr>
        <w:br w:type="page"/>
      </w:r>
    </w:p>
    <w:p>
      <w:pPr>
        <w:pStyle w:val="4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58" w:name="_Toc80549840"/>
      <w:bookmarkStart w:id="59" w:name="_Toc28756"/>
      <w:bookmarkStart w:id="60" w:name="_Toc19076"/>
      <w:bookmarkStart w:id="61" w:name="_Toc30516"/>
      <w:bookmarkStart w:id="62" w:name="_Toc8781"/>
      <w:bookmarkStart w:id="63" w:name="_Toc5640"/>
      <w:bookmarkStart w:id="64" w:name="_Toc10374"/>
      <w:bookmarkStart w:id="65" w:name="_Toc31316"/>
      <w:bookmarkStart w:id="66" w:name="_Toc3326"/>
      <w:bookmarkStart w:id="67" w:name="_Toc44925682"/>
      <w:bookmarkStart w:id="68" w:name="_Toc24346"/>
      <w:bookmarkStart w:id="69" w:name="_Toc80549741"/>
      <w:bookmarkStart w:id="70" w:name="_Toc14095"/>
      <w:bookmarkStart w:id="71" w:name="_Toc17913"/>
      <w:bookmarkStart w:id="72" w:name="_Toc516754418"/>
      <w:bookmarkStart w:id="73" w:name="_Toc19352"/>
      <w:bookmarkStart w:id="74" w:name="_Toc14162"/>
      <w:r>
        <w:rPr>
          <w:rFonts w:hint="default" w:ascii="黑体" w:hAnsi="黑体" w:eastAsia="黑体" w:cs="黑体"/>
          <w:sz w:val="32"/>
          <w:szCs w:val="32"/>
          <w:lang w:val="en-US" w:bidi="ar-SA"/>
        </w:rPr>
        <w:t>2  组织指挥体系与职责</w:t>
      </w:r>
      <w:bookmarkEnd w:id="58"/>
      <w:bookmarkEnd w:id="59"/>
      <w:bookmarkEnd w:id="60"/>
      <w:bookmarkEnd w:id="61"/>
      <w:bookmarkEnd w:id="62"/>
      <w:bookmarkEnd w:id="63"/>
      <w:bookmarkEnd w:id="64"/>
      <w:bookmarkEnd w:id="65"/>
      <w:bookmarkEnd w:id="66"/>
      <w:bookmarkEnd w:id="67"/>
      <w:bookmarkEnd w:id="68"/>
      <w:bookmarkEnd w:id="69"/>
      <w:bookmarkEnd w:id="70"/>
      <w:bookmarkEnd w:id="71"/>
    </w:p>
    <w:bookmarkEnd w:id="72"/>
    <w:bookmarkEnd w:id="73"/>
    <w:bookmarkEnd w:id="74"/>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75" w:name="_Toc6093"/>
      <w:bookmarkStart w:id="76" w:name="_Toc18014"/>
      <w:bookmarkStart w:id="77" w:name="_Toc28072"/>
      <w:bookmarkStart w:id="78" w:name="_Toc6292"/>
      <w:bookmarkStart w:id="79" w:name="_Toc29460"/>
      <w:bookmarkStart w:id="80" w:name="_Toc10662"/>
      <w:bookmarkStart w:id="81" w:name="_Toc80549841"/>
      <w:bookmarkStart w:id="82" w:name="_Toc80549742"/>
      <w:bookmarkStart w:id="83" w:name="_Toc6338"/>
      <w:bookmarkStart w:id="84" w:name="_Toc38455575"/>
      <w:bookmarkStart w:id="85" w:name="_Toc27664"/>
      <w:bookmarkStart w:id="86" w:name="_Toc14066"/>
      <w:bookmarkStart w:id="87" w:name="_Toc44925683"/>
      <w:bookmarkStart w:id="88" w:name="_Toc24925"/>
      <w:bookmarkStart w:id="89" w:name="_Toc31962"/>
      <w:bookmarkStart w:id="90" w:name="_Toc27327"/>
      <w:bookmarkStart w:id="91" w:name="_Toc32061"/>
      <w:r>
        <w:rPr>
          <w:rFonts w:hint="default" w:ascii="楷体" w:hAnsi="楷体" w:eastAsia="楷体" w:cs="楷体"/>
          <w:sz w:val="28"/>
          <w:szCs w:val="28"/>
          <w:lang w:val="en-US" w:bidi="ar-SA"/>
        </w:rPr>
        <w:t>2.1</w:t>
      </w:r>
      <w:bookmarkEnd w:id="75"/>
      <w:bookmarkEnd w:id="76"/>
      <w:bookmarkEnd w:id="77"/>
      <w:bookmarkEnd w:id="78"/>
      <w:bookmarkEnd w:id="79"/>
      <w:r>
        <w:rPr>
          <w:rFonts w:hint="default" w:ascii="楷体" w:hAnsi="楷体" w:eastAsia="楷体" w:cs="楷体"/>
          <w:sz w:val="28"/>
          <w:szCs w:val="28"/>
          <w:lang w:val="en-US" w:bidi="ar-SA"/>
        </w:rPr>
        <w:t>领导机构</w:t>
      </w:r>
      <w:bookmarkEnd w:id="80"/>
      <w:bookmarkEnd w:id="81"/>
      <w:bookmarkEnd w:id="82"/>
      <w:bookmarkEnd w:id="83"/>
    </w:p>
    <w:p>
      <w:pPr>
        <w:pageBreakBefore w:val="0"/>
        <w:widowControl w:val="0"/>
        <w:kinsoku/>
        <w:wordWrap/>
        <w:overflowPunct/>
        <w:topLinePunct w:val="0"/>
        <w:autoSpaceDE/>
        <w:autoSpaceDN/>
        <w:bidi w:val="0"/>
        <w:spacing w:line="500" w:lineRule="exact"/>
        <w:ind w:firstLine="560" w:firstLineChars="200"/>
        <w:jc w:val="both"/>
        <w:textAlignment w:val="auto"/>
        <w:rPr>
          <w:rFonts w:hint="default" w:ascii="Times New Roman" w:hAnsi="Times New Roman" w:eastAsia="宋体" w:cs="Times New Roman"/>
          <w:kern w:val="2"/>
          <w:sz w:val="28"/>
          <w:szCs w:val="32"/>
          <w:lang w:val="en-US" w:bidi="ar-SA"/>
        </w:rPr>
      </w:pPr>
      <w:r>
        <w:rPr>
          <w:rFonts w:hint="default" w:ascii="Times New Roman" w:hAnsi="Times New Roman" w:eastAsia="宋体" w:cs="Times New Roman"/>
          <w:kern w:val="2"/>
          <w:sz w:val="28"/>
          <w:szCs w:val="32"/>
          <w:lang w:val="en-US" w:eastAsia="zh-CN" w:bidi="ar-SA"/>
        </w:rPr>
        <w:t>在</w:t>
      </w:r>
      <w:r>
        <w:rPr>
          <w:rFonts w:hint="default" w:ascii="Times New Roman" w:hAnsi="Times New Roman" w:eastAsia="宋体" w:cs="Times New Roman"/>
          <w:kern w:val="2"/>
          <w:sz w:val="28"/>
          <w:szCs w:val="32"/>
          <w:lang w:val="en-US" w:bidi="ar-SA"/>
        </w:rPr>
        <w:t>镇党委、镇人民政府统一领导，成立突发环境事件应急指挥部（以下简称指挥部）。</w:t>
      </w:r>
    </w:p>
    <w:p>
      <w:pPr>
        <w:pageBreakBefore w:val="0"/>
        <w:widowControl w:val="0"/>
        <w:kinsoku/>
        <w:wordWrap/>
        <w:overflowPunct/>
        <w:topLinePunct w:val="0"/>
        <w:autoSpaceDE/>
        <w:autoSpaceDN/>
        <w:bidi w:val="0"/>
        <w:spacing w:line="500" w:lineRule="exact"/>
        <w:ind w:firstLine="560" w:firstLineChars="200"/>
        <w:jc w:val="both"/>
        <w:textAlignment w:val="auto"/>
        <w:rPr>
          <w:rFonts w:hint="default" w:ascii="Times New Roman" w:hAnsi="Times New Roman" w:eastAsia="宋体" w:cs="Times New Roman"/>
          <w:kern w:val="2"/>
          <w:sz w:val="28"/>
          <w:szCs w:val="32"/>
          <w:highlight w:val="none"/>
          <w:lang w:val="en-US" w:eastAsia="zh-CN" w:bidi="ar-SA"/>
        </w:rPr>
      </w:pPr>
      <w:r>
        <w:rPr>
          <w:rFonts w:hint="default" w:ascii="Times New Roman" w:hAnsi="Times New Roman" w:eastAsia="宋体" w:cs="Times New Roman"/>
          <w:kern w:val="2"/>
          <w:sz w:val="28"/>
          <w:szCs w:val="32"/>
          <w:highlight w:val="none"/>
          <w:lang w:val="en-US" w:eastAsia="zh-CN" w:bidi="ar-SA"/>
        </w:rPr>
        <w:t>总指挥：</w:t>
      </w:r>
      <w:r>
        <w:rPr>
          <w:rFonts w:hint="eastAsia" w:ascii="Times New Roman" w:hAnsi="Times New Roman" w:eastAsia="宋体" w:cs="Times New Roman"/>
          <w:kern w:val="2"/>
          <w:sz w:val="28"/>
          <w:szCs w:val="32"/>
          <w:highlight w:val="none"/>
          <w:lang w:val="en-US" w:eastAsia="zh-CN" w:bidi="ar-SA"/>
        </w:rPr>
        <w:t>顾强</w:t>
      </w:r>
    </w:p>
    <w:p>
      <w:pPr>
        <w:pageBreakBefore w:val="0"/>
        <w:widowControl w:val="0"/>
        <w:kinsoku/>
        <w:wordWrap/>
        <w:overflowPunct/>
        <w:topLinePunct w:val="0"/>
        <w:autoSpaceDE/>
        <w:autoSpaceDN/>
        <w:bidi w:val="0"/>
        <w:spacing w:line="500" w:lineRule="exact"/>
        <w:ind w:firstLine="560" w:firstLineChars="200"/>
        <w:jc w:val="both"/>
        <w:textAlignment w:val="auto"/>
        <w:rPr>
          <w:rFonts w:hint="default" w:ascii="Times New Roman" w:hAnsi="Times New Roman" w:eastAsia="宋体" w:cs="Times New Roman"/>
          <w:kern w:val="2"/>
          <w:sz w:val="28"/>
          <w:szCs w:val="32"/>
          <w:highlight w:val="none"/>
          <w:lang w:val="en-US" w:eastAsia="zh-CN" w:bidi="ar-SA"/>
        </w:rPr>
      </w:pPr>
      <w:r>
        <w:rPr>
          <w:rFonts w:hint="default" w:ascii="Times New Roman" w:hAnsi="Times New Roman" w:eastAsia="宋体" w:cs="Times New Roman"/>
          <w:kern w:val="2"/>
          <w:sz w:val="28"/>
          <w:szCs w:val="32"/>
          <w:highlight w:val="none"/>
          <w:lang w:val="en-US" w:eastAsia="zh-CN" w:bidi="ar-SA"/>
        </w:rPr>
        <w:t>副总指挥：</w:t>
      </w:r>
      <w:r>
        <w:rPr>
          <w:rFonts w:hint="eastAsia" w:ascii="Times New Roman" w:hAnsi="Times New Roman" w:eastAsia="宋体" w:cs="Times New Roman"/>
          <w:kern w:val="2"/>
          <w:sz w:val="28"/>
          <w:szCs w:val="32"/>
          <w:highlight w:val="none"/>
          <w:lang w:val="en-US" w:eastAsia="zh-CN" w:bidi="ar-SA"/>
        </w:rPr>
        <w:t>殷托</w:t>
      </w:r>
    </w:p>
    <w:p>
      <w:pPr>
        <w:pStyle w:val="23"/>
        <w:pageBreakBefore w:val="0"/>
        <w:widowControl w:val="0"/>
        <w:kinsoku/>
        <w:wordWrap/>
        <w:overflowPunct/>
        <w:topLinePunct w:val="0"/>
        <w:bidi w:val="0"/>
        <w:spacing w:line="500" w:lineRule="exact"/>
        <w:ind w:left="0" w:leftChars="0" w:firstLine="560" w:firstLineChars="200"/>
        <w:textAlignment w:val="auto"/>
        <w:rPr>
          <w:rFonts w:hint="default" w:ascii="Times New Roman" w:hAnsi="Times New Roman" w:eastAsia="宋体" w:cs="Times New Roman"/>
          <w:kern w:val="2"/>
          <w:sz w:val="28"/>
          <w:szCs w:val="32"/>
          <w:highlight w:val="none"/>
          <w:lang w:val="en-US" w:eastAsia="zh-CN" w:bidi="ar-SA"/>
        </w:rPr>
      </w:pPr>
      <w:r>
        <w:rPr>
          <w:rFonts w:hint="default" w:ascii="Times New Roman" w:hAnsi="Times New Roman" w:eastAsia="宋体" w:cs="Times New Roman"/>
          <w:kern w:val="2"/>
          <w:sz w:val="28"/>
          <w:szCs w:val="32"/>
          <w:highlight w:val="none"/>
          <w:lang w:val="en-US" w:eastAsia="zh-CN" w:bidi="ar-SA"/>
        </w:rPr>
        <w:t>成员：党政办、人武部、建设局、综合行政执法局、集成指挥中心、经济发展局、财政和资产管理局、社会治理和社会事业局、组织人事和社会保障局、行政审批局、国土分局、城厢供电所、派出所、广电网络、供销社及各行政村（社区）等部门和单位负责人</w:t>
      </w:r>
    </w:p>
    <w:p>
      <w:pPr>
        <w:pageBreakBefore w:val="0"/>
        <w:widowControl w:val="0"/>
        <w:kinsoku/>
        <w:wordWrap/>
        <w:overflowPunct/>
        <w:topLinePunct w:val="0"/>
        <w:autoSpaceDE/>
        <w:autoSpaceDN/>
        <w:bidi w:val="0"/>
        <w:spacing w:line="500" w:lineRule="exact"/>
        <w:ind w:firstLine="560" w:firstLineChars="200"/>
        <w:jc w:val="both"/>
        <w:textAlignment w:val="auto"/>
        <w:rPr>
          <w:rFonts w:hint="default" w:ascii="Times New Roman" w:hAnsi="Times New Roman" w:eastAsia="宋体" w:cs="Times New Roman"/>
          <w:kern w:val="2"/>
          <w:sz w:val="28"/>
          <w:szCs w:val="32"/>
          <w:highlight w:val="none"/>
          <w:lang w:val="en-US" w:bidi="ar-SA"/>
        </w:rPr>
      </w:pPr>
      <w:r>
        <w:rPr>
          <w:rFonts w:hint="default" w:ascii="Times New Roman" w:hAnsi="Times New Roman" w:eastAsia="宋体" w:cs="Times New Roman"/>
          <w:kern w:val="2"/>
          <w:sz w:val="28"/>
          <w:szCs w:val="32"/>
          <w:highlight w:val="none"/>
          <w:lang w:val="en-US" w:bidi="ar-SA"/>
        </w:rPr>
        <w:t>其主要职责:</w:t>
      </w:r>
    </w:p>
    <w:p>
      <w:pPr>
        <w:pageBreakBefore w:val="0"/>
        <w:widowControl w:val="0"/>
        <w:kinsoku/>
        <w:wordWrap/>
        <w:overflowPunct/>
        <w:topLinePunct w:val="0"/>
        <w:autoSpaceDE/>
        <w:autoSpaceDN/>
        <w:bidi w:val="0"/>
        <w:spacing w:line="500" w:lineRule="exact"/>
        <w:ind w:firstLine="560" w:firstLineChars="200"/>
        <w:jc w:val="both"/>
        <w:textAlignment w:val="auto"/>
        <w:rPr>
          <w:rFonts w:hint="default" w:ascii="Times New Roman" w:hAnsi="Times New Roman" w:eastAsia="宋体" w:cs="Times New Roman"/>
          <w:kern w:val="2"/>
          <w:sz w:val="28"/>
          <w:szCs w:val="32"/>
          <w:lang w:val="en-US" w:bidi="ar-SA"/>
        </w:rPr>
      </w:pPr>
      <w:r>
        <w:rPr>
          <w:rFonts w:hint="default" w:ascii="Times New Roman" w:hAnsi="Times New Roman" w:eastAsia="宋体" w:cs="Times New Roman"/>
          <w:kern w:val="2"/>
          <w:sz w:val="28"/>
          <w:szCs w:val="32"/>
          <w:lang w:val="en-US" w:bidi="ar-SA"/>
        </w:rPr>
        <w:t>（1）负责研究部署、指挥协调全镇突发环境事件应急管理和应急救援工作；</w:t>
      </w:r>
    </w:p>
    <w:p>
      <w:pPr>
        <w:pageBreakBefore w:val="0"/>
        <w:widowControl w:val="0"/>
        <w:kinsoku/>
        <w:wordWrap/>
        <w:overflowPunct/>
        <w:topLinePunct w:val="0"/>
        <w:autoSpaceDE/>
        <w:autoSpaceDN/>
        <w:bidi w:val="0"/>
        <w:spacing w:line="500" w:lineRule="exact"/>
        <w:ind w:firstLine="560" w:firstLineChars="200"/>
        <w:jc w:val="both"/>
        <w:textAlignment w:val="auto"/>
        <w:rPr>
          <w:rFonts w:hint="default" w:ascii="Times New Roman" w:hAnsi="Times New Roman" w:eastAsia="宋体" w:cs="Times New Roman"/>
          <w:kern w:val="2"/>
          <w:sz w:val="28"/>
          <w:szCs w:val="32"/>
          <w:lang w:val="en-US" w:bidi="ar-SA"/>
        </w:rPr>
      </w:pPr>
      <w:r>
        <w:rPr>
          <w:rFonts w:hint="default" w:ascii="Times New Roman" w:hAnsi="Times New Roman" w:eastAsia="宋体" w:cs="Times New Roman"/>
          <w:kern w:val="2"/>
          <w:sz w:val="28"/>
          <w:szCs w:val="32"/>
          <w:lang w:val="en-US" w:bidi="ar-SA"/>
        </w:rPr>
        <w:t>（2）研究制定全镇突发环境事件应急管理工作的重大政策措施；</w:t>
      </w:r>
    </w:p>
    <w:p>
      <w:pPr>
        <w:pageBreakBefore w:val="0"/>
        <w:widowControl w:val="0"/>
        <w:kinsoku/>
        <w:wordWrap/>
        <w:overflowPunct/>
        <w:topLinePunct w:val="0"/>
        <w:autoSpaceDE/>
        <w:autoSpaceDN/>
        <w:bidi w:val="0"/>
        <w:spacing w:line="500" w:lineRule="exact"/>
        <w:ind w:firstLine="560" w:firstLineChars="200"/>
        <w:jc w:val="both"/>
        <w:textAlignment w:val="auto"/>
        <w:rPr>
          <w:rFonts w:hint="default" w:ascii="Times New Roman" w:hAnsi="Times New Roman" w:eastAsia="宋体" w:cs="Times New Roman"/>
          <w:kern w:val="2"/>
          <w:sz w:val="28"/>
          <w:szCs w:val="32"/>
          <w:lang w:val="en-US" w:bidi="ar-SA"/>
        </w:rPr>
      </w:pPr>
      <w:r>
        <w:rPr>
          <w:rFonts w:hint="default" w:ascii="Times New Roman" w:hAnsi="Times New Roman" w:eastAsia="宋体" w:cs="Times New Roman"/>
          <w:kern w:val="2"/>
          <w:sz w:val="28"/>
          <w:szCs w:val="32"/>
          <w:lang w:val="en-US" w:bidi="ar-SA"/>
        </w:rPr>
        <w:t>（3）定期分析全镇突发环境事件应急管理工作形势，研究解决突发环境事件应急管理和应急救援工作的重大问题；</w:t>
      </w:r>
    </w:p>
    <w:p>
      <w:pPr>
        <w:pageBreakBefore w:val="0"/>
        <w:widowControl w:val="0"/>
        <w:kinsoku/>
        <w:wordWrap/>
        <w:overflowPunct/>
        <w:topLinePunct w:val="0"/>
        <w:autoSpaceDE/>
        <w:autoSpaceDN/>
        <w:bidi w:val="0"/>
        <w:spacing w:line="500" w:lineRule="exact"/>
        <w:ind w:firstLine="560" w:firstLineChars="200"/>
        <w:jc w:val="both"/>
        <w:textAlignment w:val="auto"/>
        <w:rPr>
          <w:rFonts w:hint="default" w:ascii="Times New Roman" w:hAnsi="Times New Roman" w:eastAsia="宋体" w:cs="Times New Roman"/>
          <w:kern w:val="2"/>
          <w:sz w:val="28"/>
          <w:szCs w:val="32"/>
          <w:lang w:val="en-US" w:bidi="ar-SA"/>
        </w:rPr>
      </w:pPr>
      <w:r>
        <w:rPr>
          <w:rFonts w:hint="default" w:ascii="Times New Roman" w:hAnsi="Times New Roman" w:eastAsia="宋体" w:cs="Times New Roman"/>
          <w:kern w:val="2"/>
          <w:sz w:val="28"/>
          <w:szCs w:val="32"/>
          <w:lang w:val="en-US" w:bidi="ar-SA"/>
        </w:rPr>
        <w:t>（4）指导村（社区）、有关部门、单位制定环境应急预案、环境应急演练、环境应急处置工作履职情况、环境应急物资储备及经费保障等情况进行监督检查；</w:t>
      </w:r>
    </w:p>
    <w:p>
      <w:pPr>
        <w:pageBreakBefore w:val="0"/>
        <w:widowControl w:val="0"/>
        <w:kinsoku/>
        <w:wordWrap/>
        <w:overflowPunct/>
        <w:topLinePunct w:val="0"/>
        <w:autoSpaceDE/>
        <w:autoSpaceDN/>
        <w:bidi w:val="0"/>
        <w:spacing w:line="500" w:lineRule="exact"/>
        <w:ind w:firstLine="560" w:firstLineChars="200"/>
        <w:jc w:val="both"/>
        <w:textAlignment w:val="auto"/>
        <w:rPr>
          <w:rFonts w:hint="default" w:ascii="Times New Roman" w:hAnsi="Times New Roman" w:eastAsia="宋体" w:cs="Times New Roman"/>
          <w:kern w:val="2"/>
          <w:sz w:val="28"/>
          <w:szCs w:val="32"/>
          <w:lang w:val="en-US" w:eastAsia="zh-CN" w:bidi="ar-SA"/>
        </w:rPr>
      </w:pPr>
      <w:r>
        <w:rPr>
          <w:rFonts w:hint="default" w:ascii="Times New Roman" w:hAnsi="Times New Roman" w:eastAsia="宋体" w:cs="Times New Roman"/>
          <w:kern w:val="2"/>
          <w:sz w:val="28"/>
          <w:szCs w:val="32"/>
          <w:lang w:val="en-US" w:bidi="ar-SA"/>
        </w:rPr>
        <w:t>（5）完成太仓市突发环境事件应急救援指挥部下达的专项工作。</w:t>
      </w:r>
    </w:p>
    <w:bookmarkEnd w:id="84"/>
    <w:bookmarkEnd w:id="85"/>
    <w:bookmarkEnd w:id="86"/>
    <w:bookmarkEnd w:id="87"/>
    <w:bookmarkEnd w:id="88"/>
    <w:bookmarkEnd w:id="89"/>
    <w:bookmarkEnd w:id="90"/>
    <w:bookmarkEnd w:id="91"/>
    <w:p>
      <w:pPr>
        <w:pageBreakBefore w:val="0"/>
        <w:widowControl w:val="0"/>
        <w:kinsoku/>
        <w:wordWrap/>
        <w:overflowPunct/>
        <w:topLinePunct w:val="0"/>
        <w:autoSpaceDE/>
        <w:autoSpaceDN/>
        <w:bidi w:val="0"/>
        <w:spacing w:line="500" w:lineRule="exact"/>
        <w:ind w:firstLine="560" w:firstLineChars="200"/>
        <w:jc w:val="both"/>
        <w:textAlignment w:val="auto"/>
        <w:rPr>
          <w:rFonts w:hint="default" w:ascii="Times New Roman" w:hAnsi="Times New Roman" w:eastAsia="宋体" w:cs="Times New Roman"/>
          <w:color w:val="auto"/>
          <w:kern w:val="2"/>
          <w:sz w:val="28"/>
          <w:szCs w:val="32"/>
          <w:highlight w:val="none"/>
          <w:lang w:val="en-US" w:bidi="ar-SA"/>
        </w:rPr>
      </w:pPr>
      <w:bookmarkStart w:id="92" w:name="_Toc19937"/>
      <w:bookmarkStart w:id="93" w:name="_Toc3375"/>
      <w:r>
        <w:rPr>
          <w:rFonts w:hint="default" w:ascii="Times New Roman" w:hAnsi="Times New Roman" w:eastAsia="宋体" w:cs="Times New Roman"/>
          <w:color w:val="auto"/>
          <w:kern w:val="2"/>
          <w:sz w:val="28"/>
          <w:szCs w:val="32"/>
          <w:highlight w:val="none"/>
          <w:lang w:val="en-US" w:bidi="ar-SA"/>
        </w:rPr>
        <w:t>突发环境事件应急指挥部办公室设在镇综合行政执法局（环保），办公室主任由分管</w:t>
      </w:r>
      <w:r>
        <w:rPr>
          <w:rFonts w:hint="eastAsia" w:ascii="Times New Roman" w:hAnsi="Times New Roman" w:eastAsia="宋体" w:cs="Times New Roman"/>
          <w:color w:val="auto"/>
          <w:kern w:val="2"/>
          <w:sz w:val="28"/>
          <w:szCs w:val="32"/>
          <w:highlight w:val="none"/>
          <w:lang w:val="en-US" w:eastAsia="zh-CN" w:bidi="ar-SA"/>
        </w:rPr>
        <w:t>生态环境工作的同志</w:t>
      </w:r>
      <w:r>
        <w:rPr>
          <w:rFonts w:hint="default" w:ascii="Times New Roman" w:hAnsi="Times New Roman" w:eastAsia="宋体" w:cs="Times New Roman"/>
          <w:color w:val="auto"/>
          <w:kern w:val="2"/>
          <w:sz w:val="28"/>
          <w:szCs w:val="32"/>
          <w:highlight w:val="none"/>
          <w:lang w:val="en-US" w:bidi="ar-SA"/>
        </w:rPr>
        <w:t>担任，办公室副主任由综合行政执法局（环保</w:t>
      </w:r>
      <w:r>
        <w:rPr>
          <w:rFonts w:hint="eastAsia" w:ascii="Times New Roman" w:hAnsi="Times New Roman" w:eastAsia="宋体" w:cs="Times New Roman"/>
          <w:color w:val="auto"/>
          <w:kern w:val="2"/>
          <w:sz w:val="28"/>
          <w:szCs w:val="32"/>
          <w:highlight w:val="none"/>
          <w:lang w:val="en-US" w:eastAsia="zh-CN" w:bidi="ar-SA"/>
        </w:rPr>
        <w:t>）</w:t>
      </w:r>
      <w:r>
        <w:rPr>
          <w:rFonts w:hint="default" w:ascii="Times New Roman" w:hAnsi="Times New Roman" w:eastAsia="宋体" w:cs="Times New Roman"/>
          <w:color w:val="auto"/>
          <w:kern w:val="2"/>
          <w:sz w:val="28"/>
          <w:szCs w:val="32"/>
          <w:highlight w:val="none"/>
          <w:lang w:val="en-US" w:bidi="ar-SA"/>
        </w:rPr>
        <w:t>负责人担任。其主要职责如下：</w:t>
      </w:r>
    </w:p>
    <w:p>
      <w:pPr>
        <w:pageBreakBefore w:val="0"/>
        <w:widowControl w:val="0"/>
        <w:kinsoku/>
        <w:wordWrap/>
        <w:overflowPunct/>
        <w:topLinePunct w:val="0"/>
        <w:autoSpaceDE/>
        <w:autoSpaceDN/>
        <w:bidi w:val="0"/>
        <w:spacing w:line="500" w:lineRule="exact"/>
        <w:ind w:firstLine="560" w:firstLineChars="200"/>
        <w:jc w:val="both"/>
        <w:textAlignment w:val="auto"/>
        <w:rPr>
          <w:rFonts w:hint="default" w:ascii="Times New Roman" w:hAnsi="Times New Roman" w:eastAsia="宋体" w:cs="Times New Roman"/>
          <w:kern w:val="2"/>
          <w:sz w:val="28"/>
          <w:szCs w:val="32"/>
          <w:lang w:val="en-US" w:bidi="ar-SA"/>
        </w:rPr>
      </w:pPr>
      <w:r>
        <w:rPr>
          <w:rFonts w:hint="default" w:ascii="Times New Roman" w:hAnsi="Times New Roman" w:eastAsia="宋体" w:cs="Times New Roman"/>
          <w:kern w:val="2"/>
          <w:sz w:val="28"/>
          <w:szCs w:val="32"/>
          <w:lang w:val="en-US" w:bidi="ar-SA"/>
        </w:rPr>
        <w:t>（1）负责全镇突发环境事件应急救援指挥体系建设，指导协调各村（社区）、工业集中区、生产经营单位及有关部门突发环境事件应急救援工作；</w:t>
      </w:r>
    </w:p>
    <w:p>
      <w:pPr>
        <w:pageBreakBefore w:val="0"/>
        <w:widowControl w:val="0"/>
        <w:kinsoku/>
        <w:wordWrap/>
        <w:overflowPunct/>
        <w:topLinePunct w:val="0"/>
        <w:autoSpaceDE/>
        <w:autoSpaceDN/>
        <w:bidi w:val="0"/>
        <w:spacing w:line="500" w:lineRule="exact"/>
        <w:ind w:firstLine="560" w:firstLineChars="200"/>
        <w:jc w:val="both"/>
        <w:textAlignment w:val="auto"/>
        <w:rPr>
          <w:rFonts w:hint="default" w:ascii="Times New Roman" w:hAnsi="Times New Roman" w:eastAsia="宋体" w:cs="Times New Roman"/>
          <w:kern w:val="2"/>
          <w:sz w:val="28"/>
          <w:szCs w:val="32"/>
          <w:lang w:val="en-US" w:bidi="ar-SA"/>
        </w:rPr>
      </w:pPr>
      <w:r>
        <w:rPr>
          <w:rFonts w:hint="default" w:ascii="Times New Roman" w:hAnsi="Times New Roman" w:eastAsia="宋体" w:cs="Times New Roman"/>
          <w:kern w:val="2"/>
          <w:sz w:val="28"/>
          <w:szCs w:val="32"/>
          <w:lang w:val="en-US" w:bidi="ar-SA"/>
        </w:rPr>
        <w:t>（2）组织编制和综合管理突发环境事件应急预案；</w:t>
      </w:r>
    </w:p>
    <w:p>
      <w:pPr>
        <w:pageBreakBefore w:val="0"/>
        <w:widowControl w:val="0"/>
        <w:kinsoku/>
        <w:wordWrap/>
        <w:overflowPunct/>
        <w:topLinePunct w:val="0"/>
        <w:autoSpaceDE/>
        <w:autoSpaceDN/>
        <w:bidi w:val="0"/>
        <w:spacing w:line="500" w:lineRule="exact"/>
        <w:ind w:firstLine="560" w:firstLineChars="200"/>
        <w:jc w:val="both"/>
        <w:textAlignment w:val="auto"/>
        <w:rPr>
          <w:rFonts w:hint="default" w:ascii="Times New Roman" w:hAnsi="Times New Roman" w:eastAsia="宋体" w:cs="Times New Roman"/>
          <w:kern w:val="2"/>
          <w:sz w:val="28"/>
          <w:szCs w:val="32"/>
          <w:lang w:val="en-US" w:bidi="ar-SA"/>
        </w:rPr>
      </w:pPr>
      <w:r>
        <w:rPr>
          <w:rFonts w:hint="default" w:ascii="Times New Roman" w:hAnsi="Times New Roman" w:eastAsia="宋体" w:cs="Times New Roman"/>
          <w:kern w:val="2"/>
          <w:sz w:val="28"/>
          <w:szCs w:val="32"/>
          <w:lang w:val="en-US" w:bidi="ar-SA"/>
        </w:rPr>
        <w:t>（3）负责全镇环境保护监督管理和信息管理工作；</w:t>
      </w:r>
    </w:p>
    <w:p>
      <w:pPr>
        <w:pageBreakBefore w:val="0"/>
        <w:widowControl w:val="0"/>
        <w:kinsoku/>
        <w:wordWrap/>
        <w:overflowPunct/>
        <w:topLinePunct w:val="0"/>
        <w:autoSpaceDE/>
        <w:autoSpaceDN/>
        <w:bidi w:val="0"/>
        <w:spacing w:line="500" w:lineRule="exact"/>
        <w:ind w:firstLine="560" w:firstLineChars="200"/>
        <w:jc w:val="both"/>
        <w:textAlignment w:val="auto"/>
        <w:rPr>
          <w:rFonts w:hint="default" w:ascii="Times New Roman" w:hAnsi="Times New Roman" w:eastAsia="宋体" w:cs="Times New Roman"/>
          <w:kern w:val="2"/>
          <w:sz w:val="28"/>
          <w:szCs w:val="32"/>
          <w:lang w:val="en-US" w:bidi="ar-SA"/>
        </w:rPr>
      </w:pPr>
      <w:r>
        <w:rPr>
          <w:rFonts w:hint="default" w:ascii="Times New Roman" w:hAnsi="Times New Roman" w:eastAsia="宋体" w:cs="Times New Roman"/>
          <w:kern w:val="2"/>
          <w:sz w:val="28"/>
          <w:szCs w:val="32"/>
          <w:lang w:val="en-US" w:bidi="ar-SA"/>
        </w:rPr>
        <w:t>（4）按照本预案的规定，组织、指导、协调突发环境事件的应急救援工作；</w:t>
      </w:r>
    </w:p>
    <w:p>
      <w:pPr>
        <w:pageBreakBefore w:val="0"/>
        <w:widowControl w:val="0"/>
        <w:kinsoku/>
        <w:wordWrap/>
        <w:overflowPunct/>
        <w:topLinePunct w:val="0"/>
        <w:autoSpaceDE/>
        <w:autoSpaceDN/>
        <w:bidi w:val="0"/>
        <w:spacing w:line="500" w:lineRule="exact"/>
        <w:ind w:firstLine="560" w:firstLineChars="200"/>
        <w:jc w:val="both"/>
        <w:textAlignment w:val="auto"/>
        <w:rPr>
          <w:rFonts w:hint="default" w:ascii="Times New Roman" w:hAnsi="Times New Roman" w:eastAsia="宋体" w:cs="Times New Roman"/>
          <w:kern w:val="2"/>
          <w:sz w:val="28"/>
          <w:szCs w:val="32"/>
          <w:lang w:val="en-US" w:bidi="ar-SA"/>
        </w:rPr>
      </w:pPr>
      <w:r>
        <w:rPr>
          <w:rFonts w:hint="default" w:ascii="Times New Roman" w:hAnsi="Times New Roman" w:eastAsia="宋体" w:cs="Times New Roman"/>
          <w:kern w:val="2"/>
          <w:sz w:val="28"/>
          <w:szCs w:val="32"/>
          <w:lang w:val="en-US" w:bidi="ar-SA"/>
        </w:rPr>
        <w:t>（5）督促检查、指导、协调镇应急指挥部决定事项的贯彻落实，负责应急指挥部各组成单位的日常工作联系。</w:t>
      </w:r>
    </w:p>
    <w:p>
      <w:pPr>
        <w:pStyle w:val="4"/>
        <w:keepNext/>
        <w:keepLines/>
        <w:pageBreakBefore w:val="0"/>
        <w:widowControl w:val="0"/>
        <w:kinsoku/>
        <w:wordWrap/>
        <w:overflowPunct/>
        <w:topLinePunct w:val="0"/>
        <w:autoSpaceDE/>
        <w:autoSpaceDN/>
        <w:bidi w:val="0"/>
        <w:spacing w:line="500" w:lineRule="exact"/>
        <w:ind w:firstLine="560" w:firstLineChars="200"/>
        <w:textAlignment w:val="auto"/>
        <w:rPr>
          <w:rFonts w:hint="default" w:ascii="Times New Roman" w:hAnsi="Times New Roman" w:eastAsia="宋体" w:cs="Times New Roman"/>
          <w:kern w:val="2"/>
          <w:sz w:val="28"/>
          <w:lang w:val="en-US" w:bidi="ar-SA"/>
        </w:rPr>
      </w:pPr>
      <w:bookmarkStart w:id="94" w:name="_Toc28745"/>
      <w:bookmarkStart w:id="95" w:name="_Toc80549845"/>
      <w:bookmarkStart w:id="96" w:name="_Toc1863"/>
      <w:bookmarkStart w:id="97" w:name="_Toc80549746"/>
      <w:r>
        <w:rPr>
          <w:rFonts w:hint="default" w:ascii="Times New Roman" w:hAnsi="Times New Roman" w:eastAsia="宋体" w:cs="Times New Roman"/>
          <w:kern w:val="2"/>
          <w:sz w:val="28"/>
          <w:lang w:val="en-US" w:bidi="ar-SA"/>
        </w:rPr>
        <w:t>2.</w:t>
      </w:r>
      <w:r>
        <w:rPr>
          <w:rFonts w:hint="default" w:ascii="Times New Roman" w:hAnsi="Times New Roman" w:eastAsia="宋体" w:cs="Times New Roman"/>
          <w:kern w:val="2"/>
          <w:sz w:val="28"/>
          <w:lang w:val="en-US" w:eastAsia="zh-CN" w:bidi="ar-SA"/>
        </w:rPr>
        <w:t>2</w:t>
      </w:r>
      <w:r>
        <w:rPr>
          <w:rFonts w:hint="default" w:ascii="Times New Roman" w:hAnsi="Times New Roman" w:eastAsia="宋体" w:cs="Times New Roman"/>
          <w:kern w:val="2"/>
          <w:sz w:val="28"/>
          <w:lang w:val="en-US" w:bidi="ar-SA"/>
        </w:rPr>
        <w:t>现场指挥部</w:t>
      </w:r>
      <w:bookmarkEnd w:id="94"/>
      <w:bookmarkEnd w:id="95"/>
      <w:bookmarkEnd w:id="96"/>
      <w:bookmarkEnd w:id="97"/>
    </w:p>
    <w:p>
      <w:pPr>
        <w:pageBreakBefore w:val="0"/>
        <w:widowControl w:val="0"/>
        <w:kinsoku/>
        <w:wordWrap/>
        <w:overflowPunct/>
        <w:topLinePunct w:val="0"/>
        <w:autoSpaceDE/>
        <w:autoSpaceDN/>
        <w:bidi w:val="0"/>
        <w:spacing w:line="500" w:lineRule="exact"/>
        <w:ind w:firstLine="560" w:firstLineChars="200"/>
        <w:jc w:val="both"/>
        <w:textAlignment w:val="auto"/>
        <w:rPr>
          <w:rFonts w:hint="default" w:ascii="Times New Roman" w:hAnsi="Times New Roman" w:eastAsia="宋体" w:cs="Times New Roman"/>
          <w:kern w:val="2"/>
          <w:sz w:val="28"/>
          <w:szCs w:val="32"/>
          <w:lang w:val="en-US" w:bidi="ar-SA"/>
        </w:rPr>
      </w:pPr>
      <w:r>
        <w:rPr>
          <w:rFonts w:hint="default" w:ascii="Times New Roman" w:hAnsi="Times New Roman" w:eastAsia="宋体" w:cs="Times New Roman"/>
          <w:kern w:val="2"/>
          <w:sz w:val="28"/>
          <w:szCs w:val="32"/>
          <w:lang w:val="en-US" w:bidi="ar-SA"/>
        </w:rPr>
        <w:t>根据突发环境事件的影响范围、发展态势和应急处置需要，镇人民政府负责成立现场指挥部，必要时，也可由镇应急指挥部办公室或有关主管部门组织相关专业机构开设。现场指挥部在镇应急指挥部的统一指挥下，具体负责现场应急处置。</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（1）综合协调组</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牵头单位：应急指挥部</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lang w:val="en-US"/>
        </w:rPr>
      </w:pPr>
      <w:r>
        <w:rPr>
          <w:rFonts w:hint="default" w:ascii="Times New Roman" w:hAnsi="Times New Roman" w:eastAsia="宋体" w:cs="Times New Roman"/>
          <w:sz w:val="28"/>
          <w:lang w:val="en-US"/>
        </w:rPr>
        <w:t>主要职责：立即</w:t>
      </w:r>
      <w:r>
        <w:rPr>
          <w:rFonts w:hint="default" w:ascii="Times New Roman" w:hAnsi="Times New Roman" w:eastAsia="宋体" w:cs="Times New Roman"/>
          <w:sz w:val="28"/>
          <w:lang w:val="en-US" w:eastAsia="zh-CN"/>
        </w:rPr>
        <w:t>上报</w:t>
      </w:r>
      <w:r>
        <w:rPr>
          <w:rFonts w:hint="default" w:ascii="Times New Roman" w:hAnsi="Times New Roman" w:eastAsia="宋体" w:cs="Times New Roman"/>
          <w:sz w:val="28"/>
          <w:lang w:val="en-US"/>
        </w:rPr>
        <w:t>环境污染事件情况；组织协调实施上级部门救援方案、工作指示和批示；传达总指挥部命令，接收各组反馈情况，沟通各组之间联系；负责应急救援工作情况与突发环境污染事件信息的搜集；掌握现场抢险救援进度，及时预测事故发展变化趋势；处置信息调度、汇总、上报，与</w:t>
      </w:r>
      <w:r>
        <w:rPr>
          <w:rFonts w:hint="default" w:ascii="Times New Roman" w:hAnsi="Times New Roman" w:eastAsia="宋体" w:cs="Times New Roman"/>
          <w:sz w:val="28"/>
          <w:lang w:val="en-US" w:eastAsia="zh-CN"/>
        </w:rPr>
        <w:t>上级</w:t>
      </w:r>
      <w:r>
        <w:rPr>
          <w:rFonts w:hint="default" w:ascii="Times New Roman" w:hAnsi="Times New Roman" w:eastAsia="宋体" w:cs="Times New Roman"/>
          <w:sz w:val="28"/>
          <w:lang w:val="en-US"/>
        </w:rPr>
        <w:t>指挥部的协调联络等工作。负责抢险救援证件发放；承担领导交办的其他工作。</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（2）治安警戒组</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牵头单位：派出所、交警中队</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负责治安管理和安全保卫工作，严密防范、严厉打击趁机进行盗窃、抢劫、哄抢应急物资、传播各种谣言、制造社会恐慌等违法犯罪活动，维护社会治安和道路交通秩序；对通往环境污染事件区的道路实行交通管制，保障救援队伍、物资运输等出入道路畅通。做好环境污染事件矛盾纠纷化解和法律服务工作，切实维护社会稳定。负责安置场所的保护、警戒、治安和秩序维护。</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（3）新闻宣传组</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牵头单位：党政办</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主要职责：组织协调新闻媒体及时报道应急处置工作开展情况；积极正确引导舆论，及时澄清事实，处置不实言论；及时收集、整理和报送舆情监测等相关信息；承担领导交办的其他工作。</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（4）物资保障组</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牵头单位：社会治理和社会事业局、建设局</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lang w:val="en-US"/>
        </w:rPr>
      </w:pPr>
      <w:r>
        <w:rPr>
          <w:rFonts w:hint="default" w:ascii="Times New Roman" w:hAnsi="Times New Roman" w:eastAsia="宋体" w:cs="Times New Roman"/>
          <w:sz w:val="28"/>
          <w:lang w:val="en-US"/>
        </w:rPr>
        <w:t>主要职责：负责相关工作经费保障，监督相关经费使用；负责各类应急物资储备工作，指导</w:t>
      </w:r>
      <w:r>
        <w:rPr>
          <w:rFonts w:hint="eastAsia" w:ascii="Times New Roman" w:hAnsi="Times New Roman" w:eastAsia="宋体" w:cs="Times New Roman"/>
          <w:sz w:val="28"/>
          <w:lang w:val="en-US" w:eastAsia="zh-CN"/>
        </w:rPr>
        <w:t>村（社区）</w:t>
      </w:r>
      <w:r>
        <w:rPr>
          <w:rFonts w:hint="default" w:ascii="Times New Roman" w:hAnsi="Times New Roman" w:eastAsia="宋体" w:cs="Times New Roman"/>
          <w:sz w:val="28"/>
          <w:lang w:val="en-US"/>
        </w:rPr>
        <w:t>做好相关应急物资保障。负责抢险物资、装备的供应和生活后勤保障工作，做好突发环境污染事件影响范围内人员的衣食住行安排。保障环境污染事件安置场所必要的食品、水、电、卫生和通讯等。</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（5）抢险救灾组</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牵头单位：城西消防救援站、派出所、交警中队、城厢供电所、综合行政执法局等</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主要职责：负责受污染威胁区域人员疏散转移，情况危急时，依法强制组织避灾疏散。负责制定实施抢险救援力量配置方案，调配救援队伍和装备，搜救被困群众和受伤人员，妥善安置环境污染区的群众。负责组织救援人员、物资运输及接收工作；负责清理污染现场。根据应急工作需要，按程序提请、衔接上级相关部门参与应急救援抢险救灾工作。</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（6）医疗卫生组</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牵头单位：社会治理和社会事业局、城厢镇社区卫生服务中心</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主要职责：组织实施上级部门医疗救治方案，提供医疗设施、药品和救治装备；开展紧急医疗救护和现场卫生处置。负责对接定点医院、疾控中心医疗救治及转诊工作。对污染区水源进行监测消毒，加强食品和饮用水卫生监督；做好重大传染病和突发公共卫生事件预防控制工作。</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（7）善后处理组</w:t>
      </w:r>
    </w:p>
    <w:p>
      <w:pPr>
        <w:pStyle w:val="23"/>
        <w:pageBreakBefore w:val="0"/>
        <w:widowControl w:val="0"/>
        <w:kinsoku/>
        <w:wordWrap/>
        <w:overflowPunct/>
        <w:topLinePunct w:val="0"/>
        <w:bidi w:val="0"/>
        <w:spacing w:line="500" w:lineRule="exact"/>
        <w:ind w:firstLine="560" w:firstLineChars="200"/>
        <w:textAlignment w:val="auto"/>
        <w:rPr>
          <w:rFonts w:hint="eastAsia" w:ascii="Times New Roman" w:hAnsi="Times New Roman" w:eastAsia="宋体" w:cs="Times New Roman"/>
          <w:sz w:val="28"/>
          <w:highlight w:val="none"/>
          <w:lang w:val="en-US" w:eastAsia="zh-CN"/>
        </w:rPr>
      </w:pPr>
      <w:r>
        <w:rPr>
          <w:rFonts w:hint="eastAsia" w:ascii="Times New Roman" w:hAnsi="Times New Roman" w:eastAsia="宋体" w:cs="Times New Roman"/>
          <w:sz w:val="28"/>
          <w:highlight w:val="none"/>
          <w:lang w:val="en-US" w:eastAsia="zh-CN"/>
        </w:rPr>
        <w:t>牵头单位</w:t>
      </w:r>
      <w:r>
        <w:rPr>
          <w:rFonts w:hint="eastAsia" w:ascii="Times New Roman" w:hAnsi="Times New Roman" w:eastAsia="宋体" w:cs="Times New Roman"/>
          <w:sz w:val="28"/>
          <w:highlight w:val="none"/>
          <w:lang w:val="en-US"/>
        </w:rPr>
        <w:t>：</w:t>
      </w:r>
      <w:r>
        <w:rPr>
          <w:rFonts w:hint="eastAsia" w:ascii="Times New Roman" w:hAnsi="Times New Roman" w:eastAsia="宋体" w:cs="Times New Roman"/>
          <w:sz w:val="28"/>
          <w:highlight w:val="none"/>
          <w:lang w:val="en-US" w:eastAsia="zh-CN"/>
        </w:rPr>
        <w:t>社会治理和社会事业局</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主要职责：负责做好对伤亡人员的身份确认和处置；负责落实用于接待伤亡人员家属的车辆和住宿；负责研究制订伤亡人员的补偿测算等善后处理方案，做好相应的安抚和政策解释工作，并及时向指挥部报告善后处理动态。</w:t>
      </w:r>
    </w:p>
    <w:p>
      <w:pPr>
        <w:pStyle w:val="23"/>
        <w:pageBreakBefore w:val="0"/>
        <w:widowControl w:val="0"/>
        <w:numPr>
          <w:ilvl w:val="0"/>
          <w:numId w:val="1"/>
        </w:numPr>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rPr>
      </w:pPr>
      <w:r>
        <w:rPr>
          <w:rFonts w:hint="default" w:ascii="Times New Roman" w:hAnsi="Times New Roman" w:eastAsia="宋体" w:cs="Times New Roman"/>
          <w:sz w:val="28"/>
          <w:highlight w:val="none"/>
          <w:lang w:val="en-US"/>
        </w:rPr>
        <w:t>环境监测组</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eastAsia="zh-CN"/>
        </w:rPr>
      </w:pPr>
      <w:r>
        <w:rPr>
          <w:rFonts w:hint="eastAsia" w:ascii="Times New Roman" w:hAnsi="Times New Roman" w:eastAsia="宋体" w:cs="Times New Roman"/>
          <w:sz w:val="28"/>
          <w:highlight w:val="none"/>
          <w:lang w:val="en-US" w:eastAsia="zh-CN"/>
        </w:rPr>
        <w:t>牵头单位：综合行政执法局、建设局</w:t>
      </w:r>
    </w:p>
    <w:p>
      <w:pPr>
        <w:pStyle w:val="23"/>
        <w:pageBreakBefore w:val="0"/>
        <w:widowControl w:val="0"/>
        <w:kinsoku/>
        <w:wordWrap/>
        <w:overflowPunct/>
        <w:topLinePunct w:val="0"/>
        <w:bidi w:val="0"/>
        <w:spacing w:line="500" w:lineRule="exact"/>
        <w:ind w:firstLine="560" w:firstLineChars="200"/>
        <w:textAlignment w:val="auto"/>
        <w:rPr>
          <w:rFonts w:hint="default" w:ascii="Times New Roman" w:hAnsi="Times New Roman" w:eastAsia="宋体" w:cs="Times New Roman"/>
          <w:sz w:val="28"/>
          <w:highlight w:val="none"/>
          <w:lang w:val="en-US" w:eastAsia="zh-CN"/>
        </w:rPr>
      </w:pPr>
      <w:r>
        <w:rPr>
          <w:rFonts w:hint="default" w:ascii="Times New Roman" w:hAnsi="Times New Roman" w:eastAsia="宋体" w:cs="Times New Roman"/>
          <w:sz w:val="28"/>
          <w:highlight w:val="none"/>
          <w:lang w:val="en-US" w:eastAsia="zh-CN"/>
        </w:rPr>
        <w:t>主要职责：负责排查水利工程险患；承担污染威胁区相关水情和汛情的监测和通报; 依托上级气象部门监测预报灾区气象条件和天气趋势，为环境污染事件的应急监测和预警预报提供所需的气象资料。</w:t>
      </w:r>
    </w:p>
    <w:bookmarkEnd w:id="92"/>
    <w:bookmarkEnd w:id="93"/>
    <w:p>
      <w:pPr>
        <w:pStyle w:val="4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98" w:name="_Toc1000"/>
      <w:bookmarkStart w:id="99" w:name="_Toc23390"/>
      <w:bookmarkStart w:id="100" w:name="_Toc3709"/>
      <w:bookmarkStart w:id="101" w:name="_Toc80549847"/>
      <w:bookmarkStart w:id="102" w:name="_Toc15030"/>
      <w:bookmarkStart w:id="103" w:name="_Toc31489"/>
      <w:bookmarkStart w:id="104" w:name="_Toc80549748"/>
      <w:r>
        <w:rPr>
          <w:rFonts w:hint="default" w:ascii="黑体" w:hAnsi="黑体" w:eastAsia="黑体" w:cs="黑体"/>
          <w:sz w:val="32"/>
          <w:szCs w:val="32"/>
          <w:lang w:val="en-US" w:bidi="ar-SA"/>
        </w:rPr>
        <w:t xml:space="preserve">3  </w:t>
      </w:r>
      <w:bookmarkEnd w:id="98"/>
      <w:bookmarkEnd w:id="99"/>
      <w:r>
        <w:rPr>
          <w:rFonts w:hint="default" w:ascii="黑体" w:hAnsi="黑体" w:eastAsia="黑体" w:cs="黑体"/>
          <w:sz w:val="32"/>
          <w:szCs w:val="32"/>
          <w:lang w:val="en-US" w:bidi="ar-SA"/>
        </w:rPr>
        <w:t>监测预警</w:t>
      </w:r>
      <w:bookmarkEnd w:id="100"/>
      <w:bookmarkEnd w:id="101"/>
      <w:bookmarkEnd w:id="102"/>
      <w:bookmarkEnd w:id="103"/>
      <w:bookmarkEnd w:id="104"/>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105" w:name="5.1_环境风险源监控及预防"/>
      <w:bookmarkEnd w:id="105"/>
      <w:bookmarkStart w:id="106" w:name="_bookmark18"/>
      <w:bookmarkEnd w:id="106"/>
      <w:bookmarkStart w:id="107" w:name="_Toc991"/>
      <w:bookmarkStart w:id="108" w:name="_Toc80549749"/>
      <w:bookmarkStart w:id="109" w:name="_Toc80549848"/>
      <w:bookmarkStart w:id="110" w:name="_Toc7520"/>
      <w:bookmarkStart w:id="111" w:name="_Toc28917"/>
      <w:bookmarkStart w:id="112" w:name="_Toc44925688"/>
      <w:bookmarkStart w:id="113" w:name="_Toc16501"/>
      <w:bookmarkStart w:id="114" w:name="_Toc31212"/>
      <w:bookmarkStart w:id="115" w:name="_Toc28494"/>
      <w:bookmarkStart w:id="116" w:name="_Toc4338"/>
      <w:bookmarkStart w:id="117" w:name="_Toc11953"/>
      <w:r>
        <w:rPr>
          <w:rFonts w:hint="default" w:ascii="楷体" w:hAnsi="楷体" w:eastAsia="楷体" w:cs="楷体"/>
          <w:sz w:val="28"/>
          <w:szCs w:val="28"/>
          <w:lang w:val="en-US" w:bidi="ar-SA"/>
        </w:rPr>
        <w:t>3.1 监测与风险分析</w:t>
      </w:r>
      <w:bookmarkEnd w:id="107"/>
      <w:bookmarkEnd w:id="108"/>
      <w:bookmarkEnd w:id="109"/>
      <w:bookmarkEnd w:id="110"/>
      <w:bookmarkEnd w:id="111"/>
      <w:bookmarkEnd w:id="112"/>
      <w:bookmarkEnd w:id="113"/>
      <w:bookmarkEnd w:id="114"/>
      <w:bookmarkEnd w:id="11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1）建立本镇突发环境事件监测体系，要加强监督管理，各村（社区）、工业集中区、生产经营单位，要按照早发现、早处置、早报告的原则，充分利用现有监测手段，对可能导致突发环境事件的风险信息加强收集、分析和研判。</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2）镇突发环境事件应急指挥部办公室要与村（社区）及有关部门建立有效的信息沟通渠道，把握事件发展规律，加强日常预测性研判，有效掌握工作主动权。分析阶段性社会舆情动向，全面掌握群众的愿望呼声、关注热点、议论焦点。强化对突发事件、重大活动以及敏感领域、重点人员的管控，随时掌握动向，有针对性地作出预判预警。对可能引发突发环境事件的险情信息，要及时上报。</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3）企业事业单位和其他生产经营者应当落实环境安全主体责任，定期排查环境安全隐患，开展环境风险评估，健全风险防控措施。可能发生突发环境事件时，要立即报告镇综合行政执法局（环保办）等有关主管部门。</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118" w:name="_Toc27761"/>
      <w:bookmarkStart w:id="119" w:name="_Toc30378"/>
      <w:bookmarkStart w:id="120" w:name="_Toc26942"/>
      <w:bookmarkStart w:id="121" w:name="_Toc15101"/>
      <w:bookmarkStart w:id="122" w:name="_Toc80549750"/>
      <w:bookmarkStart w:id="123" w:name="_Toc44925689"/>
      <w:bookmarkStart w:id="124" w:name="_Toc21059"/>
      <w:bookmarkStart w:id="125" w:name="_Toc13092"/>
      <w:bookmarkStart w:id="126" w:name="_Toc22042"/>
      <w:bookmarkStart w:id="127" w:name="_Toc19605"/>
      <w:bookmarkStart w:id="128" w:name="_Toc1699"/>
      <w:bookmarkStart w:id="129" w:name="_Toc12344"/>
      <w:bookmarkStart w:id="130" w:name="_Toc3691"/>
      <w:bookmarkStart w:id="131" w:name="_Toc80549849"/>
      <w:r>
        <w:rPr>
          <w:rFonts w:hint="default" w:ascii="楷体" w:hAnsi="楷体" w:eastAsia="楷体" w:cs="楷体"/>
          <w:sz w:val="28"/>
          <w:szCs w:val="28"/>
          <w:lang w:val="en-US" w:bidi="ar-SA"/>
        </w:rPr>
        <w:t>3.2 预警</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43"/>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2"/>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3.2.1预警分级</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对可以预警的突发环境事件，本镇按照事件发生可能性大小、紧急程度和可能造成的危害程度，将预警分为Ⅰ级（特别严重）、Ⅱ级（严重）、Ⅲ级（较重）和Ⅳ级（一般），分别用红色、橙色、黄色、蓝色标示，Ⅰ级为最高级别。</w:t>
      </w:r>
    </w:p>
    <w:p>
      <w:pPr>
        <w:pStyle w:val="43"/>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2"/>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3.2.2预警信息发布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镇突发环境事件应急指挥部办公室负责预警信息发布工作。信息的发布、调整和解除，可通过广播、电视、报刊、通信、信息网络、警报器、宣传车等方式进行；对老、弱、病、残、孕等弱势群体以及学校等特殊场所，应采用有效的公告方式。</w:t>
      </w:r>
    </w:p>
    <w:p>
      <w:pPr>
        <w:pStyle w:val="43"/>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2"/>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3.2.3预警措施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镇有关突发环境事件应急机构接到可能引发突然环境事件预警信息后，及时收集、报告有关信息，组织有关部门和机构及专家，随时对突发环境事件信息进行分析评估，预测突发环境事件发生可能性的大小、影响范围和强度以及可能发生的突发环境事件级别。及时研究确定应对方案，并通知有关部门和单位实施相应的预警行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进入预警期后，镇突发环境事件应急指挥部及其他突发环境事件应急机构可采取以下预防性措施，并及时向镇应急委报告相关情况。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迅速采取有效处置措施，控制事件苗头。在涉险区域设置注意事项提示或事件危害警告标志，利用各种渠道增加宣传频次，及时告知公众避险和减轻危害的常识、需采取的必要健康防护措施。转移、撤离或者疏散可能受到危害影响的人员，并进行妥善安置。针对突发环境事件可能造成的危害，应及时封闭、隔离或者限制使用有关场所，中止可能导致危害扩大的行为和活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责令应急救援队伍、负有特定职责的人员进入待命状态，动员后备人员做好参加应急救援和处置工作准备。调集环境应急处置所需物资、装备设备，做好环境应急保障。</w:t>
      </w:r>
    </w:p>
    <w:p>
      <w:pPr>
        <w:pStyle w:val="43"/>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2"/>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3.2.4预警变更和解除</w:t>
      </w:r>
    </w:p>
    <w:bookmarkEnd w:id="116"/>
    <w:bookmarkEnd w:id="117"/>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bookmarkStart w:id="132" w:name="6_信息报告与通报"/>
      <w:bookmarkEnd w:id="132"/>
      <w:bookmarkStart w:id="133" w:name="_bookmark22"/>
      <w:bookmarkEnd w:id="133"/>
      <w:r>
        <w:rPr>
          <w:rFonts w:hint="default" w:ascii="Times New Roman" w:hAnsi="Times New Roman" w:eastAsia="宋体" w:cs="Times New Roman"/>
          <w:bCs/>
          <w:kern w:val="2"/>
          <w:sz w:val="28"/>
          <w:szCs w:val="32"/>
          <w:lang w:val="en-US" w:bidi="ar-SA"/>
        </w:rPr>
        <w:t>应急指挥部应当根据事态的发展情况和采取措施的效果适时调整预警级别并重新发布。有事实证明不可能发生环境污染事件或者危险已经解除的，应急指挥部应当立即宣布解除预警，终止预警期，并解除相关措施。</w:t>
      </w:r>
      <w:bookmarkStart w:id="134" w:name="_Toc7145"/>
      <w:bookmarkStart w:id="135" w:name="_Toc9159"/>
      <w:bookmarkStart w:id="136" w:name="_Toc80549850"/>
      <w:bookmarkStart w:id="137" w:name="_Toc80549751"/>
      <w:bookmarkStart w:id="138" w:name="_Toc1203"/>
      <w:bookmarkStart w:id="139" w:name="_Toc6290"/>
    </w:p>
    <w:p>
      <w:pPr>
        <w:pStyle w:val="4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140" w:name="_Toc6249"/>
      <w:r>
        <w:rPr>
          <w:rFonts w:hint="default" w:ascii="黑体" w:hAnsi="黑体" w:eastAsia="黑体" w:cs="黑体"/>
          <w:sz w:val="32"/>
          <w:szCs w:val="32"/>
          <w:lang w:val="en-US" w:bidi="ar-SA"/>
        </w:rPr>
        <w:t>4  信息报告与通报</w:t>
      </w:r>
      <w:bookmarkEnd w:id="134"/>
      <w:bookmarkEnd w:id="135"/>
      <w:bookmarkEnd w:id="136"/>
      <w:bookmarkEnd w:id="137"/>
      <w:bookmarkEnd w:id="138"/>
      <w:bookmarkEnd w:id="139"/>
      <w:bookmarkEnd w:id="140"/>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141" w:name="_bookmark23"/>
      <w:bookmarkEnd w:id="141"/>
      <w:bookmarkStart w:id="142" w:name="6.1事故报告基本要求与内容"/>
      <w:bookmarkEnd w:id="142"/>
      <w:bookmarkStart w:id="143" w:name="_Toc80549851"/>
      <w:bookmarkStart w:id="144" w:name="_Toc14435"/>
      <w:bookmarkStart w:id="145" w:name="_Toc25913"/>
      <w:bookmarkStart w:id="146" w:name="_Toc1274"/>
      <w:bookmarkStart w:id="147" w:name="_Toc814"/>
      <w:bookmarkStart w:id="148" w:name="_Toc28560"/>
      <w:bookmarkStart w:id="149" w:name="_Toc32342"/>
      <w:bookmarkStart w:id="150" w:name="_Toc44925691"/>
      <w:bookmarkStart w:id="151" w:name="_Toc32370"/>
      <w:bookmarkStart w:id="152" w:name="_Toc80549752"/>
      <w:bookmarkStart w:id="153" w:name="_Toc19060"/>
      <w:r>
        <w:rPr>
          <w:rFonts w:hint="default" w:ascii="楷体" w:hAnsi="楷体" w:eastAsia="楷体" w:cs="楷体"/>
          <w:sz w:val="28"/>
          <w:szCs w:val="28"/>
          <w:lang w:val="en-US" w:bidi="ar-SA"/>
        </w:rPr>
        <w:t>4.1 信息报告和通报要求</w:t>
      </w:r>
      <w:bookmarkEnd w:id="143"/>
      <w:bookmarkEnd w:id="144"/>
      <w:bookmarkEnd w:id="145"/>
      <w:bookmarkEnd w:id="146"/>
      <w:bookmarkEnd w:id="147"/>
      <w:bookmarkEnd w:id="148"/>
      <w:bookmarkEnd w:id="149"/>
      <w:bookmarkEnd w:id="150"/>
      <w:bookmarkEnd w:id="151"/>
      <w:bookmarkEnd w:id="152"/>
      <w:bookmarkEnd w:id="153"/>
    </w:p>
    <w:p>
      <w:pPr>
        <w:widowControl/>
        <w:autoSpaceDE/>
        <w:autoSpaceDN/>
        <w:spacing w:line="580" w:lineRule="exact"/>
        <w:ind w:firstLine="562" w:firstLineChars="200"/>
        <w:jc w:val="both"/>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4.1.1突发环境事件发生后</w:t>
      </w:r>
    </w:p>
    <w:p>
      <w:pPr>
        <w:widowControl/>
        <w:autoSpaceDE/>
        <w:autoSpaceDN/>
        <w:spacing w:line="580" w:lineRule="exact"/>
        <w:ind w:firstLine="560" w:firstLineChars="200"/>
        <w:jc w:val="both"/>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应当立即向镇突发环境事件应急指挥部办公室进行快报，在不能形成书面报告的紧急情况下，可以在安全事故发生后立即以电话形式报告，并在30分钟内报送书面报告。因特殊情况或专业难点不能在事发后45分钟内报告的，应当及时书面报告情况。不得迟报、漏报、谎报或瞒报。</w:t>
      </w:r>
    </w:p>
    <w:p>
      <w:pPr>
        <w:widowControl/>
        <w:autoSpaceDE/>
        <w:autoSpaceDN/>
        <w:spacing w:line="580" w:lineRule="exact"/>
        <w:ind w:firstLine="562" w:firstLineChars="200"/>
        <w:jc w:val="both"/>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4.1.2接到突发环境事件报告后</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镇党政办负责上报至太仓市</w:t>
      </w:r>
      <w:bookmarkStart w:id="154" w:name="_Hlk80249096"/>
      <w:r>
        <w:rPr>
          <w:rFonts w:hint="default" w:ascii="Times New Roman" w:hAnsi="Times New Roman" w:eastAsia="宋体" w:cs="Times New Roman"/>
          <w:bCs/>
          <w:kern w:val="2"/>
          <w:sz w:val="28"/>
          <w:szCs w:val="32"/>
          <w:lang w:val="en-US" w:bidi="ar-SA"/>
        </w:rPr>
        <w:t>人民政府，同时报告</w:t>
      </w:r>
      <w:bookmarkEnd w:id="154"/>
      <w:r>
        <w:rPr>
          <w:rFonts w:hint="default" w:ascii="Times New Roman" w:hAnsi="Times New Roman" w:eastAsia="宋体" w:cs="Times New Roman"/>
          <w:bCs/>
          <w:kern w:val="2"/>
          <w:sz w:val="28"/>
          <w:szCs w:val="32"/>
          <w:lang w:val="en-US" w:bidi="ar-SA"/>
        </w:rPr>
        <w:t>市应急管理局。并通知公安、消防、安监办、经济发展局、建设局、社会治理和社会事业局等相关部门。</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155" w:name="_Toc80549852"/>
      <w:bookmarkStart w:id="156" w:name="_Toc9664"/>
      <w:bookmarkStart w:id="157" w:name="_Toc2837"/>
      <w:bookmarkStart w:id="158" w:name="_Toc31186"/>
      <w:bookmarkStart w:id="159" w:name="_Toc23590"/>
      <w:bookmarkStart w:id="160" w:name="_Toc12279"/>
      <w:bookmarkStart w:id="161" w:name="_Toc44925692"/>
      <w:bookmarkStart w:id="162" w:name="_Toc27701"/>
      <w:bookmarkStart w:id="163" w:name="_Toc12035"/>
      <w:bookmarkStart w:id="164" w:name="_Toc32489"/>
      <w:bookmarkStart w:id="165" w:name="_Toc80549753"/>
      <w:r>
        <w:rPr>
          <w:rFonts w:hint="default" w:ascii="楷体" w:hAnsi="楷体" w:eastAsia="楷体" w:cs="楷体"/>
          <w:sz w:val="28"/>
          <w:szCs w:val="28"/>
          <w:lang w:val="en-US" w:bidi="ar-SA"/>
        </w:rPr>
        <w:t>4.2 信息报告内容和方式</w:t>
      </w:r>
      <w:bookmarkEnd w:id="155"/>
      <w:bookmarkEnd w:id="156"/>
      <w:bookmarkEnd w:id="157"/>
      <w:bookmarkEnd w:id="158"/>
      <w:bookmarkEnd w:id="159"/>
      <w:bookmarkEnd w:id="160"/>
      <w:bookmarkEnd w:id="161"/>
      <w:bookmarkEnd w:id="162"/>
      <w:bookmarkEnd w:id="163"/>
      <w:bookmarkEnd w:id="164"/>
      <w:bookmarkEnd w:id="16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突发环境事件报告分为初报、续报和处理结果报告。</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初报包括突发环境事件的发生时间、地点、信息来源、事件起因和性质、基本过程、主要污染物和数量、监测数据、人员受害情况、饮用水水源地等环境敏感点受影响情况、事件发展趋势、处置情况、拟采取的措施以及下一步工作建议等，并提供可能受到突发环境事件影响的环境敏感点的分布示意图。</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续报在初报的基础上，报告有关处置进展情况。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处置结果报告在初报和续报的基础上，报告处置突发环境事件的措施、过程和结果，突发环境事件潜在或间接危害以及损失、社会影响、处置后的遗留问题、责任追究等详细情况。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方正仿宋_GB2312" w:cs="Times New Roman"/>
        </w:rPr>
      </w:pPr>
      <w:r>
        <w:rPr>
          <w:rFonts w:hint="default" w:ascii="Times New Roman" w:hAnsi="Times New Roman" w:eastAsia="宋体" w:cs="Times New Roman"/>
          <w:bCs/>
          <w:kern w:val="2"/>
          <w:sz w:val="28"/>
          <w:szCs w:val="32"/>
          <w:lang w:val="en-US" w:bidi="ar-SA"/>
        </w:rPr>
        <w:t>信息报告可采用电话、传真、网络等方式报告，紧急情况下采用电话报告的应及时补充完整的书面报告。</w:t>
      </w:r>
    </w:p>
    <w:p>
      <w:pPr>
        <w:pStyle w:val="3"/>
        <w:spacing w:line="580" w:lineRule="exact"/>
        <w:ind w:firstLine="561"/>
        <w:rPr>
          <w:rFonts w:hint="default" w:ascii="Times New Roman" w:hAnsi="Times New Roman" w:eastAsia="方正仿宋_GB2312" w:cs="Times New Roman"/>
          <w:sz w:val="36"/>
          <w:szCs w:val="36"/>
        </w:rPr>
      </w:pPr>
      <w:bookmarkStart w:id="166" w:name="_Toc80549754"/>
      <w:bookmarkStart w:id="167" w:name="_Toc17472"/>
      <w:bookmarkStart w:id="168" w:name="_Toc243"/>
      <w:bookmarkStart w:id="169" w:name="_Toc2233"/>
      <w:bookmarkStart w:id="170" w:name="_Toc80549853"/>
      <w:bookmarkStart w:id="171" w:name="_Toc25348"/>
    </w:p>
    <w:p>
      <w:pPr>
        <w:rPr>
          <w:rFonts w:hint="default" w:ascii="Times New Roman" w:hAnsi="Times New Roman" w:eastAsia="方正仿宋_GB2312" w:cs="Times New Roman"/>
          <w:kern w:val="2"/>
          <w:sz w:val="32"/>
          <w:szCs w:val="32"/>
          <w:lang w:val="en-US" w:bidi="ar-SA"/>
        </w:rPr>
      </w:pPr>
      <w:r>
        <w:rPr>
          <w:rFonts w:hint="default" w:ascii="Times New Roman" w:hAnsi="Times New Roman" w:eastAsia="方正仿宋_GB2312" w:cs="Times New Roman"/>
          <w:kern w:val="2"/>
          <w:sz w:val="32"/>
          <w:szCs w:val="32"/>
          <w:lang w:val="en-US" w:bidi="ar-SA"/>
        </w:rPr>
        <w:br w:type="page"/>
      </w:r>
    </w:p>
    <w:p>
      <w:pPr>
        <w:pStyle w:val="4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172" w:name="_Toc6421"/>
      <w:r>
        <w:rPr>
          <w:rFonts w:hint="default" w:ascii="黑体" w:hAnsi="黑体" w:eastAsia="黑体" w:cs="黑体"/>
          <w:sz w:val="32"/>
          <w:szCs w:val="32"/>
          <w:lang w:val="en-US" w:bidi="ar-SA"/>
        </w:rPr>
        <w:t>5 应急响应</w:t>
      </w:r>
      <w:bookmarkEnd w:id="166"/>
      <w:bookmarkEnd w:id="167"/>
      <w:bookmarkEnd w:id="168"/>
      <w:bookmarkEnd w:id="169"/>
      <w:bookmarkEnd w:id="170"/>
      <w:bookmarkEnd w:id="171"/>
      <w:bookmarkEnd w:id="172"/>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173" w:name="7.1分级应急响应机制"/>
      <w:bookmarkEnd w:id="173"/>
      <w:bookmarkStart w:id="174" w:name="_bookmark28"/>
      <w:bookmarkEnd w:id="174"/>
      <w:bookmarkStart w:id="175" w:name="_Toc12409"/>
      <w:bookmarkStart w:id="176" w:name="_Toc5925"/>
      <w:bookmarkStart w:id="177" w:name="_Toc80549854"/>
      <w:bookmarkStart w:id="178" w:name="_Toc15424"/>
      <w:bookmarkStart w:id="179" w:name="_Toc80549755"/>
      <w:bookmarkStart w:id="180" w:name="_Toc27698"/>
      <w:bookmarkStart w:id="181" w:name="_Toc25228"/>
      <w:r>
        <w:rPr>
          <w:rFonts w:hint="default" w:ascii="楷体" w:hAnsi="楷体" w:eastAsia="楷体" w:cs="楷体"/>
          <w:sz w:val="28"/>
          <w:szCs w:val="28"/>
          <w:lang w:val="en-US" w:bidi="ar-SA"/>
        </w:rPr>
        <w:t>5.1 分级响应</w:t>
      </w:r>
      <w:bookmarkEnd w:id="175"/>
      <w:bookmarkEnd w:id="176"/>
      <w:bookmarkEnd w:id="177"/>
      <w:bookmarkEnd w:id="178"/>
      <w:bookmarkEnd w:id="17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根据突发环境事件的可控性、严重程度和发展态势，本镇将应急响应设定为Ⅰ级、Ⅱ级、Ⅲ级和Ⅳ级四个等级，分别对应特别重大、重大、较大和一般生产安全事故。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初判发生一般突发环境事件时，启动Ⅳ级响应，并负责具体处置工作。必要时，请求太仓市突发环境事件应急指挥部有关成员单位协助处置。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初判发生较大突发环境事件时，启动Ⅲ级响应</w:t>
      </w:r>
      <w:r>
        <w:rPr>
          <w:rFonts w:hint="default" w:ascii="Times New Roman" w:hAnsi="Times New Roman" w:eastAsia="宋体" w:cs="Times New Roman"/>
          <w:bCs/>
          <w:kern w:val="2"/>
          <w:sz w:val="28"/>
          <w:szCs w:val="32"/>
          <w:lang w:val="en-US" w:eastAsia="zh-CN" w:bidi="ar-SA"/>
        </w:rPr>
        <w:t>、Ⅱ级和Ⅰ级响应</w:t>
      </w:r>
      <w:r>
        <w:rPr>
          <w:rFonts w:hint="default" w:ascii="Times New Roman" w:hAnsi="Times New Roman" w:eastAsia="宋体" w:cs="Times New Roman"/>
          <w:bCs/>
          <w:kern w:val="2"/>
          <w:sz w:val="28"/>
          <w:szCs w:val="32"/>
          <w:lang w:val="en-US" w:bidi="ar-SA"/>
        </w:rPr>
        <w:t>，请求太仓市应急指挥机构启动相应预案。镇有关部门和单位密切配合，协同处置。</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182" w:name="_Toc28038"/>
      <w:bookmarkStart w:id="183" w:name="_Toc7364"/>
      <w:bookmarkStart w:id="184" w:name="_Toc5382"/>
      <w:bookmarkStart w:id="185" w:name="_Toc80549855"/>
      <w:bookmarkStart w:id="186" w:name="_Toc80549756"/>
      <w:bookmarkStart w:id="187" w:name="_Toc10013"/>
      <w:bookmarkStart w:id="188" w:name="_Toc44925696"/>
      <w:bookmarkStart w:id="189" w:name="_Toc19545"/>
      <w:bookmarkStart w:id="190" w:name="_Toc498677802"/>
      <w:bookmarkStart w:id="191" w:name="_Toc22856"/>
      <w:r>
        <w:rPr>
          <w:rFonts w:hint="default" w:ascii="楷体" w:hAnsi="楷体" w:eastAsia="楷体" w:cs="楷体"/>
          <w:sz w:val="28"/>
          <w:szCs w:val="28"/>
          <w:lang w:val="en-US" w:bidi="ar-SA"/>
        </w:rPr>
        <w:t>5.2 指挥协调</w:t>
      </w:r>
      <w:bookmarkEnd w:id="182"/>
      <w:bookmarkEnd w:id="183"/>
      <w:bookmarkEnd w:id="184"/>
      <w:bookmarkEnd w:id="185"/>
      <w:bookmarkEnd w:id="186"/>
      <w:bookmarkEnd w:id="187"/>
      <w:bookmarkEnd w:id="188"/>
      <w:bookmarkEnd w:id="189"/>
      <w:bookmarkEnd w:id="190"/>
      <w:bookmarkEnd w:id="191"/>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发生一般生产安全事故，Ⅳ级应急响应启动后，根据应急需要，镇应急指挥部办公室根据事故的情况，协调镇有关部门及其应急机构、专业救援队伍等在现场指挥部统一指挥下，开展应急救援行动。相关部门和单位按照各自应急预案，提供应急救援或保障。发生较大以上生产安全事故灾难，服从苏州市、江苏省安全生产应急救援指挥部的指挥。</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2）镇应急指挥部成员单位负责组织指挥协调本系统应急力量和资源实施应急救援行动。主要包括：</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（1）启动本部门应急处置规程，组织实施应急救援。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（2）掌握现场信息，提出现场应急处置行动决策建议。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（3）组织有关部门负责人、专家和人员赶赴现场指导应急救援。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（4）及时向镇应急指挥部报告应急处置进展情况。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（5）现场指挥部负责现场应急救援的组织指挥，全力控制突发环境事件发展态势，防止次生事件发生。现场指挥部成立前，事发单位和先期到达的应急救援队伍必须迅速、有效地实施先期处置。</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192" w:name="_Toc44925697"/>
      <w:bookmarkStart w:id="193" w:name="_Toc21487"/>
      <w:bookmarkStart w:id="194" w:name="_Toc3215"/>
      <w:bookmarkStart w:id="195" w:name="_Toc9593"/>
      <w:bookmarkStart w:id="196" w:name="_Toc23904"/>
      <w:bookmarkStart w:id="197" w:name="_Toc27168"/>
      <w:bookmarkStart w:id="198" w:name="_Toc19623"/>
      <w:bookmarkStart w:id="199" w:name="_Toc17463"/>
      <w:bookmarkStart w:id="200" w:name="_Toc80549856"/>
      <w:bookmarkStart w:id="201" w:name="_Toc80549757"/>
      <w:r>
        <w:rPr>
          <w:rFonts w:hint="default" w:ascii="楷体" w:hAnsi="楷体" w:eastAsia="楷体" w:cs="楷体"/>
          <w:sz w:val="28"/>
          <w:szCs w:val="28"/>
          <w:lang w:val="en-US" w:bidi="ar-SA"/>
        </w:rPr>
        <w:t>5.3 响应措施</w:t>
      </w:r>
      <w:bookmarkEnd w:id="192"/>
      <w:bookmarkEnd w:id="193"/>
      <w:bookmarkEnd w:id="194"/>
      <w:bookmarkEnd w:id="195"/>
      <w:bookmarkEnd w:id="196"/>
      <w:bookmarkEnd w:id="197"/>
      <w:bookmarkEnd w:id="198"/>
      <w:bookmarkEnd w:id="199"/>
      <w:bookmarkEnd w:id="200"/>
      <w:bookmarkEnd w:id="201"/>
    </w:p>
    <w:p>
      <w:pPr>
        <w:pStyle w:val="43"/>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2"/>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5.3.1先期处置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发生突发环境事件时，涉事企事业单位要立即按照本单位突发环境事件应急预案启动应急响应，指挥本单位应急救援队伍和工作人员营救受害人员，做好现场人员疏散和公共秩序维护。切断和控制污染源，采取污染防治措施，防止发生次生、衍生灾害和危害扩大、控制污染物进入环境的途径，尽量降低对周边环境的影响，并迅速报告。</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接报后，要按照程序规定，通知相关责任部门。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相关责任部门、村（社区）、工业集中区及有关部门在突发环境事件发生后，要根据职责和规定的权限，启动相关应急预案，控制事态并向镇应急指挥部办公室报告。</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当突发环境事件态势或次生灾难不能得到有效控制时，镇应急指挥部办公室、镇有关主管部门要及时提出启动相应应急处置的建议上报镇人民政府。</w:t>
      </w:r>
    </w:p>
    <w:p>
      <w:pPr>
        <w:pStyle w:val="43"/>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2"/>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5.3.2污染排查和处置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接到初判为较大以上突发环境事件发生后，应启动Ⅲ级以上响应，由苏州市应急救援指挥部或其他有关应急指挥机构组织、指挥、协调、调度有关应急力量和资源实施应急处置，镇有关部门和单位密切配合、协同处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现场调查内容包括事故原因、主要污染物质的性质和数量、人员受害情况、危害程度、周边环境（居民、水体流向、流速）、影响范围等。污染源排查主要内容为确定引发环境事故的污染源，并及时进行堵漏工作，防止进一步污染环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若污染物质流出突发环境事件企事业单位外，尚未进入</w:t>
      </w:r>
      <w:r>
        <w:rPr>
          <w:rFonts w:hint="default" w:ascii="Times New Roman" w:hAnsi="Times New Roman" w:eastAsia="宋体" w:cs="Times New Roman"/>
          <w:bCs/>
          <w:kern w:val="2"/>
          <w:sz w:val="28"/>
          <w:szCs w:val="32"/>
          <w:lang w:val="en-US" w:eastAsia="zh-CN" w:bidi="ar-SA"/>
        </w:rPr>
        <w:t>城厢镇</w:t>
      </w:r>
      <w:r>
        <w:rPr>
          <w:rFonts w:hint="default" w:ascii="Times New Roman" w:hAnsi="Times New Roman" w:eastAsia="宋体" w:cs="Times New Roman"/>
          <w:bCs/>
          <w:kern w:val="2"/>
          <w:sz w:val="28"/>
          <w:szCs w:val="32"/>
          <w:lang w:val="en-US" w:bidi="ar-SA"/>
        </w:rPr>
        <w:t>内水体或下水管道，突发环境事件应急救援指挥中心应采取的应急行动：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（1）修筑围堰；</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（2）关闭附近下水闸口，防治进入水体；</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（3）市环境监测站对附近排水口及水体进行监测；</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（4）通知集中式污水厂加强生产污水排放口的监测工作；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（5）利用消防泡沫覆盖或就近取用黄土覆盖，收集污染物进行无害化处理；</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若污染物质进入河道，突发环境事件应急救援指挥中心应采取的应急行动：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（1）立即关闭河道上下游闸阀，将污染团封堵在河段内；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（2）市环境监测站加密监测，提供监测点位及监测数据，并确保下游水质安全；</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（3）有专家及有关部门提供进入河道的污染物质的量；</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（4）调取关于该河道的相关水文、水质信息及流经区域；</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（5）继续调运物资，快速判明污染物种类和毒性，采用合适的药剂进行清污工作；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（6）防止发生次生灾害，应急及吸附的物资全部回收，并寻找合适的处置单位进行科学处置；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（7）正确引导媒体，关注舆情，做好周边群众的工作，防止事态扩大，确保社会稳定。</w:t>
      </w:r>
    </w:p>
    <w:p>
      <w:pPr>
        <w:pStyle w:val="43"/>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2"/>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5.3.3 响应级别调整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一旦突发环境事件扩展，且有蔓延扩大的趋势、情况复杂难以控制时，及时提升响应级别。突发环境事件危害已经减缓和消除，不会进一步扩散，相应降低响应级别。镇应急指挥部或现场指挥部对突发环境事件进行分析评估论证，符合级别调整条件的，提出调整响应级别建议，报镇应急委批准后实施。</w:t>
      </w:r>
      <w:bookmarkStart w:id="202" w:name="_Toc80549857"/>
      <w:bookmarkStart w:id="203" w:name="_Toc44925698"/>
      <w:bookmarkStart w:id="204" w:name="_Toc1138"/>
      <w:bookmarkStart w:id="205" w:name="_Toc18656"/>
      <w:bookmarkStart w:id="206" w:name="_Toc421"/>
      <w:bookmarkStart w:id="207" w:name="_Toc27146"/>
      <w:bookmarkStart w:id="208" w:name="_Toc80549758"/>
      <w:bookmarkStart w:id="209" w:name="_Toc58"/>
      <w:bookmarkStart w:id="210" w:name="_Toc5266"/>
      <w:bookmarkStart w:id="211" w:name="_Toc13522"/>
      <w:bookmarkStart w:id="212" w:name="_Toc19428"/>
      <w:bookmarkStart w:id="213" w:name="_Toc21267"/>
      <w:bookmarkStart w:id="214" w:name="_Toc19836"/>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215" w:name="_Toc19795"/>
      <w:r>
        <w:rPr>
          <w:rFonts w:hint="default" w:ascii="楷体" w:hAnsi="楷体" w:eastAsia="楷体" w:cs="楷体"/>
          <w:sz w:val="28"/>
          <w:szCs w:val="28"/>
          <w:lang w:val="en-US" w:bidi="ar-SA"/>
        </w:rPr>
        <w:t>5.4 应急终止</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当事件条件已经排除、污染物质已降至规定限值内、所造成的危害基本消除时，由启动响应的人民政府终止应急响应。</w:t>
      </w:r>
      <w:bookmarkEnd w:id="180"/>
      <w:bookmarkEnd w:id="181"/>
    </w:p>
    <w:p>
      <w:pPr>
        <w:spacing w:line="580" w:lineRule="exact"/>
        <w:ind w:firstLine="400" w:firstLineChars="200"/>
        <w:rPr>
          <w:rFonts w:hint="default" w:ascii="Times New Roman" w:hAnsi="Times New Roman" w:eastAsia="方正仿宋_GB2312" w:cs="Times New Roman"/>
          <w:sz w:val="36"/>
          <w:szCs w:val="36"/>
        </w:rPr>
      </w:pPr>
      <w:r>
        <w:rPr>
          <w:rFonts w:hint="default" w:ascii="Times New Roman" w:hAnsi="Times New Roman" w:eastAsia="方正仿宋_GB2312" w:cs="Times New Roman"/>
          <w:sz w:val="20"/>
          <w:lang w:val="en-US"/>
        </w:rPr>
        <w:t xml:space="preserve"> </w:t>
      </w:r>
      <w:bookmarkStart w:id="216" w:name="_Toc27284"/>
      <w:bookmarkStart w:id="217" w:name="_Toc28160"/>
      <w:bookmarkStart w:id="218" w:name="_Toc80549759"/>
      <w:bookmarkStart w:id="219" w:name="_Toc24422"/>
      <w:bookmarkStart w:id="220" w:name="_Toc2585"/>
      <w:bookmarkStart w:id="221" w:name="_Toc80549858"/>
    </w:p>
    <w:p>
      <w:pPr>
        <w:pStyle w:val="4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222" w:name="_Toc19994"/>
      <w:r>
        <w:rPr>
          <w:rFonts w:hint="default" w:ascii="黑体" w:hAnsi="黑体" w:eastAsia="黑体" w:cs="黑体"/>
          <w:sz w:val="32"/>
          <w:szCs w:val="32"/>
          <w:lang w:val="en-US" w:bidi="ar-SA"/>
        </w:rPr>
        <w:t>6 后期处置</w:t>
      </w:r>
      <w:bookmarkEnd w:id="216"/>
      <w:bookmarkEnd w:id="217"/>
      <w:bookmarkEnd w:id="218"/>
      <w:bookmarkEnd w:id="219"/>
      <w:bookmarkEnd w:id="220"/>
      <w:bookmarkEnd w:id="221"/>
      <w:bookmarkEnd w:id="222"/>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223" w:name="_Toc1319"/>
      <w:bookmarkStart w:id="224" w:name="_Toc24445"/>
      <w:bookmarkStart w:id="225" w:name="_Toc80549760"/>
      <w:bookmarkStart w:id="226" w:name="_Toc5762"/>
      <w:bookmarkStart w:id="227" w:name="_Toc12706"/>
      <w:bookmarkStart w:id="228" w:name="_Toc80549859"/>
      <w:bookmarkStart w:id="229" w:name="_Toc27777"/>
      <w:r>
        <w:rPr>
          <w:rFonts w:hint="default" w:ascii="楷体" w:hAnsi="楷体" w:eastAsia="楷体" w:cs="楷体"/>
          <w:sz w:val="28"/>
          <w:szCs w:val="28"/>
          <w:lang w:val="en-US" w:bidi="ar-SA"/>
        </w:rPr>
        <w:t>6.1 善后处置</w:t>
      </w:r>
      <w:bookmarkEnd w:id="223"/>
      <w:bookmarkEnd w:id="224"/>
      <w:bookmarkEnd w:id="225"/>
      <w:bookmarkEnd w:id="226"/>
      <w:bookmarkEnd w:id="227"/>
      <w:bookmarkEnd w:id="228"/>
      <w:bookmarkEnd w:id="22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bookmarkStart w:id="230" w:name="9__事后恢复"/>
      <w:bookmarkEnd w:id="230"/>
      <w:bookmarkStart w:id="231" w:name="_bookmark37"/>
      <w:bookmarkEnd w:id="231"/>
      <w:r>
        <w:rPr>
          <w:rFonts w:hint="default" w:ascii="Times New Roman" w:hAnsi="Times New Roman" w:eastAsia="宋体" w:cs="Times New Roman"/>
          <w:bCs/>
          <w:kern w:val="2"/>
          <w:sz w:val="28"/>
          <w:szCs w:val="32"/>
          <w:lang w:val="en-US" w:bidi="ar-SA"/>
        </w:rPr>
        <w:t>突发环境事件应急响应终止后，事发地村（社区）、生产经营单位及镇人民政府负责根据本地区遭受损失的情况，及时组织实施各项善后工作，安定群众情绪，组织专家对突发环境事件中长期环境影响进行评估，提出补偿和对遭受污染的生态环境进行恢复的建议，开展生态环境恢复。保险机构应第一时间对事件造成的损失进行评估、审核和确认，根据保险条例进行理赔。</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232" w:name="_Toc26082"/>
      <w:bookmarkStart w:id="233" w:name="_Toc19396"/>
      <w:bookmarkStart w:id="234" w:name="_Toc3213"/>
      <w:bookmarkStart w:id="235" w:name="_Toc80549761"/>
      <w:bookmarkStart w:id="236" w:name="_Toc80549860"/>
      <w:bookmarkStart w:id="237" w:name="_Toc15163"/>
      <w:bookmarkStart w:id="238" w:name="_Toc12618"/>
      <w:r>
        <w:rPr>
          <w:rFonts w:hint="default" w:ascii="楷体" w:hAnsi="楷体" w:eastAsia="楷体" w:cs="楷体"/>
          <w:sz w:val="28"/>
          <w:szCs w:val="28"/>
          <w:lang w:val="en-US" w:bidi="ar-SA"/>
        </w:rPr>
        <w:t xml:space="preserve">6.2 </w:t>
      </w:r>
      <w:bookmarkEnd w:id="232"/>
      <w:bookmarkEnd w:id="233"/>
      <w:r>
        <w:rPr>
          <w:rFonts w:hint="default" w:ascii="楷体" w:hAnsi="楷体" w:eastAsia="楷体" w:cs="楷体"/>
          <w:sz w:val="28"/>
          <w:szCs w:val="28"/>
          <w:lang w:val="en-US" w:bidi="ar-SA"/>
        </w:rPr>
        <w:t>环境损害评估</w:t>
      </w:r>
      <w:bookmarkEnd w:id="234"/>
      <w:r>
        <w:rPr>
          <w:rFonts w:hint="default" w:ascii="楷体" w:hAnsi="楷体" w:eastAsia="楷体" w:cs="楷体"/>
          <w:sz w:val="28"/>
          <w:szCs w:val="28"/>
          <w:lang w:val="en-US" w:bidi="ar-SA"/>
        </w:rPr>
        <w:t>及事件调查</w:t>
      </w:r>
      <w:bookmarkEnd w:id="235"/>
      <w:bookmarkEnd w:id="236"/>
      <w:bookmarkEnd w:id="237"/>
      <w:bookmarkEnd w:id="23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突发环境事件应急响应终止后，对较大、重大、特别重大突发环境事件，分别由苏州市、江苏省、国务院指派相应部门按照有关法律法规开展事件调查。对一般突发环境事件，由太仓市人民政府负责组成调查组进行调查。法律法规对事故调查主体另有规定的，从其规定。</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善后处置结束后，镇应急指挥部办公室及有关部门要评估应急救援处置程序，提出改进应急救援工作的建议，完成应急救援总结报告报镇人民政府。</w:t>
      </w:r>
    </w:p>
    <w:p>
      <w:pPr>
        <w:snapToGrid w:val="0"/>
        <w:spacing w:line="580" w:lineRule="exact"/>
        <w:rPr>
          <w:rFonts w:hint="default" w:ascii="Times New Roman" w:hAnsi="Times New Roman" w:eastAsia="方正仿宋_GB2312" w:cs="Times New Roman"/>
          <w:b/>
          <w:sz w:val="32"/>
          <w:lang w:val="en-US"/>
        </w:rPr>
      </w:pPr>
      <w:r>
        <w:rPr>
          <w:rFonts w:hint="default" w:ascii="Times New Roman" w:hAnsi="Times New Roman" w:eastAsia="方正仿宋_GB2312" w:cs="Times New Roman"/>
          <w:b/>
          <w:sz w:val="32"/>
          <w:lang w:val="en-US"/>
        </w:rPr>
        <w:br w:type="page"/>
      </w:r>
    </w:p>
    <w:p>
      <w:pPr>
        <w:pStyle w:val="4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239" w:name="_Toc80549762"/>
      <w:bookmarkStart w:id="240" w:name="_Toc15455"/>
      <w:bookmarkStart w:id="241" w:name="_Toc32197"/>
      <w:bookmarkStart w:id="242" w:name="_Toc5938"/>
      <w:bookmarkStart w:id="243" w:name="_Toc80549861"/>
      <w:bookmarkStart w:id="244" w:name="_Toc13683"/>
      <w:bookmarkStart w:id="245" w:name="_Toc17672"/>
      <w:r>
        <w:rPr>
          <w:rFonts w:hint="default" w:ascii="黑体" w:hAnsi="黑体" w:eastAsia="黑体" w:cs="黑体"/>
          <w:sz w:val="32"/>
          <w:szCs w:val="32"/>
          <w:lang w:val="en-US" w:bidi="ar-SA"/>
        </w:rPr>
        <w:t>7 应急保障</w:t>
      </w:r>
      <w:bookmarkEnd w:id="239"/>
      <w:bookmarkEnd w:id="240"/>
      <w:bookmarkEnd w:id="241"/>
      <w:bookmarkEnd w:id="242"/>
      <w:bookmarkEnd w:id="243"/>
      <w:bookmarkEnd w:id="244"/>
      <w:bookmarkEnd w:id="245"/>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246" w:name="_bookmark38"/>
      <w:bookmarkEnd w:id="246"/>
      <w:bookmarkStart w:id="247" w:name="9.1善后处置与恢复重建"/>
      <w:bookmarkEnd w:id="247"/>
      <w:bookmarkStart w:id="248" w:name="_Toc29290"/>
      <w:bookmarkStart w:id="249" w:name="_Toc4387"/>
      <w:bookmarkStart w:id="250" w:name="_Toc80549862"/>
      <w:bookmarkStart w:id="251" w:name="_Toc8329"/>
      <w:bookmarkStart w:id="252" w:name="_Toc8829"/>
      <w:bookmarkStart w:id="253" w:name="_Toc44925704"/>
      <w:bookmarkStart w:id="254" w:name="_Toc22973"/>
      <w:bookmarkStart w:id="255" w:name="_Toc7308"/>
      <w:bookmarkStart w:id="256" w:name="_Toc23209"/>
      <w:bookmarkStart w:id="257" w:name="_Toc31457"/>
      <w:bookmarkStart w:id="258" w:name="_Toc19212"/>
      <w:bookmarkStart w:id="259" w:name="_Toc80549763"/>
      <w:bookmarkStart w:id="260" w:name="_Toc516754451"/>
      <w:bookmarkStart w:id="261" w:name="_Toc31920"/>
      <w:bookmarkStart w:id="262" w:name="_Toc24701"/>
      <w:bookmarkStart w:id="263" w:name="_Toc1819"/>
      <w:bookmarkStart w:id="264" w:name="_Toc1322"/>
      <w:r>
        <w:rPr>
          <w:rFonts w:hint="default" w:ascii="楷体" w:hAnsi="楷体" w:eastAsia="楷体" w:cs="楷体"/>
          <w:sz w:val="28"/>
          <w:szCs w:val="28"/>
          <w:lang w:val="en-US" w:bidi="ar-SA"/>
        </w:rPr>
        <w:t>7.1 资金保障</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（1）生产经营单位应当预留应急救援必要的资金。应急处置的资金费用由事故责任单位承担，无力承担的，由上级行业主管部门会商镇人民政府协调解决。</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（2）本镇突发环境事件应急处置所需的经费，由镇财政局按照有关预案和规定程序予以安排。镇政府应保证应急管理专项资金的投入。计划财务部门建立应急专项资金科目，确保资金的及时划拨和支付。</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265" w:name="_Toc11943"/>
      <w:bookmarkStart w:id="266" w:name="_Toc80549764"/>
      <w:bookmarkStart w:id="267" w:name="_Toc23047"/>
      <w:bookmarkStart w:id="268" w:name="_Toc12861"/>
      <w:bookmarkStart w:id="269" w:name="_Toc4983"/>
      <w:bookmarkStart w:id="270" w:name="_Toc14854"/>
      <w:bookmarkStart w:id="271" w:name="_Toc12808"/>
      <w:bookmarkStart w:id="272" w:name="_Toc44925705"/>
      <w:bookmarkStart w:id="273" w:name="_Toc80549863"/>
      <w:bookmarkStart w:id="274" w:name="_Toc24318"/>
      <w:bookmarkStart w:id="275" w:name="_Toc516754452"/>
      <w:bookmarkStart w:id="276" w:name="_Toc1192"/>
      <w:bookmarkStart w:id="277" w:name="_Toc24056"/>
      <w:bookmarkStart w:id="278" w:name="_Toc26036"/>
      <w:bookmarkStart w:id="279" w:name="_Toc26531"/>
      <w:r>
        <w:rPr>
          <w:rFonts w:hint="default" w:ascii="楷体" w:hAnsi="楷体" w:eastAsia="楷体" w:cs="楷体"/>
          <w:sz w:val="28"/>
          <w:szCs w:val="28"/>
          <w:lang w:val="en-US" w:bidi="ar-SA"/>
        </w:rPr>
        <w:t>7.2 应急物资保障</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应急装备和物资是科学应对突发环境事件的重要保障。应急资源的性能状况直接影响应急工作的绩效，必须做好应急资源的维护工作。将应急资源的维护纳入应急管理的日常工作。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建立健全应急物资储存、调拨及紧急配送体系，完善应急工作程序，确保应急所需物资和生活用品及时供应。加强物资储备的监督管理和及时补充、更新。</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后勤保障组在接到应急指挥部救援指令后，迅速按应急指挥部要求将所需的物资、设备等，按指定时间送到指定地点。</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280" w:name="_Toc17091"/>
      <w:bookmarkStart w:id="281" w:name="_Toc80549864"/>
      <w:bookmarkStart w:id="282" w:name="_Toc19249"/>
      <w:bookmarkStart w:id="283" w:name="_Toc10737"/>
      <w:bookmarkStart w:id="284" w:name="_Toc1555"/>
      <w:bookmarkStart w:id="285" w:name="_Toc31355"/>
      <w:bookmarkStart w:id="286" w:name="_Toc6923"/>
      <w:bookmarkStart w:id="287" w:name="_Toc23109"/>
      <w:bookmarkStart w:id="288" w:name="_Toc516754453"/>
      <w:bookmarkStart w:id="289" w:name="_Toc10291"/>
      <w:bookmarkStart w:id="290" w:name="_Toc16222"/>
      <w:bookmarkStart w:id="291" w:name="_Toc3612"/>
      <w:bookmarkStart w:id="292" w:name="_Toc44925706"/>
      <w:bookmarkStart w:id="293" w:name="_Toc80549765"/>
      <w:bookmarkStart w:id="294" w:name="_Toc11387"/>
      <w:r>
        <w:rPr>
          <w:rFonts w:hint="default" w:ascii="楷体" w:hAnsi="楷体" w:eastAsia="楷体" w:cs="楷体"/>
          <w:sz w:val="28"/>
          <w:szCs w:val="28"/>
          <w:lang w:val="en-US" w:bidi="ar-SA"/>
        </w:rPr>
        <w:t>7.3 通信保障</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 xml:space="preserve">（1）建立健全镇突发环境事件应急救援综合信息网络系统和信息报告系统，建立完善救援力量和资源信息数据库；规范信息获取、分析、发布、报送格式和程序，保证应急机构之间的信息资源共享，为应急决策提供相关信息支持。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2）各村（社区）、工业集中区、相关部门负责本部门、本地区相关信息的收集、分析和处理，定期向镇应急指挥部办公室报送有关信息。镇应急指挥部办公室负责收集、分析和处理本镇生产全事故应急救援有关信息。</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（3）负责突发环境事件应急救援职能部门的值班电话等信息应予以公布，值班电话保持24小时畅通。通信主管部门负责建立健全应急通信保障体系，确保应急期间通信联络和信息传递需要。</w:t>
      </w:r>
      <w:bookmarkStart w:id="295" w:name="_Toc6783"/>
      <w:bookmarkStart w:id="296" w:name="_Toc30799"/>
      <w:bookmarkStart w:id="297" w:name="_Toc24600"/>
      <w:bookmarkStart w:id="298" w:name="_Toc20227"/>
      <w:bookmarkStart w:id="299" w:name="_Toc516754454"/>
      <w:bookmarkStart w:id="300" w:name="_Toc18325"/>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301" w:name="_Toc24342"/>
      <w:bookmarkStart w:id="302" w:name="_Toc25137"/>
      <w:bookmarkStart w:id="303" w:name="_Toc32592"/>
      <w:bookmarkStart w:id="304" w:name="_Toc80549865"/>
      <w:bookmarkStart w:id="305" w:name="_Toc80549766"/>
      <w:bookmarkStart w:id="306" w:name="_Toc44925707"/>
      <w:bookmarkStart w:id="307" w:name="_Toc28526"/>
      <w:bookmarkStart w:id="308" w:name="_Toc1290"/>
      <w:bookmarkStart w:id="309" w:name="_Toc11028"/>
      <w:r>
        <w:rPr>
          <w:rFonts w:hint="default" w:ascii="楷体" w:hAnsi="楷体" w:eastAsia="楷体" w:cs="楷体"/>
          <w:sz w:val="28"/>
          <w:szCs w:val="28"/>
          <w:lang w:val="en-US" w:bidi="ar-SA"/>
        </w:rPr>
        <w:t>7.4 应急队伍保障</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建立多层次的应急保障队伍，环保部门建立突发环境事件应急处置专业队伍；其它</w:t>
      </w:r>
      <w:r>
        <w:rPr>
          <w:rFonts w:hint="default" w:ascii="Times New Roman" w:hAnsi="Times New Roman" w:eastAsia="宋体" w:cs="Times New Roman"/>
          <w:bCs/>
          <w:kern w:val="2"/>
          <w:sz w:val="28"/>
          <w:szCs w:val="32"/>
          <w:lang w:val="en-US" w:eastAsia="zh-CN" w:bidi="ar-SA"/>
        </w:rPr>
        <w:t>应急</w:t>
      </w:r>
      <w:r>
        <w:rPr>
          <w:rFonts w:hint="default" w:ascii="Times New Roman" w:hAnsi="Times New Roman" w:eastAsia="宋体" w:cs="Times New Roman"/>
          <w:bCs/>
          <w:kern w:val="2"/>
          <w:sz w:val="28"/>
          <w:szCs w:val="32"/>
          <w:lang w:val="en-US" w:bidi="ar-SA"/>
        </w:rPr>
        <w:t>、医疗、消防等部门分别建立应急专业队伍。建立联动协调机制。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为加强对各联动单位的组织协调和指导，保障应急工作的有效进行，定期对应急人员进行组织、培训。</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充分利用消防队等社会救援力量，与人民医院积极合作，相互协助与配合。</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应不断完善环境应急救援队伍的建设，寻找在应急方面有丰富经验的机构提供应急服务。</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310" w:name="_Toc28187"/>
      <w:bookmarkStart w:id="311" w:name="_Toc24424"/>
      <w:bookmarkStart w:id="312" w:name="_Toc80549767"/>
      <w:bookmarkStart w:id="313" w:name="_Toc7224"/>
      <w:bookmarkStart w:id="314" w:name="_Toc14069"/>
      <w:bookmarkStart w:id="315" w:name="_Toc28932"/>
      <w:bookmarkStart w:id="316" w:name="_Toc44925708"/>
      <w:bookmarkStart w:id="317" w:name="_Toc28991"/>
      <w:bookmarkStart w:id="318" w:name="_Toc27322"/>
      <w:bookmarkStart w:id="319" w:name="_Toc80549866"/>
      <w:bookmarkStart w:id="320" w:name="_Toc17394"/>
      <w:bookmarkStart w:id="321" w:name="_Toc6229"/>
      <w:bookmarkStart w:id="322" w:name="_Toc28555"/>
      <w:bookmarkStart w:id="323" w:name="_Toc516754455"/>
      <w:bookmarkStart w:id="324" w:name="_Toc18869"/>
      <w:r>
        <w:rPr>
          <w:rFonts w:hint="default" w:ascii="楷体" w:hAnsi="楷体" w:eastAsia="楷体" w:cs="楷体"/>
          <w:sz w:val="28"/>
          <w:szCs w:val="28"/>
          <w:lang w:val="en-US" w:bidi="ar-SA"/>
        </w:rPr>
        <w:t>7.5 技术储备与保障</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镇突发环境事件应急指挥部办公室建立突发环境事件应急专家、技术等数据库，为应急救援提供技术支持和保障，专家组成员按照太仓市应急处置专家库名单申请调用。</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325" w:name="_Toc80549768"/>
      <w:bookmarkStart w:id="326" w:name="_Toc31586"/>
      <w:bookmarkStart w:id="327" w:name="_Toc80549867"/>
      <w:bookmarkStart w:id="328" w:name="_Toc3216"/>
      <w:r>
        <w:rPr>
          <w:rFonts w:hint="default" w:ascii="楷体" w:hAnsi="楷体" w:eastAsia="楷体" w:cs="楷体"/>
          <w:sz w:val="28"/>
          <w:szCs w:val="28"/>
          <w:lang w:val="en-US" w:bidi="ar-SA"/>
        </w:rPr>
        <w:t>7.6 交通运输保障</w:t>
      </w:r>
      <w:bookmarkEnd w:id="325"/>
      <w:bookmarkEnd w:id="326"/>
      <w:bookmarkEnd w:id="327"/>
      <w:bookmarkEnd w:id="32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在应急状态下，公安、交通、道路等管理部门应当根据应急处置工作的需要，开辟专用通道，保障运输经营单位优先运送处置突发事件所需物资、设备、工具、应急救援人员和受到突发事件危害的人员。</w:t>
      </w:r>
    </w:p>
    <w:bookmarkEnd w:id="263"/>
    <w:bookmarkEnd w:id="264"/>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329" w:name="_Toc24806"/>
      <w:bookmarkStart w:id="330" w:name="_Toc80549868"/>
      <w:bookmarkStart w:id="331" w:name="_Toc511199593"/>
      <w:bookmarkStart w:id="332" w:name="_Toc80549769"/>
      <w:bookmarkStart w:id="333" w:name="_Toc674"/>
      <w:r>
        <w:rPr>
          <w:rFonts w:hint="default" w:ascii="楷体" w:hAnsi="楷体" w:eastAsia="楷体" w:cs="楷体"/>
          <w:sz w:val="28"/>
          <w:szCs w:val="28"/>
          <w:lang w:val="en-US" w:bidi="ar-SA"/>
        </w:rPr>
        <w:t>7.7 救援装备保障</w:t>
      </w:r>
      <w:bookmarkEnd w:id="329"/>
      <w:bookmarkEnd w:id="330"/>
      <w:bookmarkEnd w:id="331"/>
      <w:bookmarkEnd w:id="332"/>
      <w:bookmarkEnd w:id="333"/>
    </w:p>
    <w:p>
      <w:pPr>
        <w:spacing w:line="580" w:lineRule="exact"/>
        <w:ind w:firstLine="560" w:firstLineChars="200"/>
        <w:jc w:val="both"/>
        <w:rPr>
          <w:rFonts w:hint="default" w:ascii="Times New Roman" w:hAnsi="Times New Roman" w:eastAsia="方正仿宋_GB2312" w:cs="Times New Roman"/>
          <w:sz w:val="32"/>
          <w:szCs w:val="32"/>
          <w:lang w:val="en-US"/>
        </w:rPr>
      </w:pPr>
      <w:r>
        <w:rPr>
          <w:rFonts w:hint="default" w:ascii="Times New Roman" w:hAnsi="Times New Roman" w:eastAsia="宋体" w:cs="Times New Roman"/>
          <w:bCs/>
          <w:kern w:val="2"/>
          <w:sz w:val="28"/>
          <w:szCs w:val="32"/>
          <w:lang w:val="en-US" w:bidi="ar-SA"/>
        </w:rPr>
        <w:t>本镇各专业应急救援队伍和有关单位应根据实际情况和需要，配备必要的应急救援装备。各专业应急救援指挥机构应掌握本专业的特种救援装备情况。</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334" w:name="_Toc511199595"/>
      <w:bookmarkStart w:id="335" w:name="_Toc80549869"/>
      <w:bookmarkStart w:id="336" w:name="_Toc80549770"/>
      <w:bookmarkStart w:id="337" w:name="_Toc20701"/>
      <w:bookmarkStart w:id="338" w:name="_Toc31057"/>
      <w:r>
        <w:rPr>
          <w:rFonts w:hint="default" w:ascii="楷体" w:hAnsi="楷体" w:eastAsia="楷体" w:cs="楷体"/>
          <w:sz w:val="28"/>
          <w:szCs w:val="28"/>
          <w:lang w:val="en-US" w:bidi="ar-SA"/>
        </w:rPr>
        <w:t>7.8 医疗救护保障</w:t>
      </w:r>
      <w:bookmarkEnd w:id="334"/>
      <w:bookmarkEnd w:id="335"/>
      <w:bookmarkEnd w:id="336"/>
      <w:bookmarkEnd w:id="337"/>
      <w:bookmarkEnd w:id="33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社会治理和社会事业局（卫生办）负责组织医疗救援行动，提高应对突发公共事件医疗救援水平，最大程度减少人员伤亡和健康危害。</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339" w:name="_Toc26327"/>
      <w:bookmarkStart w:id="340" w:name="_Toc80549870"/>
      <w:bookmarkStart w:id="341" w:name="_Toc13383"/>
      <w:bookmarkStart w:id="342" w:name="_Toc511199596"/>
      <w:bookmarkStart w:id="343" w:name="_Toc80549771"/>
      <w:r>
        <w:rPr>
          <w:rFonts w:hint="default" w:ascii="楷体" w:hAnsi="楷体" w:eastAsia="楷体" w:cs="楷体"/>
          <w:sz w:val="28"/>
          <w:szCs w:val="28"/>
          <w:lang w:val="en-US" w:bidi="ar-SA"/>
        </w:rPr>
        <w:t>7.9 治安保障</w:t>
      </w:r>
      <w:bookmarkEnd w:id="339"/>
      <w:bookmarkEnd w:id="340"/>
      <w:bookmarkEnd w:id="341"/>
      <w:bookmarkEnd w:id="342"/>
      <w:bookmarkEnd w:id="343"/>
    </w:p>
    <w:p>
      <w:pPr>
        <w:spacing w:line="580" w:lineRule="exact"/>
        <w:ind w:firstLine="560" w:firstLineChars="200"/>
        <w:jc w:val="both"/>
        <w:rPr>
          <w:rFonts w:hint="default" w:ascii="Times New Roman" w:hAnsi="Times New Roman" w:eastAsia="方正仿宋_GB2312" w:cs="Times New Roman"/>
          <w:sz w:val="32"/>
          <w:szCs w:val="32"/>
          <w:lang w:val="en-US"/>
        </w:rPr>
      </w:pPr>
      <w:r>
        <w:rPr>
          <w:rFonts w:hint="default" w:ascii="Times New Roman" w:hAnsi="Times New Roman" w:eastAsia="宋体" w:cs="Times New Roman"/>
          <w:bCs/>
          <w:kern w:val="2"/>
          <w:sz w:val="28"/>
          <w:szCs w:val="32"/>
          <w:lang w:val="en-US" w:bidi="ar-SA"/>
        </w:rPr>
        <w:t>公安部门迅速组织警力对事故灾难现场进行治安警戒和管理，加强对重点地区、重点场所、重要物资设备的防范保护，维持现场秩序，为救援队伍顺畅开展救援工作创造良好环境。</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344" w:name="_Toc1251"/>
      <w:bookmarkStart w:id="345" w:name="_Toc16740"/>
      <w:bookmarkStart w:id="346" w:name="_Toc80549871"/>
      <w:bookmarkStart w:id="347" w:name="_Toc80549772"/>
      <w:bookmarkStart w:id="348" w:name="_Toc511199599"/>
      <w:r>
        <w:rPr>
          <w:rFonts w:hint="default" w:ascii="楷体" w:hAnsi="楷体" w:eastAsia="楷体" w:cs="楷体"/>
          <w:sz w:val="28"/>
          <w:szCs w:val="28"/>
          <w:lang w:val="en-US" w:bidi="ar-SA"/>
        </w:rPr>
        <w:t>7.10 社会动员保障</w:t>
      </w:r>
      <w:bookmarkEnd w:id="344"/>
      <w:bookmarkEnd w:id="345"/>
      <w:bookmarkEnd w:id="346"/>
      <w:bookmarkEnd w:id="347"/>
      <w:bookmarkEnd w:id="348"/>
    </w:p>
    <w:p>
      <w:pPr>
        <w:spacing w:line="580" w:lineRule="exact"/>
        <w:ind w:firstLine="560" w:firstLineChars="200"/>
        <w:rPr>
          <w:rFonts w:hint="default" w:ascii="Times New Roman" w:hAnsi="Times New Roman" w:eastAsia="方正仿宋_GB2312" w:cs="Times New Roman"/>
          <w:sz w:val="36"/>
          <w:szCs w:val="36"/>
        </w:rPr>
      </w:pPr>
      <w:r>
        <w:rPr>
          <w:rFonts w:hint="default" w:ascii="Times New Roman" w:hAnsi="Times New Roman" w:eastAsia="宋体" w:cs="Times New Roman"/>
          <w:bCs/>
          <w:kern w:val="2"/>
          <w:sz w:val="28"/>
          <w:szCs w:val="32"/>
          <w:lang w:val="en-US" w:bidi="ar-SA"/>
        </w:rPr>
        <w:t>镇应急指挥部办公室负责协调调用事发地以外的社会力量参与增援，村（社区）、工业园区、生产经营单位要为其提供必要保障。</w:t>
      </w:r>
      <w:bookmarkStart w:id="349" w:name="_Toc1236"/>
      <w:bookmarkStart w:id="350" w:name="_Toc80549773"/>
      <w:bookmarkStart w:id="351" w:name="_Toc11560"/>
      <w:bookmarkStart w:id="352" w:name="_Toc80549872"/>
      <w:bookmarkStart w:id="353" w:name="_Toc20207"/>
      <w:bookmarkStart w:id="354" w:name="_Toc17633"/>
    </w:p>
    <w:p>
      <w:pPr>
        <w:rPr>
          <w:rFonts w:hint="default" w:ascii="Times New Roman" w:hAnsi="Times New Roman" w:eastAsia="方正仿宋_GB2312" w:cs="Times New Roman"/>
          <w:sz w:val="36"/>
          <w:szCs w:val="36"/>
        </w:rPr>
      </w:pPr>
      <w:r>
        <w:rPr>
          <w:rFonts w:hint="default" w:ascii="Times New Roman" w:hAnsi="Times New Roman" w:eastAsia="方正仿宋_GB2312" w:cs="Times New Roman"/>
          <w:sz w:val="36"/>
          <w:szCs w:val="36"/>
        </w:rPr>
        <w:br w:type="page"/>
      </w:r>
    </w:p>
    <w:p>
      <w:pPr>
        <w:pStyle w:val="4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355" w:name="_Toc5653"/>
      <w:r>
        <w:rPr>
          <w:rFonts w:hint="default" w:ascii="黑体" w:hAnsi="黑体" w:eastAsia="黑体" w:cs="黑体"/>
          <w:sz w:val="32"/>
          <w:szCs w:val="32"/>
          <w:lang w:val="en-US" w:bidi="ar-SA"/>
        </w:rPr>
        <w:t>8 应急培训与演练</w:t>
      </w:r>
      <w:bookmarkEnd w:id="349"/>
      <w:bookmarkEnd w:id="350"/>
      <w:bookmarkEnd w:id="351"/>
      <w:bookmarkEnd w:id="352"/>
      <w:bookmarkEnd w:id="353"/>
      <w:bookmarkEnd w:id="354"/>
      <w:bookmarkEnd w:id="355"/>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356" w:name="10__应急保障"/>
      <w:bookmarkEnd w:id="356"/>
      <w:bookmarkStart w:id="357" w:name="_bookmark40"/>
      <w:bookmarkEnd w:id="357"/>
      <w:bookmarkStart w:id="358" w:name="10.1_通信与信息保障"/>
      <w:bookmarkEnd w:id="358"/>
      <w:bookmarkStart w:id="359" w:name="_bookmark41"/>
      <w:bookmarkEnd w:id="359"/>
      <w:bookmarkStart w:id="360" w:name="_Toc80549873"/>
      <w:bookmarkStart w:id="361" w:name="_Toc748"/>
      <w:bookmarkStart w:id="362" w:name="_Toc663"/>
      <w:bookmarkStart w:id="363" w:name="_Toc23232"/>
      <w:bookmarkStart w:id="364" w:name="_Toc44925710"/>
      <w:bookmarkStart w:id="365" w:name="_Toc18829"/>
      <w:bookmarkStart w:id="366" w:name="_Toc23081"/>
      <w:bookmarkStart w:id="367" w:name="_Toc359"/>
      <w:bookmarkStart w:id="368" w:name="_Toc6432"/>
      <w:bookmarkStart w:id="369" w:name="_Toc7017"/>
      <w:bookmarkStart w:id="370" w:name="_Toc14039"/>
      <w:bookmarkStart w:id="371" w:name="_Toc18561"/>
      <w:bookmarkStart w:id="372" w:name="_Toc80549774"/>
      <w:bookmarkStart w:id="373" w:name="_Toc23429"/>
      <w:r>
        <w:rPr>
          <w:rFonts w:hint="default" w:ascii="楷体" w:hAnsi="楷体" w:eastAsia="楷体" w:cs="楷体"/>
          <w:sz w:val="28"/>
          <w:szCs w:val="28"/>
          <w:lang w:val="en-US" w:bidi="ar-SA"/>
        </w:rPr>
        <w:t>8.1 宣传</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在法律法规允许的范围内，镇应急指挥部办公室、相关部门组织通过多种媒体和形式，在本镇广泛宣传污染事故应急预案和相关的应急法律法规，组织专家开展环境保护咨询工作，让辖区内人员正确认识如何应对环境污染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各村（社区）、工业集中区、生产经营单位结合实际，负责本村（社区）、本企业突发环境事件的宣传教育。</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企业与所在村（社区）、工业集中区建立互动机制，新闻媒体提供相关支持。</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公布环境污染事故应急预案和报警电话，对公众广泛开展环境保护知识教育，宣传环境污染事故预防、避险、报警、减灾等常识，增强环境污染事故应急能力。</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374" w:name="_Toc16929"/>
      <w:bookmarkStart w:id="375" w:name="_Toc80549874"/>
      <w:bookmarkStart w:id="376" w:name="_Toc11908"/>
      <w:bookmarkStart w:id="377" w:name="_Toc44925711"/>
      <w:bookmarkStart w:id="378" w:name="_Toc2903"/>
      <w:bookmarkStart w:id="379" w:name="_Toc14438"/>
      <w:bookmarkStart w:id="380" w:name="_Toc5150"/>
      <w:bookmarkStart w:id="381" w:name="_Toc13471"/>
      <w:bookmarkStart w:id="382" w:name="_Toc80549775"/>
      <w:bookmarkStart w:id="383" w:name="_Toc25391"/>
      <w:bookmarkStart w:id="384" w:name="_Toc31308"/>
      <w:bookmarkStart w:id="385" w:name="_Toc29645"/>
      <w:bookmarkStart w:id="386" w:name="_Toc32755"/>
      <w:bookmarkStart w:id="387" w:name="_Toc29195"/>
      <w:r>
        <w:rPr>
          <w:rFonts w:hint="default" w:ascii="楷体" w:hAnsi="楷体" w:eastAsia="楷体" w:cs="楷体"/>
          <w:sz w:val="28"/>
          <w:szCs w:val="28"/>
          <w:lang w:val="en-US" w:bidi="ar-SA"/>
        </w:rPr>
        <w:t>8.2 培训</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按照“分级管理”的原则，镇有关部门组织各专业应急机构及救援队伍人员进行上岗前培训和在岗定期复训，镇应急指挥部办公室负责指导。</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应制定应急培训计划，采用各种教学手段和方式，如授课、开展活动等，加强对各有关人员抢险救援的培训，以提高事故应急处理能力。</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有关企事业单位应加强突发环境事件应急培训并如实记录培训情况。</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388" w:name="_Toc30896"/>
      <w:bookmarkStart w:id="389" w:name="_Toc80549776"/>
      <w:bookmarkStart w:id="390" w:name="_Toc14880"/>
      <w:bookmarkStart w:id="391" w:name="_Toc28909"/>
      <w:bookmarkStart w:id="392" w:name="_Toc5312"/>
      <w:bookmarkStart w:id="393" w:name="_Toc28539"/>
      <w:bookmarkStart w:id="394" w:name="_Toc44925712"/>
      <w:bookmarkStart w:id="395" w:name="_Toc21265"/>
      <w:bookmarkStart w:id="396" w:name="_Toc19159"/>
      <w:bookmarkStart w:id="397" w:name="_Toc15832"/>
      <w:bookmarkStart w:id="398" w:name="_Toc80549875"/>
      <w:bookmarkStart w:id="399" w:name="_Toc18832"/>
      <w:bookmarkStart w:id="400" w:name="_Toc14725"/>
      <w:bookmarkStart w:id="401" w:name="_Toc5123"/>
      <w:r>
        <w:rPr>
          <w:rFonts w:hint="default" w:ascii="楷体" w:hAnsi="楷体" w:eastAsia="楷体" w:cs="楷体"/>
          <w:sz w:val="28"/>
          <w:szCs w:val="28"/>
          <w:lang w:val="en-US" w:bidi="ar-SA"/>
        </w:rPr>
        <w:t>8.3 应急演练</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镇突发环境事件应急指挥部办公室和镇有关部门负责指导、协调、监督突发环境事件应急救援演练，增强实战能力，提高防范和处置突发环境事件的技能。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各专业应急机构根据自身特点，组织相关应急救援演习，提高协同作战能力，验证应急预案的适用性，并及时修订和完善应急预案，提高应急处置能力。各企事业单位应当根据自身特点，定期组织本单位的应急救援演练。</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突发环境事件应急演练每年至少开展1次，演练完成后进行评估和总结。</w:t>
      </w:r>
    </w:p>
    <w:p>
      <w:pPr>
        <w:spacing w:line="580" w:lineRule="exact"/>
        <w:rPr>
          <w:rFonts w:hint="default" w:ascii="Times New Roman" w:hAnsi="Times New Roman" w:eastAsia="方正仿宋_GB2312" w:cs="Times New Roman"/>
          <w:b/>
          <w:bCs/>
          <w:kern w:val="44"/>
          <w:sz w:val="32"/>
          <w:szCs w:val="32"/>
          <w:lang w:val="en-US" w:bidi="ar-SA"/>
        </w:rPr>
      </w:pPr>
      <w:bookmarkStart w:id="402" w:name="_bookmark55"/>
      <w:bookmarkEnd w:id="402"/>
      <w:bookmarkStart w:id="403" w:name="12__术语和定义"/>
      <w:bookmarkEnd w:id="403"/>
      <w:bookmarkStart w:id="404" w:name="_bookmark47"/>
      <w:bookmarkEnd w:id="404"/>
      <w:bookmarkStart w:id="405" w:name="11__预案管理"/>
      <w:bookmarkEnd w:id="405"/>
      <w:r>
        <w:rPr>
          <w:rFonts w:hint="default" w:ascii="Times New Roman" w:hAnsi="Times New Roman" w:eastAsia="方正仿宋_GB2312" w:cs="Times New Roman"/>
          <w:b/>
          <w:bCs/>
          <w:kern w:val="44"/>
          <w:sz w:val="32"/>
          <w:szCs w:val="32"/>
          <w:lang w:val="en-US" w:bidi="ar-SA"/>
        </w:rPr>
        <w:br w:type="page"/>
      </w:r>
    </w:p>
    <w:p>
      <w:pPr>
        <w:pStyle w:val="4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bidi="ar-SA"/>
        </w:rPr>
      </w:pPr>
      <w:bookmarkStart w:id="406" w:name="_Toc80549777"/>
      <w:bookmarkStart w:id="407" w:name="_Toc80549876"/>
      <w:bookmarkStart w:id="408" w:name="_Toc15730"/>
      <w:bookmarkStart w:id="409" w:name="_Toc26743"/>
      <w:bookmarkStart w:id="410" w:name="_Toc28295"/>
      <w:r>
        <w:rPr>
          <w:rFonts w:hint="default" w:ascii="黑体" w:hAnsi="黑体" w:eastAsia="黑体" w:cs="黑体"/>
          <w:sz w:val="32"/>
          <w:szCs w:val="32"/>
          <w:lang w:val="en-US" w:bidi="ar-SA"/>
        </w:rPr>
        <w:t>9</w:t>
      </w:r>
      <w:r>
        <w:rPr>
          <w:rFonts w:hint="default" w:ascii="黑体" w:hAnsi="黑体" w:eastAsia="黑体" w:cs="黑体"/>
          <w:sz w:val="32"/>
          <w:szCs w:val="32"/>
          <w:lang w:val="en-US" w:eastAsia="zh-CN" w:bidi="ar-SA"/>
        </w:rPr>
        <w:t xml:space="preserve"> 附则</w:t>
      </w:r>
      <w:bookmarkEnd w:id="406"/>
      <w:bookmarkEnd w:id="407"/>
      <w:bookmarkEnd w:id="408"/>
      <w:bookmarkEnd w:id="409"/>
      <w:bookmarkEnd w:id="410"/>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411" w:name="_Toc23177"/>
      <w:bookmarkStart w:id="412" w:name="_Toc80549778"/>
      <w:bookmarkStart w:id="413" w:name="_Toc1778"/>
      <w:bookmarkStart w:id="414" w:name="_Toc30798"/>
      <w:bookmarkStart w:id="415" w:name="_Toc80549877"/>
      <w:bookmarkStart w:id="416" w:name="_Toc31888"/>
      <w:bookmarkStart w:id="417" w:name="_Toc11791"/>
      <w:bookmarkStart w:id="418" w:name="_Toc23040"/>
      <w:bookmarkStart w:id="419" w:name="_Toc7049"/>
      <w:bookmarkStart w:id="420" w:name="_Toc1307"/>
      <w:bookmarkStart w:id="421" w:name="_Toc23216"/>
      <w:bookmarkStart w:id="422" w:name="_Toc44925714"/>
      <w:bookmarkStart w:id="423" w:name="_Toc21624"/>
      <w:bookmarkStart w:id="424" w:name="_Toc7175"/>
      <w:bookmarkStart w:id="425" w:name="_Toc516754457"/>
      <w:r>
        <w:rPr>
          <w:rFonts w:hint="default" w:ascii="楷体" w:hAnsi="楷体" w:eastAsia="楷体" w:cs="楷体"/>
          <w:sz w:val="28"/>
          <w:szCs w:val="28"/>
          <w:lang w:val="en-US" w:bidi="ar-SA"/>
        </w:rPr>
        <w:t>9.1 奖励与责任</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43"/>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2"/>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9.1.1表彰奖励</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在突发环境事件应急处置工作中有下列表现之一的单位和个人，由其所在单位、镇人民政府给予表彰或者奖励：</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（1）出色完成应急处置任务的；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（2）在抢险救援过程中有功，使国家、集体和人民生命财产免受损失或减少损失的；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（3）对应急救援工作提出重大建议，且实施效果显著的；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（4）有其他特殊贡献的。</w:t>
      </w:r>
    </w:p>
    <w:p>
      <w:pPr>
        <w:pStyle w:val="43"/>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2"/>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9.1.2责任追究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在突发环境事件应急处置工作中有下列行为之一的，按照法律、法规及有关规定，对有关责任人员进行行政处分。违反治安管理行为的，由公安机关处罚；构成犯罪的，由司法机关依法追究刑事责任。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（1）不按相关法律法规制定突发环境事件应急预案，未按照应急预案中规定的应急措施开展先期处置的；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（2）不按规定报告、通报事件真实情况，延误处置时机的；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（3）不服从突发环境事件应急指挥部的命令和指挥，在应急响应时临阵脱逃的；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（4）盗窃、挪用、贪污应急救援资金或者物资的；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（5）阻碍应急救援人员依法执行任务或进行破坏活动的；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（6）散布谣言、扰乱社会秩序的；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（7）有其他危害应急救援工作行为的。</w:t>
      </w:r>
      <w:bookmarkEnd w:id="425"/>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426" w:name="_Toc80549878"/>
      <w:bookmarkStart w:id="427" w:name="_Toc80549779"/>
      <w:bookmarkStart w:id="428" w:name="_Toc1089"/>
      <w:bookmarkStart w:id="429" w:name="_Toc18932"/>
      <w:bookmarkStart w:id="430" w:name="_Toc8368"/>
      <w:bookmarkStart w:id="431" w:name="_Toc44925715"/>
      <w:bookmarkStart w:id="432" w:name="_Toc7338"/>
      <w:bookmarkStart w:id="433" w:name="_Toc6059"/>
      <w:bookmarkStart w:id="434" w:name="_Toc30165"/>
      <w:r>
        <w:rPr>
          <w:rFonts w:hint="default" w:ascii="楷体" w:hAnsi="楷体" w:eastAsia="楷体" w:cs="楷体"/>
          <w:sz w:val="28"/>
          <w:szCs w:val="28"/>
          <w:lang w:val="en-US" w:bidi="ar-SA"/>
        </w:rPr>
        <w:t>9.2 预案管理</w:t>
      </w:r>
      <w:bookmarkEnd w:id="426"/>
      <w:bookmarkEnd w:id="427"/>
      <w:bookmarkEnd w:id="428"/>
      <w:bookmarkEnd w:id="429"/>
      <w:bookmarkEnd w:id="430"/>
      <w:bookmarkEnd w:id="431"/>
      <w:bookmarkEnd w:id="432"/>
      <w:bookmarkEnd w:id="433"/>
      <w:bookmarkEnd w:id="434"/>
    </w:p>
    <w:p>
      <w:pPr>
        <w:pStyle w:val="43"/>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2"/>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9.2.1预案解释</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本预案由镇突发环境事件应急指挥部办公室负责制定、解释和管理。</w:t>
      </w:r>
      <w:bookmarkStart w:id="435" w:name="_Toc516754460"/>
      <w:bookmarkStart w:id="436" w:name="_Toc19841"/>
      <w:bookmarkStart w:id="437" w:name="_Toc20360"/>
      <w:bookmarkStart w:id="438" w:name="_Toc7445"/>
      <w:bookmarkStart w:id="439" w:name="_Toc1348"/>
      <w:bookmarkStart w:id="440" w:name="_Toc20796"/>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各生产经营单位及相关部门应根据本预案，制定相应的应急预案。</w:t>
      </w:r>
    </w:p>
    <w:p>
      <w:pPr>
        <w:pStyle w:val="43"/>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2"/>
        <w:rPr>
          <w:rFonts w:hint="default" w:ascii="Times New Roman" w:hAnsi="Times New Roman" w:eastAsia="宋体" w:cs="Times New Roman"/>
          <w:b/>
          <w:bCs/>
          <w:kern w:val="0"/>
          <w:sz w:val="28"/>
          <w:szCs w:val="32"/>
          <w:lang w:val="en-US" w:eastAsia="zh-CN" w:bidi="ar-SA"/>
        </w:rPr>
      </w:pPr>
      <w:bookmarkStart w:id="441" w:name="_Toc28750"/>
      <w:bookmarkStart w:id="442" w:name="_Toc44925716"/>
      <w:bookmarkStart w:id="443" w:name="_Toc23304"/>
      <w:bookmarkStart w:id="444" w:name="_Toc15736"/>
      <w:bookmarkStart w:id="445" w:name="_Toc30723"/>
      <w:r>
        <w:rPr>
          <w:rFonts w:hint="default" w:ascii="Times New Roman" w:hAnsi="Times New Roman" w:eastAsia="宋体" w:cs="Times New Roman"/>
          <w:b/>
          <w:bCs/>
          <w:kern w:val="0"/>
          <w:sz w:val="28"/>
          <w:szCs w:val="32"/>
          <w:lang w:val="en-US" w:eastAsia="zh-CN" w:bidi="ar-SA"/>
        </w:rPr>
        <w:t>9.2.2预案修订</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镇突发环境事件应急指挥部办公室根据实际情况的变化，及时组织修订本预案，报镇人民政府审批。</w:t>
      </w:r>
    </w:p>
    <w:p>
      <w:pPr>
        <w:pStyle w:val="43"/>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2"/>
        <w:rPr>
          <w:rFonts w:hint="default" w:ascii="Times New Roman" w:hAnsi="Times New Roman" w:eastAsia="宋体" w:cs="Times New Roman"/>
          <w:b/>
          <w:bCs/>
          <w:kern w:val="0"/>
          <w:sz w:val="28"/>
          <w:szCs w:val="32"/>
          <w:lang w:val="en-US" w:eastAsia="zh-CN" w:bidi="ar-SA"/>
        </w:rPr>
      </w:pPr>
      <w:r>
        <w:rPr>
          <w:rFonts w:hint="default" w:ascii="Times New Roman" w:hAnsi="Times New Roman" w:eastAsia="宋体" w:cs="Times New Roman"/>
          <w:b/>
          <w:bCs/>
          <w:kern w:val="0"/>
          <w:sz w:val="28"/>
          <w:szCs w:val="32"/>
          <w:lang w:val="en-US" w:eastAsia="zh-CN" w:bidi="ar-SA"/>
        </w:rPr>
        <w:t>9.2.3预案实施</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本预案由镇突发环境事件应急指挥部办公室组织实施。</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bidi="ar-SA"/>
        </w:rPr>
      </w:pPr>
      <w:bookmarkStart w:id="446" w:name="_Toc27486"/>
      <w:bookmarkStart w:id="447" w:name="_Toc80549780"/>
      <w:bookmarkStart w:id="448" w:name="_Toc80549879"/>
      <w:bookmarkStart w:id="449" w:name="_Toc31684"/>
      <w:r>
        <w:rPr>
          <w:rFonts w:hint="default" w:ascii="楷体" w:hAnsi="楷体" w:eastAsia="楷体" w:cs="楷体"/>
          <w:sz w:val="28"/>
          <w:szCs w:val="28"/>
          <w:lang w:val="en-US" w:bidi="ar-SA"/>
        </w:rPr>
        <w:t>9.3 预案实施</w:t>
      </w:r>
      <w:bookmarkEnd w:id="435"/>
      <w:r>
        <w:rPr>
          <w:rFonts w:hint="default" w:ascii="楷体" w:hAnsi="楷体" w:eastAsia="楷体" w:cs="楷体"/>
          <w:sz w:val="28"/>
          <w:szCs w:val="28"/>
          <w:lang w:val="en-US" w:bidi="ar-SA"/>
        </w:rPr>
        <w:t>时间</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Times New Roman" w:hAnsi="Times New Roman" w:eastAsia="宋体" w:cs="Times New Roman"/>
          <w:bCs/>
          <w:kern w:val="2"/>
          <w:sz w:val="28"/>
          <w:szCs w:val="32"/>
          <w:lang w:val="en-US" w:bidi="ar-SA"/>
        </w:rPr>
      </w:pPr>
      <w:r>
        <w:rPr>
          <w:rFonts w:hint="default" w:ascii="Times New Roman" w:hAnsi="Times New Roman" w:eastAsia="宋体" w:cs="Times New Roman"/>
          <w:bCs/>
          <w:kern w:val="2"/>
          <w:sz w:val="28"/>
          <w:szCs w:val="32"/>
          <w:lang w:val="en-US" w:bidi="ar-SA"/>
        </w:rPr>
        <w:t>本预案自发布之日起施行，有效期3年。</w:t>
      </w:r>
    </w:p>
    <w:p>
      <w:pPr>
        <w:rPr>
          <w:rFonts w:hint="default" w:ascii="Times New Roman" w:hAnsi="Times New Roman" w:eastAsia="方正仿宋_GB2312" w:cs="Times New Roman"/>
          <w:lang w:val="en-US" w:eastAsia="zh-CN"/>
        </w:rPr>
      </w:pPr>
      <w:r>
        <w:rPr>
          <w:rFonts w:hint="default" w:ascii="Times New Roman" w:hAnsi="Times New Roman" w:eastAsia="方正仿宋_GB2312" w:cs="Times New Roman"/>
          <w:lang w:val="en-US" w:eastAsia="zh-CN"/>
        </w:rPr>
        <w:br w:type="page"/>
      </w:r>
    </w:p>
    <w:p>
      <w:pPr>
        <w:pStyle w:val="41"/>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eastAsia="zh-CN" w:bidi="ar-SA"/>
        </w:rPr>
      </w:pPr>
      <w:r>
        <w:rPr>
          <w:rFonts w:hint="default" w:ascii="黑体" w:hAnsi="黑体" w:eastAsia="黑体" w:cs="黑体"/>
          <w:sz w:val="32"/>
          <w:szCs w:val="32"/>
          <w:lang w:val="en-US" w:eastAsia="zh-CN" w:bidi="ar-SA"/>
        </w:rPr>
        <w:t>10 附件</w:t>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eastAsia="zh-CN" w:bidi="ar-SA"/>
        </w:rPr>
      </w:pPr>
      <w:r>
        <w:rPr>
          <w:rFonts w:hint="eastAsia" w:ascii="楷体" w:hAnsi="楷体" w:eastAsia="楷体" w:cs="楷体"/>
          <w:sz w:val="28"/>
          <w:szCs w:val="28"/>
          <w:lang w:val="en-US" w:eastAsia="zh-CN" w:bidi="ar-SA"/>
        </w:rPr>
        <w:t>10.1应急响应流程图</w:t>
      </w:r>
    </w:p>
    <w:p>
      <w:pPr>
        <w:pStyle w:val="9"/>
        <w:spacing w:line="580" w:lineRule="exact"/>
        <w:ind w:left="0" w:leftChars="0" w:firstLine="0" w:firstLineChars="0"/>
        <w:rPr>
          <w:rFonts w:hint="default" w:ascii="Times New Roman" w:hAnsi="Times New Roman" w:eastAsia="方正仿宋_GB2312" w:cs="Times New Roman"/>
          <w:sz w:val="32"/>
          <w:szCs w:val="32"/>
          <w:lang w:val="en-US" w:eastAsia="zh-CN"/>
        </w:rPr>
      </w:pPr>
    </w:p>
    <w:p>
      <w:pPr>
        <w:pStyle w:val="9"/>
      </w:pPr>
    </w:p>
    <w:p>
      <w:r>
        <w:drawing>
          <wp:anchor distT="0" distB="0" distL="0" distR="0" simplePos="0" relativeHeight="251661312" behindDoc="0" locked="0" layoutInCell="1" allowOverlap="1">
            <wp:simplePos x="0" y="0"/>
            <wp:positionH relativeFrom="column">
              <wp:posOffset>-249555</wp:posOffset>
            </wp:positionH>
            <wp:positionV relativeFrom="paragraph">
              <wp:posOffset>318770</wp:posOffset>
            </wp:positionV>
            <wp:extent cx="6253480" cy="5408930"/>
            <wp:effectExtent l="0" t="0" r="7620" b="127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253480" cy="5408930"/>
                    </a:xfrm>
                    <a:prstGeom prst="rect">
                      <a:avLst/>
                    </a:prstGeom>
                    <a:noFill/>
                    <a:ln>
                      <a:noFill/>
                    </a:ln>
                  </pic:spPr>
                </pic:pic>
              </a:graphicData>
            </a:graphic>
          </wp:anchor>
        </w:drawing>
      </w:r>
      <w:r>
        <w:br w:type="page"/>
      </w:r>
    </w:p>
    <w:p>
      <w:pPr>
        <w:pStyle w:val="42"/>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eastAsia="zh-CN" w:bidi="ar-SA"/>
        </w:rPr>
      </w:pPr>
      <w:r>
        <w:rPr>
          <w:rFonts w:hint="eastAsia" w:ascii="楷体" w:hAnsi="楷体" w:eastAsia="楷体" w:cs="楷体"/>
          <w:sz w:val="28"/>
          <w:szCs w:val="28"/>
          <w:lang w:val="en-US" w:eastAsia="zh-CN" w:bidi="ar-SA"/>
        </w:rPr>
        <w:t>10.2总河长、副总河长名单</w:t>
      </w:r>
    </w:p>
    <w:p>
      <w:pPr>
        <w:pStyle w:val="9"/>
        <w:spacing w:line="580" w:lineRule="exact"/>
        <w:ind w:left="0" w:leftChars="0" w:firstLine="0" w:firstLineChars="0"/>
        <w:rPr>
          <w:rFonts w:hint="eastAsia" w:ascii="Times New Roman" w:hAnsi="Times New Roman" w:eastAsia="方正仿宋_GB2312" w:cs="Times New Roman"/>
          <w:sz w:val="32"/>
          <w:szCs w:val="32"/>
          <w:lang w:val="en-US" w:eastAsia="zh-CN"/>
        </w:rPr>
      </w:pPr>
    </w:p>
    <w:p>
      <w:pPr>
        <w:pStyle w:val="9"/>
        <w:spacing w:line="580" w:lineRule="exact"/>
        <w:ind w:left="0" w:leftChars="0" w:firstLine="0" w:firstLineChars="0"/>
        <w:rPr>
          <w:rFonts w:hint="eastAsia" w:ascii="Times New Roman" w:hAnsi="Times New Roman" w:eastAsia="方正仿宋_GB2312" w:cs="Times New Roman"/>
          <w:sz w:val="32"/>
          <w:szCs w:val="32"/>
          <w:lang w:val="en-US" w:eastAsia="zh-CN"/>
        </w:rPr>
      </w:pPr>
    </w:p>
    <w:tbl>
      <w:tblPr>
        <w:tblStyle w:val="24"/>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175"/>
        <w:gridCol w:w="1438"/>
        <w:gridCol w:w="2138"/>
        <w:gridCol w:w="1763"/>
        <w:gridCol w:w="2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1130"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岗位</w:t>
            </w:r>
          </w:p>
        </w:tc>
        <w:tc>
          <w:tcPr>
            <w:tcW w:w="747"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姓名</w:t>
            </w:r>
          </w:p>
        </w:tc>
        <w:tc>
          <w:tcPr>
            <w:tcW w:w="1111"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职务</w:t>
            </w:r>
          </w:p>
        </w:tc>
        <w:tc>
          <w:tcPr>
            <w:tcW w:w="916"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办公电话</w:t>
            </w:r>
          </w:p>
        </w:tc>
        <w:tc>
          <w:tcPr>
            <w:tcW w:w="1093"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手机号码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1130"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第一总河长</w:t>
            </w:r>
          </w:p>
        </w:tc>
        <w:tc>
          <w:tcPr>
            <w:tcW w:w="747"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盛海峰</w:t>
            </w:r>
          </w:p>
        </w:tc>
        <w:tc>
          <w:tcPr>
            <w:tcW w:w="1111"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镇党委书记</w:t>
            </w:r>
          </w:p>
        </w:tc>
        <w:tc>
          <w:tcPr>
            <w:tcW w:w="916"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53573635</w:t>
            </w:r>
          </w:p>
        </w:tc>
        <w:tc>
          <w:tcPr>
            <w:tcW w:w="1093"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13962622218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jc w:val="center"/>
        </w:trPr>
        <w:tc>
          <w:tcPr>
            <w:tcW w:w="1130"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总 河 长</w:t>
            </w:r>
          </w:p>
        </w:tc>
        <w:tc>
          <w:tcPr>
            <w:tcW w:w="747"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顾</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强</w:t>
            </w:r>
          </w:p>
        </w:tc>
        <w:tc>
          <w:tcPr>
            <w:tcW w:w="1111"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镇党委副书记、镇长</w:t>
            </w:r>
          </w:p>
        </w:tc>
        <w:tc>
          <w:tcPr>
            <w:tcW w:w="916"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53571806</w:t>
            </w:r>
          </w:p>
        </w:tc>
        <w:tc>
          <w:tcPr>
            <w:tcW w:w="1093"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13862385268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1130"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副总河长</w:t>
            </w:r>
          </w:p>
        </w:tc>
        <w:tc>
          <w:tcPr>
            <w:tcW w:w="747"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钱敏芳</w:t>
            </w:r>
          </w:p>
        </w:tc>
        <w:tc>
          <w:tcPr>
            <w:tcW w:w="1111"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镇党委副书记</w:t>
            </w:r>
          </w:p>
        </w:tc>
        <w:tc>
          <w:tcPr>
            <w:tcW w:w="916"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53576205</w:t>
            </w:r>
          </w:p>
        </w:tc>
        <w:tc>
          <w:tcPr>
            <w:tcW w:w="1093"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13962623862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1130"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副总河长</w:t>
            </w:r>
          </w:p>
        </w:tc>
        <w:tc>
          <w:tcPr>
            <w:tcW w:w="747"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王</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益</w:t>
            </w:r>
          </w:p>
        </w:tc>
        <w:tc>
          <w:tcPr>
            <w:tcW w:w="1111"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镇党委副书记</w:t>
            </w:r>
          </w:p>
        </w:tc>
        <w:tc>
          <w:tcPr>
            <w:tcW w:w="916"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53576203</w:t>
            </w:r>
          </w:p>
        </w:tc>
        <w:tc>
          <w:tcPr>
            <w:tcW w:w="1093"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13913774287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0" w:hRule="atLeast"/>
          <w:jc w:val="center"/>
        </w:trPr>
        <w:tc>
          <w:tcPr>
            <w:tcW w:w="1130"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副总河长</w:t>
            </w:r>
          </w:p>
        </w:tc>
        <w:tc>
          <w:tcPr>
            <w:tcW w:w="747"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李俊杰</w:t>
            </w:r>
          </w:p>
        </w:tc>
        <w:tc>
          <w:tcPr>
            <w:tcW w:w="1111"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城厢镇副镇长</w:t>
            </w:r>
          </w:p>
        </w:tc>
        <w:tc>
          <w:tcPr>
            <w:tcW w:w="916"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53576205</w:t>
            </w:r>
          </w:p>
        </w:tc>
        <w:tc>
          <w:tcPr>
            <w:tcW w:w="1093" w:type="pc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13812913892</w:t>
            </w:r>
          </w:p>
        </w:tc>
      </w:tr>
    </w:tbl>
    <w:p>
      <w:pPr>
        <w:widowControl w:val="0"/>
        <w:autoSpaceDE w:val="0"/>
        <w:autoSpaceDN w:val="0"/>
        <w:spacing w:before="7" w:after="1" w:line="240" w:lineRule="auto"/>
        <w:ind w:left="0" w:right="0"/>
        <w:jc w:val="left"/>
        <w:rPr>
          <w:rFonts w:ascii="黑体" w:hAnsi="宋体" w:eastAsia="宋体" w:cs="宋体"/>
          <w:sz w:val="23"/>
          <w:szCs w:val="32"/>
          <w:lang w:val="zh-CN" w:eastAsia="zh-CN" w:bidi="zh-CN"/>
        </w:rPr>
        <w:sectPr>
          <w:headerReference r:id="rId6" w:type="default"/>
          <w:footerReference r:id="rId7" w:type="default"/>
          <w:pgSz w:w="11910" w:h="16840"/>
          <w:pgMar w:top="440" w:right="1200" w:bottom="780" w:left="1100" w:header="0" w:footer="1001" w:gutter="0"/>
          <w:pgNumType w:fmt="numberInDash" w:start="1"/>
          <w:cols w:space="720" w:num="1"/>
        </w:sectPr>
      </w:pPr>
    </w:p>
    <w:p>
      <w:pPr>
        <w:rPr>
          <w:rFonts w:hint="eastAsia" w:ascii="Times New Roman" w:hAnsi="Times New Roman" w:eastAsia="方正仿宋_GB2312" w:cs="Times New Roman"/>
          <w:sz w:val="32"/>
          <w:szCs w:val="32"/>
          <w:lang w:val="en-US" w:eastAsia="zh-CN"/>
        </w:rPr>
      </w:pPr>
    </w:p>
    <w:p>
      <w:pPr>
        <w:pStyle w:val="9"/>
        <w:spacing w:line="580" w:lineRule="exact"/>
        <w:ind w:left="0" w:leftChars="0" w:firstLine="0" w:firstLineChars="0"/>
        <w:jc w:val="center"/>
        <w:rPr>
          <w:rFonts w:hint="eastAsia" w:ascii="Times New Roman" w:hAnsi="Times New Roman" w:eastAsia="方正仿宋_GB2312" w:cs="Times New Roman"/>
          <w:sz w:val="32"/>
          <w:szCs w:val="32"/>
          <w:lang w:val="en-US" w:eastAsia="zh-CN"/>
        </w:rPr>
      </w:pPr>
    </w:p>
    <w:p>
      <w:pPr>
        <w:pStyle w:val="9"/>
        <w:spacing w:line="580" w:lineRule="exact"/>
        <w:ind w:left="0" w:leftChars="0" w:firstLine="0" w:firstLineChars="0"/>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市级及以上河道河长及河长助理单位名单</w:t>
      </w:r>
    </w:p>
    <w:tbl>
      <w:tblPr>
        <w:tblStyle w:val="24"/>
        <w:tblpPr w:leftFromText="180" w:rightFromText="180" w:vertAnchor="text" w:horzAnchor="page" w:tblpX="1102" w:tblpY="513"/>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2439"/>
        <w:gridCol w:w="906"/>
        <w:gridCol w:w="1446"/>
        <w:gridCol w:w="1839"/>
        <w:gridCol w:w="1967"/>
        <w:gridCol w:w="900"/>
        <w:gridCol w:w="1033"/>
        <w:gridCol w:w="1500"/>
        <w:gridCol w:w="1400"/>
        <w:gridCol w:w="14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序号</w:t>
            </w:r>
          </w:p>
        </w:tc>
        <w:tc>
          <w:tcPr>
            <w:tcW w:w="2439"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河道名称</w:t>
            </w:r>
          </w:p>
        </w:tc>
        <w:tc>
          <w:tcPr>
            <w:tcW w:w="906"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河道等级</w:t>
            </w:r>
          </w:p>
        </w:tc>
        <w:tc>
          <w:tcPr>
            <w:tcW w:w="1446"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河道编码</w:t>
            </w:r>
          </w:p>
        </w:tc>
        <w:tc>
          <w:tcPr>
            <w:tcW w:w="3806" w:type="dxa"/>
            <w:gridSpan w:val="2"/>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起讫位置</w:t>
            </w:r>
          </w:p>
        </w:tc>
        <w:tc>
          <w:tcPr>
            <w:tcW w:w="900"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长度</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（Km</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p>
        </w:tc>
        <w:tc>
          <w:tcPr>
            <w:tcW w:w="1033"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河长</w:t>
            </w:r>
          </w:p>
        </w:tc>
        <w:tc>
          <w:tcPr>
            <w:tcW w:w="1500"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手机号码</w:t>
            </w:r>
          </w:p>
        </w:tc>
        <w:tc>
          <w:tcPr>
            <w:tcW w:w="1400"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河长助理单位</w:t>
            </w:r>
          </w:p>
        </w:tc>
        <w:tc>
          <w:tcPr>
            <w:tcW w:w="1414"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540"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2439"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906"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446"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起点</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讫点</w:t>
            </w:r>
          </w:p>
        </w:tc>
        <w:tc>
          <w:tcPr>
            <w:tcW w:w="900"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033"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500"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400"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414"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浏河塘(娄江-浏河)</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区域性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TCH020001</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昆山交界</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太平路桥</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5.6</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顾</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强</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13862385268</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建设局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杨林塘</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区域性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TCH020002</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十八港</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5.7</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钱敏芳</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13962623862</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建设局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区域性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TCH020005</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杨林塘</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新浏河</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9.7</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王</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益</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13913774287</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经济发展局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半泾河</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市级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TCH030015</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沙溪交界</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苏昆太高速</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4.1</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钱敏芳</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13771786474</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建设局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吴塘河</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市</w:t>
            </w:r>
            <w:r>
              <w:rPr>
                <w:rFonts w:hint="eastAsia" w:ascii="宋体" w:hAnsi="宋体" w:eastAsia="宋体" w:cs="宋体"/>
                <w:color w:val="auto"/>
                <w:kern w:val="0"/>
                <w:sz w:val="21"/>
                <w:szCs w:val="21"/>
                <w:highlight w:val="none"/>
                <w:lang w:val="en-US" w:eastAsia="zh-CN" w:bidi="ar-SA"/>
              </w:rPr>
              <w:t>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TCH030016</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339 省道</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上海交界</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11.86</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叶</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强</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13812913892</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樊泾河*</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TCH040024</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相公河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致和塘</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王文雷</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13776181919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社会治理和</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社会事业局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城区河道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致和塘（中段）*</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TCH040029</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太平路桥</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李俊杰</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13812913892</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建设局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城区河道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致和塘（西段）*</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TCH040029</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西城河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0.89</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李俊杰</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13812913892</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建设局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城区河道</w:t>
            </w:r>
          </w:p>
        </w:tc>
      </w:tr>
    </w:tbl>
    <w:p>
      <w:pPr>
        <w:pStyle w:val="9"/>
        <w:ind w:left="0" w:leftChars="0" w:firstLine="0" w:firstLineChars="0"/>
        <w:rPr>
          <w:rFonts w:hint="default"/>
        </w:rPr>
      </w:pPr>
    </w:p>
    <w:p>
      <w:pPr>
        <w:pStyle w:val="3"/>
        <w:spacing w:before="424" w:after="56"/>
        <w:rPr>
          <w:sz w:val="22"/>
        </w:rPr>
      </w:pPr>
      <w:r>
        <w:rPr>
          <w:rFonts w:ascii="Times New Roman" w:eastAsia="Times New Roman"/>
          <w:spacing w:val="-3"/>
          <w:sz w:val="22"/>
        </w:rPr>
        <w:t>*</w:t>
      </w:r>
      <w:r>
        <w:rPr>
          <w:sz w:val="22"/>
        </w:rPr>
        <w:t>既</w:t>
      </w:r>
      <w:r>
        <w:rPr>
          <w:spacing w:val="-3"/>
          <w:sz w:val="22"/>
        </w:rPr>
        <w:t>是</w:t>
      </w:r>
      <w:r>
        <w:rPr>
          <w:sz w:val="22"/>
        </w:rPr>
        <w:t>市级</w:t>
      </w:r>
      <w:r>
        <w:rPr>
          <w:spacing w:val="-3"/>
          <w:sz w:val="22"/>
        </w:rPr>
        <w:t>河</w:t>
      </w:r>
      <w:r>
        <w:rPr>
          <w:sz w:val="22"/>
        </w:rPr>
        <w:t>道又</w:t>
      </w:r>
      <w:r>
        <w:rPr>
          <w:spacing w:val="-3"/>
          <w:sz w:val="22"/>
        </w:rPr>
        <w:t>是</w:t>
      </w:r>
      <w:r>
        <w:rPr>
          <w:sz w:val="22"/>
        </w:rPr>
        <w:t>城区</w:t>
      </w:r>
      <w:r>
        <w:rPr>
          <w:spacing w:val="-3"/>
          <w:sz w:val="22"/>
        </w:rPr>
        <w:t>河</w:t>
      </w:r>
      <w:r>
        <w:rPr>
          <w:sz w:val="22"/>
        </w:rPr>
        <w:t>道</w:t>
      </w:r>
    </w:p>
    <w:p>
      <w:r>
        <w:br w:type="page"/>
      </w:r>
    </w:p>
    <w:p>
      <w:pPr>
        <w:pStyle w:val="3"/>
        <w:spacing w:before="424" w:after="56"/>
        <w:jc w:val="center"/>
      </w:pPr>
      <w:r>
        <mc:AlternateContent>
          <mc:Choice Requires="wps">
            <w:drawing>
              <wp:anchor distT="0" distB="0" distL="114300" distR="114300" simplePos="0" relativeHeight="251660288" behindDoc="1" locked="0" layoutInCell="1" allowOverlap="1">
                <wp:simplePos x="0" y="0"/>
                <wp:positionH relativeFrom="page">
                  <wp:posOffset>6941185</wp:posOffset>
                </wp:positionH>
                <wp:positionV relativeFrom="page">
                  <wp:posOffset>4187190</wp:posOffset>
                </wp:positionV>
                <wp:extent cx="652780" cy="399415"/>
                <wp:effectExtent l="0" t="0" r="7620" b="6985"/>
                <wp:wrapNone/>
                <wp:docPr id="1" name="矩形 1"/>
                <wp:cNvGraphicFramePr/>
                <a:graphic xmlns:a="http://schemas.openxmlformats.org/drawingml/2006/main">
                  <a:graphicData uri="http://schemas.microsoft.com/office/word/2010/wordprocessingShape">
                    <wps:wsp>
                      <wps:cNvSpPr/>
                      <wps:spPr>
                        <a:xfrm>
                          <a:off x="0" y="0"/>
                          <a:ext cx="652780" cy="399415"/>
                        </a:xfrm>
                        <a:prstGeom prst="rect">
                          <a:avLst/>
                        </a:prstGeom>
                        <a:solidFill>
                          <a:srgbClr val="FFFFFF"/>
                        </a:solidFill>
                        <a:ln>
                          <a:noFill/>
                        </a:ln>
                      </wps:spPr>
                      <wps:bodyPr upright="1"/>
                    </wps:wsp>
                  </a:graphicData>
                </a:graphic>
              </wp:anchor>
            </w:drawing>
          </mc:Choice>
          <mc:Fallback>
            <w:pict>
              <v:rect id="_x0000_s1026" o:spid="_x0000_s1026" o:spt="1" style="position:absolute;left:0pt;margin-left:546.55pt;margin-top:329.7pt;height:31.45pt;width:51.4pt;mso-position-horizontal-relative:page;mso-position-vertical-relative:page;z-index:-251656192;mso-width-relative:page;mso-height-relative:page;" fillcolor="#FFFFFF" filled="t" stroked="f" coordsize="21600,21600" o:gfxdata="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KsF&#10;hf7ZAAAADQEAAA8AAAAAAAAAAQAgAAAAIgAAAGRycy9kb3ducmV2LnhtbFBLAQIUABQAAAAIAIdO&#10;4kDD57GtsAEAAF4DAAAOAAAAAAAAAAEAIAAAACgBAABkcnMvZTJvRG9jLnhtbFBLBQYAAAAABgAG&#10;AFkBAABKBQAAAAA=&#10;">
                <v:fill on="t" focussize="0,0"/>
                <v:stroke on="f"/>
                <v:imagedata o:title=""/>
                <o:lock v:ext="edit" aspectratio="f"/>
              </v:rect>
            </w:pict>
          </mc:Fallback>
        </mc:AlternateContent>
      </w:r>
      <w:r>
        <w:t>城厢镇镇级河道河长及河长助理单位名单</w:t>
      </w:r>
    </w:p>
    <w:tbl>
      <w:tblPr>
        <w:tblStyle w:val="24"/>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2439"/>
        <w:gridCol w:w="906"/>
        <w:gridCol w:w="1446"/>
        <w:gridCol w:w="1839"/>
        <w:gridCol w:w="1967"/>
        <w:gridCol w:w="900"/>
        <w:gridCol w:w="1033"/>
        <w:gridCol w:w="1500"/>
        <w:gridCol w:w="1400"/>
        <w:gridCol w:w="14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序</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号</w:t>
            </w:r>
          </w:p>
        </w:tc>
        <w:tc>
          <w:tcPr>
            <w:tcW w:w="2439"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河道名称</w:t>
            </w:r>
          </w:p>
        </w:tc>
        <w:tc>
          <w:tcPr>
            <w:tcW w:w="906"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河道</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等级</w:t>
            </w:r>
          </w:p>
        </w:tc>
        <w:tc>
          <w:tcPr>
            <w:tcW w:w="1446"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河道编码</w:t>
            </w:r>
          </w:p>
        </w:tc>
        <w:tc>
          <w:tcPr>
            <w:tcW w:w="3806" w:type="dxa"/>
            <w:gridSpan w:val="2"/>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起讫位置</w:t>
            </w:r>
          </w:p>
        </w:tc>
        <w:tc>
          <w:tcPr>
            <w:tcW w:w="900"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长度</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（Km）</w:t>
            </w:r>
          </w:p>
        </w:tc>
        <w:tc>
          <w:tcPr>
            <w:tcW w:w="1033"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河长</w:t>
            </w:r>
          </w:p>
        </w:tc>
        <w:tc>
          <w:tcPr>
            <w:tcW w:w="1500"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手机号码</w:t>
            </w:r>
          </w:p>
        </w:tc>
        <w:tc>
          <w:tcPr>
            <w:tcW w:w="1400"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河长助理单</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位</w:t>
            </w:r>
          </w:p>
        </w:tc>
        <w:tc>
          <w:tcPr>
            <w:tcW w:w="1414"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2439"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906"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446"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起点</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讫点</w:t>
            </w:r>
          </w:p>
        </w:tc>
        <w:tc>
          <w:tcPr>
            <w:tcW w:w="900"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033"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500"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400"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414"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中心河</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TCH040004</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张和泾</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长</w:t>
            </w:r>
            <w:r>
              <w:rPr>
                <w:rFonts w:hint="eastAsia" w:ascii="宋体" w:hAnsi="宋体" w:eastAsia="宋体" w:cs="宋体"/>
                <w:color w:val="auto"/>
                <w:kern w:val="0"/>
                <w:sz w:val="21"/>
                <w:szCs w:val="21"/>
                <w:highlight w:val="none"/>
                <w:lang w:val="en-US" w:eastAsia="zh-CN" w:bidi="ar-SA"/>
              </w:rPr>
              <w:tab/>
            </w:r>
            <w:r>
              <w:rPr>
                <w:rFonts w:hint="eastAsia" w:ascii="宋体" w:hAnsi="宋体" w:eastAsia="宋体" w:cs="宋体"/>
                <w:color w:val="auto"/>
                <w:kern w:val="0"/>
                <w:sz w:val="21"/>
                <w:szCs w:val="21"/>
                <w:highlight w:val="none"/>
                <w:lang w:val="en-US" w:eastAsia="zh-CN" w:bidi="ar-SA"/>
              </w:rPr>
              <w:t>浜</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2.24</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叶</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强</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13913760789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向阳河</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TCH040005</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老浏河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陆华泾</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4.7</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叶</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强</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13913760789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施家泾■</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TCH040027</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吴塘河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伟阳小区</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钱敏芳</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13962623862</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建设局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秦冈门</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TCH040011</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半</w:t>
            </w:r>
            <w:r>
              <w:rPr>
                <w:rFonts w:hint="eastAsia" w:ascii="宋体" w:hAnsi="宋体" w:eastAsia="宋体" w:cs="宋体"/>
                <w:color w:val="auto"/>
                <w:kern w:val="0"/>
                <w:sz w:val="21"/>
                <w:szCs w:val="21"/>
                <w:highlight w:val="none"/>
                <w:lang w:val="en-US" w:eastAsia="zh-CN" w:bidi="ar-SA"/>
              </w:rPr>
              <w:tab/>
            </w:r>
            <w:r>
              <w:rPr>
                <w:rFonts w:hint="eastAsia" w:ascii="宋体" w:hAnsi="宋体" w:eastAsia="宋体" w:cs="宋体"/>
                <w:color w:val="auto"/>
                <w:kern w:val="0"/>
                <w:sz w:val="21"/>
                <w:szCs w:val="21"/>
                <w:highlight w:val="none"/>
                <w:lang w:val="en-US" w:eastAsia="zh-CN" w:bidi="ar-SA"/>
              </w:rPr>
              <w:t>泾</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4.48</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王</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益</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13913774287</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经济发展局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丁江门</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TCH040012</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半</w:t>
            </w:r>
            <w:r>
              <w:rPr>
                <w:rFonts w:hint="eastAsia" w:ascii="宋体" w:hAnsi="宋体" w:eastAsia="宋体" w:cs="宋体"/>
                <w:color w:val="auto"/>
                <w:kern w:val="0"/>
                <w:sz w:val="21"/>
                <w:szCs w:val="21"/>
                <w:highlight w:val="none"/>
                <w:lang w:val="en-US" w:eastAsia="zh-CN" w:bidi="ar-SA"/>
              </w:rPr>
              <w:tab/>
            </w:r>
            <w:r>
              <w:rPr>
                <w:rFonts w:hint="eastAsia" w:ascii="宋体" w:hAnsi="宋体" w:eastAsia="宋体" w:cs="宋体"/>
                <w:color w:val="auto"/>
                <w:kern w:val="0"/>
                <w:sz w:val="21"/>
                <w:szCs w:val="21"/>
                <w:highlight w:val="none"/>
                <w:lang w:val="en-US" w:eastAsia="zh-CN" w:bidi="ar-SA"/>
              </w:rPr>
              <w:t>泾</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2.45</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王</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益</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13913774287</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经济发展局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顾门泾</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TCH040008</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半</w:t>
            </w:r>
            <w:r>
              <w:rPr>
                <w:rFonts w:hint="eastAsia" w:ascii="宋体" w:hAnsi="宋体" w:eastAsia="宋体" w:cs="宋体"/>
                <w:color w:val="auto"/>
                <w:kern w:val="0"/>
                <w:sz w:val="21"/>
                <w:szCs w:val="21"/>
                <w:highlight w:val="none"/>
                <w:lang w:val="en-US" w:eastAsia="zh-CN" w:bidi="ar-SA"/>
              </w:rPr>
              <w:tab/>
            </w:r>
            <w:r>
              <w:rPr>
                <w:rFonts w:hint="eastAsia" w:ascii="宋体" w:hAnsi="宋体" w:eastAsia="宋体" w:cs="宋体"/>
                <w:color w:val="auto"/>
                <w:kern w:val="0"/>
                <w:sz w:val="21"/>
                <w:szCs w:val="21"/>
                <w:highlight w:val="none"/>
                <w:lang w:val="en-US" w:eastAsia="zh-CN" w:bidi="ar-SA"/>
              </w:rPr>
              <w:t>泾</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横沥河</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1.72</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殷</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托</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18862686008</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杜柴塘</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TCH040009</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项七泾</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孔</w:t>
            </w:r>
            <w:r>
              <w:rPr>
                <w:rFonts w:hint="eastAsia" w:ascii="宋体" w:hAnsi="宋体" w:eastAsia="宋体" w:cs="宋体"/>
                <w:color w:val="auto"/>
                <w:kern w:val="0"/>
                <w:sz w:val="21"/>
                <w:szCs w:val="21"/>
                <w:highlight w:val="none"/>
                <w:lang w:val="en-US" w:eastAsia="zh-CN" w:bidi="ar-SA"/>
              </w:rPr>
              <w:tab/>
            </w:r>
            <w:r>
              <w:rPr>
                <w:rFonts w:hint="eastAsia" w:ascii="宋体" w:hAnsi="宋体" w:eastAsia="宋体" w:cs="宋体"/>
                <w:color w:val="auto"/>
                <w:kern w:val="0"/>
                <w:sz w:val="21"/>
                <w:szCs w:val="21"/>
                <w:highlight w:val="none"/>
                <w:lang w:val="en-US" w:eastAsia="zh-CN" w:bidi="ar-SA"/>
              </w:rPr>
              <w:t>泾</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4.26</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殷</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托</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18862686008</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金仓湖</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6152" w:type="dxa"/>
            <w:gridSpan w:val="4"/>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全国水利风景区</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殷</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托</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18862686008</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古塘河（吴塘河以西）</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TCH040014</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双凤交界</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吴塘河</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1.74</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徐</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蓉</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15995650813</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社会治理和</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社会事业局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杨泾河</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TCH040016</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吴塘河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204 国道</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徐</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蓉</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15995650813</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社会治理和</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社会事业局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老浏河</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TCH040015</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吴塘河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向阳河</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1.52</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徐</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蓉</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15995650813</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社会治理和</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社会事业局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张泾</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TCH040018</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吴塘河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赤</w:t>
            </w:r>
            <w:r>
              <w:rPr>
                <w:rFonts w:hint="eastAsia" w:ascii="宋体" w:hAnsi="宋体" w:eastAsia="宋体" w:cs="宋体"/>
                <w:color w:val="auto"/>
                <w:kern w:val="0"/>
                <w:sz w:val="21"/>
                <w:szCs w:val="21"/>
                <w:highlight w:val="none"/>
                <w:lang w:val="en-US" w:eastAsia="zh-CN" w:bidi="ar-SA"/>
              </w:rPr>
              <w:tab/>
            </w:r>
            <w:r>
              <w:rPr>
                <w:rFonts w:hint="eastAsia" w:ascii="宋体" w:hAnsi="宋体" w:eastAsia="宋体" w:cs="宋体"/>
                <w:color w:val="auto"/>
                <w:kern w:val="0"/>
                <w:sz w:val="21"/>
                <w:szCs w:val="21"/>
                <w:highlight w:val="none"/>
                <w:lang w:val="en-US" w:eastAsia="zh-CN" w:bidi="ar-SA"/>
              </w:rPr>
              <w:t>泾</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1.97</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高</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成</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15206227519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黄姑塘</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TCH040017</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吴塘河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204 国道</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1.77</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高</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成</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15206227519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北城河（西段）</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TCH040028</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西城河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0.85</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高</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成</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15206227519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北城河（中段）</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TCH040028</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北城河闸</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高</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成</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15206227519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顾港</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TCH040013</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吴塘河</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1.91</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成</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露</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13771786474</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组织人事和</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社会保障局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赤泾</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TCH040001</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斜</w:t>
            </w:r>
            <w:r>
              <w:rPr>
                <w:rFonts w:hint="eastAsia" w:ascii="宋体" w:hAnsi="宋体" w:eastAsia="宋体" w:cs="宋体"/>
                <w:color w:val="auto"/>
                <w:kern w:val="0"/>
                <w:sz w:val="21"/>
                <w:szCs w:val="21"/>
                <w:highlight w:val="none"/>
                <w:lang w:val="en-US" w:eastAsia="zh-CN" w:bidi="ar-SA"/>
              </w:rPr>
              <w:tab/>
            </w:r>
            <w:r>
              <w:rPr>
                <w:rFonts w:hint="eastAsia" w:ascii="宋体" w:hAnsi="宋体" w:eastAsia="宋体" w:cs="宋体"/>
                <w:color w:val="auto"/>
                <w:kern w:val="0"/>
                <w:sz w:val="21"/>
                <w:szCs w:val="21"/>
                <w:highlight w:val="none"/>
                <w:lang w:val="en-US" w:eastAsia="zh-CN" w:bidi="ar-SA"/>
              </w:rPr>
              <w:t>塘</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牛头泾</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3.52</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成</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露</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13771786474</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组织人事和</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社会保障局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东长春河</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TCH040033</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樊泾河</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0.72</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成</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露</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13771786474</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组织人事和社会保障局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城区河道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横塘</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TCH040002</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张和泾</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丁</w:t>
            </w:r>
            <w:r>
              <w:rPr>
                <w:rFonts w:hint="eastAsia" w:ascii="宋体" w:hAnsi="宋体" w:eastAsia="宋体" w:cs="宋体"/>
                <w:color w:val="auto"/>
                <w:kern w:val="0"/>
                <w:sz w:val="21"/>
                <w:szCs w:val="21"/>
                <w:highlight w:val="none"/>
                <w:lang w:val="en-US" w:eastAsia="zh-CN" w:bidi="ar-SA"/>
              </w:rPr>
              <w:tab/>
            </w:r>
            <w:r>
              <w:rPr>
                <w:rFonts w:hint="eastAsia" w:ascii="宋体" w:hAnsi="宋体" w:eastAsia="宋体" w:cs="宋体"/>
                <w:color w:val="auto"/>
                <w:kern w:val="0"/>
                <w:sz w:val="21"/>
                <w:szCs w:val="21"/>
                <w:highlight w:val="none"/>
                <w:lang w:val="en-US" w:eastAsia="zh-CN" w:bidi="ar-SA"/>
              </w:rPr>
              <w:t>泾</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钱</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宸</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15206227519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古浦</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TCH040003</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吴塘河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上海界</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3.7</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钱</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宸</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15206227519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张和泾</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TCH040019</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吴塘河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赤</w:t>
            </w:r>
            <w:r>
              <w:rPr>
                <w:rFonts w:hint="eastAsia" w:ascii="宋体" w:hAnsi="宋体" w:eastAsia="宋体" w:cs="宋体"/>
                <w:color w:val="auto"/>
                <w:kern w:val="0"/>
                <w:sz w:val="21"/>
                <w:szCs w:val="21"/>
                <w:highlight w:val="none"/>
                <w:lang w:val="en-US" w:eastAsia="zh-CN" w:bidi="ar-SA"/>
              </w:rPr>
              <w:tab/>
            </w:r>
            <w:r>
              <w:rPr>
                <w:rFonts w:hint="eastAsia" w:ascii="宋体" w:hAnsi="宋体" w:eastAsia="宋体" w:cs="宋体"/>
                <w:color w:val="auto"/>
                <w:kern w:val="0"/>
                <w:sz w:val="21"/>
                <w:szCs w:val="21"/>
                <w:highlight w:val="none"/>
                <w:lang w:val="en-US" w:eastAsia="zh-CN" w:bidi="ar-SA"/>
              </w:rPr>
              <w:t>泾</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3.24</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钱</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宸</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15206227519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22</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丁泾</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TCH040020</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昆山界</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小横沥</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3.56</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王</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业</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15862607460</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社会治理和</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社会事业局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23</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沼泾河</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TCH040021</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昆山界</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古</w:t>
            </w:r>
            <w:r>
              <w:rPr>
                <w:rFonts w:hint="eastAsia" w:ascii="宋体" w:hAnsi="宋体" w:eastAsia="宋体" w:cs="宋体"/>
                <w:color w:val="auto"/>
                <w:kern w:val="0"/>
                <w:sz w:val="21"/>
                <w:szCs w:val="21"/>
                <w:highlight w:val="none"/>
                <w:lang w:val="en-US" w:eastAsia="zh-CN" w:bidi="ar-SA"/>
              </w:rPr>
              <w:tab/>
            </w:r>
            <w:r>
              <w:rPr>
                <w:rFonts w:hint="eastAsia" w:ascii="宋体" w:hAnsi="宋体" w:eastAsia="宋体" w:cs="宋体"/>
                <w:color w:val="auto"/>
                <w:kern w:val="0"/>
                <w:sz w:val="21"/>
                <w:szCs w:val="21"/>
                <w:highlight w:val="none"/>
                <w:lang w:val="en-US" w:eastAsia="zh-CN" w:bidi="ar-SA"/>
              </w:rPr>
              <w:t>浦</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1.94</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王</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业</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15862607460</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社会治理和</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社会事业局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24</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洋沙泾■</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TCH040025</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城北河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王</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业</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15862607460</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社会治理和</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社会事业局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城区河道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25</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项七泾</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TCH040006</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杨林塘</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腰</w:t>
            </w:r>
            <w:r>
              <w:rPr>
                <w:rFonts w:hint="eastAsia" w:ascii="宋体" w:hAnsi="宋体" w:eastAsia="宋体" w:cs="宋体"/>
                <w:color w:val="auto"/>
                <w:kern w:val="0"/>
                <w:sz w:val="21"/>
                <w:szCs w:val="21"/>
                <w:highlight w:val="none"/>
                <w:lang w:val="en-US" w:eastAsia="zh-CN" w:bidi="ar-SA"/>
              </w:rPr>
              <w:tab/>
            </w:r>
            <w:r>
              <w:rPr>
                <w:rFonts w:hint="eastAsia" w:ascii="宋体" w:hAnsi="宋体" w:eastAsia="宋体" w:cs="宋体"/>
                <w:color w:val="auto"/>
                <w:kern w:val="0"/>
                <w:sz w:val="21"/>
                <w:szCs w:val="21"/>
                <w:highlight w:val="none"/>
                <w:lang w:val="en-US" w:eastAsia="zh-CN" w:bidi="ar-SA"/>
              </w:rPr>
              <w:t>溇</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寅</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13906226299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26</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仗义泾</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TCH040010</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半</w:t>
            </w:r>
            <w:r>
              <w:rPr>
                <w:rFonts w:hint="eastAsia" w:ascii="宋体" w:hAnsi="宋体" w:eastAsia="宋体" w:cs="宋体"/>
                <w:color w:val="auto"/>
                <w:kern w:val="0"/>
                <w:sz w:val="21"/>
                <w:szCs w:val="21"/>
                <w:highlight w:val="none"/>
                <w:lang w:val="en-US" w:eastAsia="zh-CN" w:bidi="ar-SA"/>
              </w:rPr>
              <w:tab/>
            </w:r>
            <w:r>
              <w:rPr>
                <w:rFonts w:hint="eastAsia" w:ascii="宋体" w:hAnsi="宋体" w:eastAsia="宋体" w:cs="宋体"/>
                <w:color w:val="auto"/>
                <w:kern w:val="0"/>
                <w:sz w:val="21"/>
                <w:szCs w:val="21"/>
                <w:highlight w:val="none"/>
                <w:lang w:val="en-US" w:eastAsia="zh-CN" w:bidi="ar-SA"/>
              </w:rPr>
              <w:t>泾</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3.98</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寅</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13906226299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27</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横沥河</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TCH040007</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顾门泾</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金仓湖</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3.52</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张</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寅</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13906226299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新</w:t>
            </w:r>
            <w:r>
              <w:rPr>
                <w:rFonts w:hint="eastAsia" w:ascii="宋体" w:hAnsi="宋体" w:eastAsia="宋体" w:cs="宋体"/>
                <w:color w:val="auto"/>
                <w:kern w:val="0"/>
                <w:sz w:val="21"/>
                <w:szCs w:val="21"/>
                <w:highlight w:val="none"/>
                <w:lang w:val="en-US" w:eastAsia="zh-CN" w:bidi="ar-SA"/>
              </w:rPr>
              <w:tab/>
            </w:r>
            <w:r>
              <w:rPr>
                <w:rFonts w:hint="eastAsia" w:ascii="宋体" w:hAnsi="宋体" w:eastAsia="宋体" w:cs="宋体"/>
                <w:color w:val="auto"/>
                <w:kern w:val="0"/>
                <w:sz w:val="21"/>
                <w:szCs w:val="21"/>
                <w:highlight w:val="none"/>
                <w:lang w:val="en-US" w:eastAsia="zh-CN" w:bidi="ar-SA"/>
              </w:rPr>
              <w:t>泾■</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TCH040022</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致和塘（西郊段）</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庙前港</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0.5</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陈</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晨</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15206227519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建设局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城区河道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29</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庙前港■</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TCH040030</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吴塘河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致和塘（西郊段）</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0.8</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陈</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晨</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15206227519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建设局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城区河道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古塘河（吴塘河以东）</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TCH040026</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吴塘河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3.2</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陈</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敏</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13915495379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城区河道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31</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西城河</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TCH040023</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北城河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浏河塘</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1.69</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陈</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敏</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13915495379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城区河道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32</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樊泾河*■</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TCH040024</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相公河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致和塘（中段）</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王文雷</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13776181919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社会治理和</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社会事业局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城区河道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33</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致和塘（中段）*</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TCH040029</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太平路桥</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李俊杰</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13812913892</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建设局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城区河道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34</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致和塘（西段）*</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TCH040029</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西城河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0.89</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李俊杰</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13812913892</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建设局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城区河道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35</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池塘河（致和塘西郊段）</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TCH040029</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吴塘河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西城河</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1.25</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李俊杰</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13812913892</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建设局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南长春河■</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镇级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TCH040032</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西城河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长埭南路</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0.4</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李俊杰</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13812913892</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建设局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城区河道</w:t>
            </w:r>
          </w:p>
        </w:tc>
      </w:tr>
    </w:tbl>
    <w:p>
      <w:pPr>
        <w:tabs>
          <w:tab w:val="left" w:pos="8054"/>
          <w:tab w:val="right" w:pos="9937"/>
        </w:tabs>
        <w:spacing w:before="89"/>
        <w:ind w:left="760" w:right="0" w:firstLine="0"/>
        <w:jc w:val="left"/>
        <w:rPr>
          <w:sz w:val="21"/>
        </w:rPr>
      </w:pPr>
      <w:r>
        <w:rPr>
          <w:rFonts w:ascii="Times New Roman" w:hAnsi="Times New Roman" w:eastAsia="Times New Roman"/>
          <w:sz w:val="21"/>
        </w:rPr>
        <w:t>*</w:t>
      </w:r>
      <w:r>
        <w:rPr>
          <w:sz w:val="21"/>
        </w:rPr>
        <w:t>既是市级河道又是镇级河道</w:t>
      </w:r>
      <w:r>
        <w:rPr>
          <w:spacing w:val="-4"/>
          <w:sz w:val="21"/>
        </w:rPr>
        <w:t xml:space="preserve"> </w:t>
      </w:r>
      <w:r>
        <w:rPr>
          <w:sz w:val="21"/>
        </w:rPr>
        <w:t>；</w:t>
      </w:r>
      <w:r>
        <w:rPr>
          <w:rFonts w:ascii="Times New Roman" w:hAnsi="Times New Roman" w:eastAsia="Times New Roman"/>
          <w:sz w:val="21"/>
        </w:rPr>
        <w:t>■</w:t>
      </w:r>
      <w:r>
        <w:rPr>
          <w:sz w:val="21"/>
        </w:rPr>
        <w:t>是治理中的劣</w:t>
      </w:r>
      <w:r>
        <w:rPr>
          <w:spacing w:val="-53"/>
          <w:sz w:val="21"/>
        </w:rPr>
        <w:t xml:space="preserve"> </w:t>
      </w:r>
      <w:r>
        <w:rPr>
          <w:rFonts w:ascii="Times New Roman" w:hAnsi="Times New Roman" w:eastAsia="Times New Roman"/>
          <w:sz w:val="21"/>
        </w:rPr>
        <w:t>V</w:t>
      </w:r>
      <w:r>
        <w:rPr>
          <w:rFonts w:ascii="Times New Roman" w:hAnsi="Times New Roman" w:eastAsia="Times New Roman"/>
          <w:spacing w:val="-3"/>
          <w:sz w:val="21"/>
        </w:rPr>
        <w:t xml:space="preserve"> </w:t>
      </w:r>
      <w:r>
        <w:rPr>
          <w:sz w:val="21"/>
        </w:rPr>
        <w:t>类水体</w:t>
      </w:r>
    </w:p>
    <w:p>
      <w:pPr>
        <w:rPr>
          <w:sz w:val="21"/>
        </w:rPr>
      </w:pPr>
      <w:r>
        <w:rPr>
          <w:sz w:val="21"/>
        </w:rPr>
        <w:br w:type="page"/>
      </w:r>
    </w:p>
    <w:p>
      <w:pPr>
        <w:pStyle w:val="3"/>
        <w:spacing w:before="377"/>
        <w:ind w:left="220" w:right="0"/>
        <w:jc w:val="center"/>
      </w:pPr>
      <w:r>
        <w:t xml:space="preserve">城厢镇部分劣 </w:t>
      </w:r>
      <w:r>
        <w:rPr>
          <w:rFonts w:ascii="Times New Roman" w:eastAsia="Times New Roman"/>
        </w:rPr>
        <w:t xml:space="preserve">V </w:t>
      </w:r>
      <w:r>
        <w:t>类水体河长及河长助理单位名单</w:t>
      </w:r>
    </w:p>
    <w:p>
      <w:pPr>
        <w:pStyle w:val="6"/>
      </w:pPr>
    </w:p>
    <w:p>
      <w:pPr>
        <w:tabs>
          <w:tab w:val="left" w:pos="8054"/>
          <w:tab w:val="right" w:pos="9937"/>
        </w:tabs>
        <w:spacing w:before="89"/>
        <w:ind w:left="760" w:right="0" w:firstLine="0"/>
        <w:jc w:val="left"/>
        <w:rPr>
          <w:sz w:val="21"/>
        </w:rPr>
      </w:pPr>
    </w:p>
    <w:tbl>
      <w:tblPr>
        <w:tblStyle w:val="24"/>
        <w:tblpPr w:leftFromText="180" w:rightFromText="180" w:vertAnchor="text" w:horzAnchor="page" w:tblpX="731" w:tblpY="-3"/>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2439"/>
        <w:gridCol w:w="906"/>
        <w:gridCol w:w="1446"/>
        <w:gridCol w:w="1839"/>
        <w:gridCol w:w="1967"/>
        <w:gridCol w:w="900"/>
        <w:gridCol w:w="1033"/>
        <w:gridCol w:w="1500"/>
        <w:gridCol w:w="1400"/>
        <w:gridCol w:w="14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序号</w:t>
            </w:r>
          </w:p>
        </w:tc>
        <w:tc>
          <w:tcPr>
            <w:tcW w:w="2439"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河道名称</w:t>
            </w:r>
          </w:p>
        </w:tc>
        <w:tc>
          <w:tcPr>
            <w:tcW w:w="906"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河道等级</w:t>
            </w:r>
          </w:p>
        </w:tc>
        <w:tc>
          <w:tcPr>
            <w:tcW w:w="1446"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河道编码</w:t>
            </w:r>
          </w:p>
        </w:tc>
        <w:tc>
          <w:tcPr>
            <w:tcW w:w="3806" w:type="dxa"/>
            <w:gridSpan w:val="2"/>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起讫位置</w:t>
            </w:r>
          </w:p>
        </w:tc>
        <w:tc>
          <w:tcPr>
            <w:tcW w:w="900"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长度</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（Km</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p>
        </w:tc>
        <w:tc>
          <w:tcPr>
            <w:tcW w:w="1033"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河长</w:t>
            </w:r>
          </w:p>
        </w:tc>
        <w:tc>
          <w:tcPr>
            <w:tcW w:w="1500"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手机号码</w:t>
            </w:r>
          </w:p>
        </w:tc>
        <w:tc>
          <w:tcPr>
            <w:tcW w:w="1400"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河长助理单位</w:t>
            </w:r>
          </w:p>
        </w:tc>
        <w:tc>
          <w:tcPr>
            <w:tcW w:w="1414" w:type="dxa"/>
            <w:vMerge w:val="restart"/>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540"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2439"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906"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446"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起点</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讫点</w:t>
            </w:r>
          </w:p>
        </w:tc>
        <w:tc>
          <w:tcPr>
            <w:tcW w:w="900"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033"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500"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400"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414" w:type="dxa"/>
            <w:vMerge w:val="continue"/>
            <w:tcBorders>
              <w:top w:val="nil"/>
            </w:tcBorders>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郭家泾■</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村级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TCH051030</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五洋路</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1.24</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殷</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托</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18862686008</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伟阳社区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西长泾■</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村级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TCH051027</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吴塘河</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1.76</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陈</w:t>
            </w:r>
            <w:r>
              <w:rPr>
                <w:rFonts w:hint="eastAsia"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敏</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13915495379</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综合执法局</w:t>
            </w: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伟阳社区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紫藤门港</w:t>
            </w: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村级</w:t>
            </w: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TCH051026</w:t>
            </w: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五洋路</w:t>
            </w: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盐铁塘</w:t>
            </w: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1.42</w:t>
            </w: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叶利江</w:t>
            </w: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13962617377</w:t>
            </w: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bookmarkStart w:id="450" w:name="_GoBack"/>
            <w:bookmarkEnd w:id="450"/>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伟阳社区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54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24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90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446"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839"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967"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9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033"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5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400"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c>
          <w:tcPr>
            <w:tcW w:w="1414" w:type="dxa"/>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p>
        </w:tc>
      </w:tr>
    </w:tbl>
    <w:p>
      <w:pPr>
        <w:tabs>
          <w:tab w:val="left" w:pos="8054"/>
          <w:tab w:val="right" w:pos="9937"/>
        </w:tabs>
        <w:spacing w:before="89"/>
        <w:ind w:right="0"/>
        <w:jc w:val="left"/>
        <w:rPr>
          <w:rFonts w:ascii="Times New Roman" w:hAnsi="Times New Roman" w:eastAsia="Times New Roman"/>
          <w:sz w:val="21"/>
        </w:rPr>
        <w:sectPr>
          <w:pgSz w:w="16840" w:h="11910" w:orient="landscape"/>
          <w:pgMar w:top="1100" w:right="440" w:bottom="1200" w:left="780" w:header="0" w:footer="1001" w:gutter="0"/>
          <w:pgNumType w:fmt="numberInDash"/>
          <w:cols w:space="720" w:num="1"/>
        </w:sectPr>
      </w:pPr>
    </w:p>
    <w:p>
      <w:pPr>
        <w:bidi w:val="0"/>
        <w:jc w:val="left"/>
        <w:rPr>
          <w:rFonts w:hint="default"/>
          <w:lang w:val="en-US"/>
        </w:rPr>
      </w:pPr>
    </w:p>
    <w:sectPr>
      <w:type w:val="continuous"/>
      <w:pgSz w:w="16838" w:h="11905" w:orient="landscape"/>
      <w:pgMar w:top="1440" w:right="1803" w:bottom="1440" w:left="1803" w:header="1531" w:footer="1270" w:gutter="0"/>
      <w:pgNumType w:fmt="numberInDash"/>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05480DE-711C-4C59-83A1-CC25DD90165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embedRegular r:id="rId2" w:fontKey="{6F7B714D-1322-4430-A4DF-E7E022E761A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黑体"/>
    <w:panose1 w:val="03000509000000000000"/>
    <w:charset w:val="86"/>
    <w:family w:val="script"/>
    <w:pitch w:val="default"/>
    <w:sig w:usb0="00000000" w:usb1="00000000" w:usb2="00000010" w:usb3="00000000" w:csb0="00040000" w:csb1="00000000"/>
  </w:font>
  <w:font w:name="方正仿宋_GB2312">
    <w:panose1 w:val="02000000000000000000"/>
    <w:charset w:val="86"/>
    <w:family w:val="auto"/>
    <w:pitch w:val="default"/>
    <w:sig w:usb0="A00002BF" w:usb1="184F6CFA" w:usb2="00000012" w:usb3="00000000" w:csb0="00040001" w:csb1="00000000"/>
    <w:embedRegular r:id="rId3" w:fontKey="{5FDD220B-4057-4DEB-A352-1CA9E46F1CA5}"/>
  </w:font>
  <w:font w:name="仿宋">
    <w:panose1 w:val="02010609060101010101"/>
    <w:charset w:val="86"/>
    <w:family w:val="auto"/>
    <w:pitch w:val="default"/>
    <w:sig w:usb0="800002BF" w:usb1="38CF7CFA" w:usb2="00000016" w:usb3="00000000" w:csb0="00040001" w:csb1="00000000"/>
    <w:embedRegular r:id="rId4" w:fontKey="{8331A99D-358A-4452-A854-70CD2CB2BF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ind w:left="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ind w:left="0"/>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mc:AlternateContent>
        <mc:Choice Requires="wps">
          <w:drawing>
            <wp:anchor distT="0" distB="0" distL="114300" distR="114300" simplePos="0" relativeHeight="251659264" behindDoc="0" locked="0" layoutInCell="1" allowOverlap="1">
              <wp:simplePos x="0" y="0"/>
              <wp:positionH relativeFrom="margin">
                <wp:posOffset>4812665</wp:posOffset>
              </wp:positionH>
              <wp:positionV relativeFrom="paragraph">
                <wp:posOffset>-41910</wp:posOffset>
              </wp:positionV>
              <wp:extent cx="327025" cy="31242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27025" cy="312420"/>
                      </a:xfrm>
                      <a:prstGeom prst="rect">
                        <a:avLst/>
                      </a:prstGeom>
                      <a:noFill/>
                      <a:ln>
                        <a:noFill/>
                      </a:ln>
                    </wps:spPr>
                    <wps:txbx>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4</w:t>
                          </w:r>
                          <w:r>
                            <w:fldChar w:fldCharType="end"/>
                          </w:r>
                        </w:p>
                      </w:txbxContent>
                    </wps:txbx>
                    <wps:bodyPr lIns="0" tIns="0" rIns="0" bIns="0" upright="1"/>
                  </wps:wsp>
                </a:graphicData>
              </a:graphic>
            </wp:anchor>
          </w:drawing>
        </mc:Choice>
        <mc:Fallback>
          <w:pict>
            <v:shape id="_x0000_s1026" o:spid="_x0000_s1026" o:spt="202" type="#_x0000_t202" style="position:absolute;left:0pt;margin-left:378.95pt;margin-top:-3.3pt;height:24.6pt;width:25.75pt;mso-position-horizontal-relative:margin;z-index:251659264;mso-width-relative:page;mso-height-relative:page;" filled="f" stroked="f" coordsize="21600,21600" o:gfxdata="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v8LAC9kAAAAJAQAADwAAAAAAAAABACAAAAAiAAAAZHJzL2Rvd25yZXYueG1sUEsB&#10;AhQAFAAAAAgAh07iQOo9/SC7AQAAcQMAAA4AAAAAAAAAAQAgAAAAKAEAAGRycy9lMm9Eb2MueG1s&#10;UEsFBgAAAAAGAAYAWQEAAFUFAAAAAA==&#10;">
              <v:fill on="f" focussize="0,0"/>
              <v:stroke on="f"/>
              <v:imagedata o:title=""/>
              <o:lock v:ext="edit" aspectratio="f"/>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C58679"/>
    <w:multiLevelType w:val="singleLevel"/>
    <w:tmpl w:val="4FC58679"/>
    <w:lvl w:ilvl="0" w:tentative="0">
      <w:start w:val="8"/>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00DB0DC9"/>
    <w:rsid w:val="000E25DB"/>
    <w:rsid w:val="0025267B"/>
    <w:rsid w:val="002654BF"/>
    <w:rsid w:val="003726FE"/>
    <w:rsid w:val="004A563F"/>
    <w:rsid w:val="00844CDD"/>
    <w:rsid w:val="0088163D"/>
    <w:rsid w:val="00934722"/>
    <w:rsid w:val="00952DEE"/>
    <w:rsid w:val="00A63C80"/>
    <w:rsid w:val="00C26256"/>
    <w:rsid w:val="00DB0DC9"/>
    <w:rsid w:val="00E762D9"/>
    <w:rsid w:val="00FA1929"/>
    <w:rsid w:val="00FC39A1"/>
    <w:rsid w:val="01242CC9"/>
    <w:rsid w:val="01337332"/>
    <w:rsid w:val="01474F38"/>
    <w:rsid w:val="015710F7"/>
    <w:rsid w:val="0240785D"/>
    <w:rsid w:val="030543DF"/>
    <w:rsid w:val="037C6ABA"/>
    <w:rsid w:val="03AB2E4D"/>
    <w:rsid w:val="03C5166E"/>
    <w:rsid w:val="03CC75D9"/>
    <w:rsid w:val="03F4527E"/>
    <w:rsid w:val="04390E09"/>
    <w:rsid w:val="04523046"/>
    <w:rsid w:val="046A2472"/>
    <w:rsid w:val="04DB4EE9"/>
    <w:rsid w:val="04E50F85"/>
    <w:rsid w:val="050C38B7"/>
    <w:rsid w:val="05105190"/>
    <w:rsid w:val="052811AF"/>
    <w:rsid w:val="056633F3"/>
    <w:rsid w:val="05D55070"/>
    <w:rsid w:val="064F7A5E"/>
    <w:rsid w:val="06F71EB1"/>
    <w:rsid w:val="06FE3A66"/>
    <w:rsid w:val="072167BE"/>
    <w:rsid w:val="079E4719"/>
    <w:rsid w:val="07E305CA"/>
    <w:rsid w:val="07EE4BFD"/>
    <w:rsid w:val="08216368"/>
    <w:rsid w:val="08C74E7C"/>
    <w:rsid w:val="08D37228"/>
    <w:rsid w:val="08D7272D"/>
    <w:rsid w:val="08F56F78"/>
    <w:rsid w:val="093D5179"/>
    <w:rsid w:val="09616641"/>
    <w:rsid w:val="0987720D"/>
    <w:rsid w:val="09B16EAD"/>
    <w:rsid w:val="09C451D9"/>
    <w:rsid w:val="09F83525"/>
    <w:rsid w:val="0A026C22"/>
    <w:rsid w:val="0A6D41C9"/>
    <w:rsid w:val="0AAF62A0"/>
    <w:rsid w:val="0ABA4D12"/>
    <w:rsid w:val="0ADF7246"/>
    <w:rsid w:val="0B1E4631"/>
    <w:rsid w:val="0B557700"/>
    <w:rsid w:val="0B6661C3"/>
    <w:rsid w:val="0BC1632D"/>
    <w:rsid w:val="0C2C5435"/>
    <w:rsid w:val="0C367300"/>
    <w:rsid w:val="0C3D3219"/>
    <w:rsid w:val="0C9A7DB0"/>
    <w:rsid w:val="0CCC10B0"/>
    <w:rsid w:val="0D116490"/>
    <w:rsid w:val="0D6E0EC1"/>
    <w:rsid w:val="0D8B46AF"/>
    <w:rsid w:val="0E3C1AB2"/>
    <w:rsid w:val="0F885EB3"/>
    <w:rsid w:val="0F9B0A77"/>
    <w:rsid w:val="10314AF6"/>
    <w:rsid w:val="104A68B9"/>
    <w:rsid w:val="108848D0"/>
    <w:rsid w:val="109D18C3"/>
    <w:rsid w:val="10DA6A30"/>
    <w:rsid w:val="119B706E"/>
    <w:rsid w:val="11C27636"/>
    <w:rsid w:val="11E375C3"/>
    <w:rsid w:val="11E94218"/>
    <w:rsid w:val="11EA4757"/>
    <w:rsid w:val="121D16D8"/>
    <w:rsid w:val="1229090F"/>
    <w:rsid w:val="125B05C6"/>
    <w:rsid w:val="12895EE1"/>
    <w:rsid w:val="12FE369C"/>
    <w:rsid w:val="130E6B20"/>
    <w:rsid w:val="13805879"/>
    <w:rsid w:val="13CA2533"/>
    <w:rsid w:val="142B2B47"/>
    <w:rsid w:val="148B4BB3"/>
    <w:rsid w:val="1497585C"/>
    <w:rsid w:val="14C04969"/>
    <w:rsid w:val="15512E87"/>
    <w:rsid w:val="15652744"/>
    <w:rsid w:val="15AA53D5"/>
    <w:rsid w:val="16A83A86"/>
    <w:rsid w:val="16B04908"/>
    <w:rsid w:val="16ED6F0C"/>
    <w:rsid w:val="16F21BCA"/>
    <w:rsid w:val="170673F2"/>
    <w:rsid w:val="1740485B"/>
    <w:rsid w:val="174C643E"/>
    <w:rsid w:val="175C12D9"/>
    <w:rsid w:val="175F0C05"/>
    <w:rsid w:val="17744D23"/>
    <w:rsid w:val="178F260F"/>
    <w:rsid w:val="17E861D8"/>
    <w:rsid w:val="17F740F4"/>
    <w:rsid w:val="183B05F4"/>
    <w:rsid w:val="183C1D3E"/>
    <w:rsid w:val="187E31D2"/>
    <w:rsid w:val="189D40F5"/>
    <w:rsid w:val="19260E0B"/>
    <w:rsid w:val="19763600"/>
    <w:rsid w:val="19AF5A77"/>
    <w:rsid w:val="19BB1E08"/>
    <w:rsid w:val="1A1A1773"/>
    <w:rsid w:val="1A292810"/>
    <w:rsid w:val="1A355D86"/>
    <w:rsid w:val="1A7A181A"/>
    <w:rsid w:val="1A835159"/>
    <w:rsid w:val="1A9C3AA2"/>
    <w:rsid w:val="1AB01FED"/>
    <w:rsid w:val="1ADC6DE4"/>
    <w:rsid w:val="1B050412"/>
    <w:rsid w:val="1B267FBB"/>
    <w:rsid w:val="1B5750B5"/>
    <w:rsid w:val="1B834B91"/>
    <w:rsid w:val="1BAA45D2"/>
    <w:rsid w:val="1CB62784"/>
    <w:rsid w:val="1E1D0EC7"/>
    <w:rsid w:val="1EA62E32"/>
    <w:rsid w:val="1F546657"/>
    <w:rsid w:val="1F95570F"/>
    <w:rsid w:val="1FA2092B"/>
    <w:rsid w:val="1FE119E6"/>
    <w:rsid w:val="201707A9"/>
    <w:rsid w:val="202755A1"/>
    <w:rsid w:val="2038495D"/>
    <w:rsid w:val="21776772"/>
    <w:rsid w:val="21D4289B"/>
    <w:rsid w:val="21D71C5A"/>
    <w:rsid w:val="21E470A5"/>
    <w:rsid w:val="21F2532F"/>
    <w:rsid w:val="222919F0"/>
    <w:rsid w:val="225637EA"/>
    <w:rsid w:val="22AD77BB"/>
    <w:rsid w:val="22D34C2A"/>
    <w:rsid w:val="22E03E5F"/>
    <w:rsid w:val="22E942D6"/>
    <w:rsid w:val="231A6B1E"/>
    <w:rsid w:val="2423783E"/>
    <w:rsid w:val="243518F4"/>
    <w:rsid w:val="248E389C"/>
    <w:rsid w:val="24C91B52"/>
    <w:rsid w:val="24F45C37"/>
    <w:rsid w:val="251E6CBF"/>
    <w:rsid w:val="2555526E"/>
    <w:rsid w:val="25741CE5"/>
    <w:rsid w:val="25914408"/>
    <w:rsid w:val="25B07227"/>
    <w:rsid w:val="25E801C8"/>
    <w:rsid w:val="2623287B"/>
    <w:rsid w:val="269D5F6A"/>
    <w:rsid w:val="26B9512E"/>
    <w:rsid w:val="27360A59"/>
    <w:rsid w:val="274353EF"/>
    <w:rsid w:val="27D31AFA"/>
    <w:rsid w:val="28122C85"/>
    <w:rsid w:val="283C7F8E"/>
    <w:rsid w:val="285A33C3"/>
    <w:rsid w:val="28BC1429"/>
    <w:rsid w:val="28CF2B32"/>
    <w:rsid w:val="294B510A"/>
    <w:rsid w:val="2953641F"/>
    <w:rsid w:val="29AD5D1C"/>
    <w:rsid w:val="29F97C59"/>
    <w:rsid w:val="2A4C041E"/>
    <w:rsid w:val="2A513D24"/>
    <w:rsid w:val="2A554E51"/>
    <w:rsid w:val="2A7C5A64"/>
    <w:rsid w:val="2A995064"/>
    <w:rsid w:val="2AA00441"/>
    <w:rsid w:val="2ACE301B"/>
    <w:rsid w:val="2AF675D7"/>
    <w:rsid w:val="2B026AAB"/>
    <w:rsid w:val="2B5B7150"/>
    <w:rsid w:val="2C373383"/>
    <w:rsid w:val="2CBB5E51"/>
    <w:rsid w:val="2CED00FF"/>
    <w:rsid w:val="2CF015A9"/>
    <w:rsid w:val="2D3272D2"/>
    <w:rsid w:val="2D3C6938"/>
    <w:rsid w:val="2E045F80"/>
    <w:rsid w:val="2E1772A4"/>
    <w:rsid w:val="2E2159DA"/>
    <w:rsid w:val="2E3C5351"/>
    <w:rsid w:val="2E4514EE"/>
    <w:rsid w:val="2EA44B23"/>
    <w:rsid w:val="2EE8753F"/>
    <w:rsid w:val="2F222577"/>
    <w:rsid w:val="2F7136F2"/>
    <w:rsid w:val="2F970933"/>
    <w:rsid w:val="2FC63874"/>
    <w:rsid w:val="2FDA02BC"/>
    <w:rsid w:val="3034140B"/>
    <w:rsid w:val="31683D3B"/>
    <w:rsid w:val="31E0309E"/>
    <w:rsid w:val="31ED0545"/>
    <w:rsid w:val="31F51CD9"/>
    <w:rsid w:val="31F83C15"/>
    <w:rsid w:val="320672D2"/>
    <w:rsid w:val="32082531"/>
    <w:rsid w:val="3208265A"/>
    <w:rsid w:val="322033CB"/>
    <w:rsid w:val="323F0F4E"/>
    <w:rsid w:val="326F0F6A"/>
    <w:rsid w:val="32C2496F"/>
    <w:rsid w:val="334D3EDF"/>
    <w:rsid w:val="33FC79D5"/>
    <w:rsid w:val="345E169B"/>
    <w:rsid w:val="34B54B48"/>
    <w:rsid w:val="34EB42A2"/>
    <w:rsid w:val="34F111BA"/>
    <w:rsid w:val="35394B45"/>
    <w:rsid w:val="35FA5910"/>
    <w:rsid w:val="36850060"/>
    <w:rsid w:val="3692671A"/>
    <w:rsid w:val="36E775C8"/>
    <w:rsid w:val="36FB1A43"/>
    <w:rsid w:val="37BD2CF6"/>
    <w:rsid w:val="37F14299"/>
    <w:rsid w:val="37FD3883"/>
    <w:rsid w:val="38B32F6A"/>
    <w:rsid w:val="39332A3C"/>
    <w:rsid w:val="393946B7"/>
    <w:rsid w:val="39537736"/>
    <w:rsid w:val="39F0612F"/>
    <w:rsid w:val="3A1E34A9"/>
    <w:rsid w:val="3A4432E4"/>
    <w:rsid w:val="3AC15121"/>
    <w:rsid w:val="3B0F364A"/>
    <w:rsid w:val="3B337FE9"/>
    <w:rsid w:val="3B947D35"/>
    <w:rsid w:val="3BC65390"/>
    <w:rsid w:val="3BD8784F"/>
    <w:rsid w:val="3BF84BAA"/>
    <w:rsid w:val="3C2D7D97"/>
    <w:rsid w:val="3C7C758F"/>
    <w:rsid w:val="3CA635DB"/>
    <w:rsid w:val="3CC140B4"/>
    <w:rsid w:val="3D202B5D"/>
    <w:rsid w:val="3DC37717"/>
    <w:rsid w:val="3DD21A81"/>
    <w:rsid w:val="3E7B6574"/>
    <w:rsid w:val="3EFA4BE1"/>
    <w:rsid w:val="3F0F7B4A"/>
    <w:rsid w:val="3F652E6E"/>
    <w:rsid w:val="3F940792"/>
    <w:rsid w:val="3FD47047"/>
    <w:rsid w:val="3FD73982"/>
    <w:rsid w:val="40203BDE"/>
    <w:rsid w:val="40944800"/>
    <w:rsid w:val="40B2289E"/>
    <w:rsid w:val="414B794B"/>
    <w:rsid w:val="4169711B"/>
    <w:rsid w:val="41A12C42"/>
    <w:rsid w:val="41A16B42"/>
    <w:rsid w:val="41B04B24"/>
    <w:rsid w:val="41BB2FCB"/>
    <w:rsid w:val="41C960C0"/>
    <w:rsid w:val="420C60C9"/>
    <w:rsid w:val="42104B36"/>
    <w:rsid w:val="4213760A"/>
    <w:rsid w:val="42643137"/>
    <w:rsid w:val="426671B1"/>
    <w:rsid w:val="428C5D64"/>
    <w:rsid w:val="42976BE0"/>
    <w:rsid w:val="42BD3471"/>
    <w:rsid w:val="431754ED"/>
    <w:rsid w:val="432C5922"/>
    <w:rsid w:val="435E7FD5"/>
    <w:rsid w:val="4369064C"/>
    <w:rsid w:val="43A67837"/>
    <w:rsid w:val="43BE43E0"/>
    <w:rsid w:val="43C463F9"/>
    <w:rsid w:val="43C502FD"/>
    <w:rsid w:val="43F852D6"/>
    <w:rsid w:val="44AE5F90"/>
    <w:rsid w:val="44B74A7E"/>
    <w:rsid w:val="4516172F"/>
    <w:rsid w:val="452A486B"/>
    <w:rsid w:val="4582234B"/>
    <w:rsid w:val="458F47BD"/>
    <w:rsid w:val="45DE15F8"/>
    <w:rsid w:val="46B23C96"/>
    <w:rsid w:val="46F26539"/>
    <w:rsid w:val="46F655EA"/>
    <w:rsid w:val="47CB461E"/>
    <w:rsid w:val="47D14065"/>
    <w:rsid w:val="47D93A9D"/>
    <w:rsid w:val="48531558"/>
    <w:rsid w:val="48656BB7"/>
    <w:rsid w:val="48FE7A61"/>
    <w:rsid w:val="49217793"/>
    <w:rsid w:val="498F282A"/>
    <w:rsid w:val="4A1D4B49"/>
    <w:rsid w:val="4A440814"/>
    <w:rsid w:val="4A821132"/>
    <w:rsid w:val="4B04672E"/>
    <w:rsid w:val="4B174292"/>
    <w:rsid w:val="4B2D5292"/>
    <w:rsid w:val="4B933658"/>
    <w:rsid w:val="4BC20689"/>
    <w:rsid w:val="4BF25683"/>
    <w:rsid w:val="4C463E95"/>
    <w:rsid w:val="4CA129B8"/>
    <w:rsid w:val="4CAA447E"/>
    <w:rsid w:val="4CF90E47"/>
    <w:rsid w:val="4D242739"/>
    <w:rsid w:val="4D2A7297"/>
    <w:rsid w:val="4D6A0D3E"/>
    <w:rsid w:val="4D6B3B9C"/>
    <w:rsid w:val="4DBD16D8"/>
    <w:rsid w:val="4DDF5098"/>
    <w:rsid w:val="4DFB6BFF"/>
    <w:rsid w:val="4E0A1360"/>
    <w:rsid w:val="4E3D70D5"/>
    <w:rsid w:val="4E49709F"/>
    <w:rsid w:val="4E7A0566"/>
    <w:rsid w:val="4F2064F4"/>
    <w:rsid w:val="4F22257C"/>
    <w:rsid w:val="4F4A7CA5"/>
    <w:rsid w:val="4F950CE9"/>
    <w:rsid w:val="4FBA1E6C"/>
    <w:rsid w:val="4FE06B53"/>
    <w:rsid w:val="500C52EB"/>
    <w:rsid w:val="50447AF9"/>
    <w:rsid w:val="508121E9"/>
    <w:rsid w:val="50D62474"/>
    <w:rsid w:val="50DC4DCC"/>
    <w:rsid w:val="50FA7D54"/>
    <w:rsid w:val="517814D6"/>
    <w:rsid w:val="52190BB8"/>
    <w:rsid w:val="52BF5D04"/>
    <w:rsid w:val="52C50F7C"/>
    <w:rsid w:val="52E67069"/>
    <w:rsid w:val="53156E65"/>
    <w:rsid w:val="5334256E"/>
    <w:rsid w:val="533F222E"/>
    <w:rsid w:val="534D459E"/>
    <w:rsid w:val="536D086C"/>
    <w:rsid w:val="53E915B9"/>
    <w:rsid w:val="53F50A1F"/>
    <w:rsid w:val="53F51520"/>
    <w:rsid w:val="53FC50AF"/>
    <w:rsid w:val="54591094"/>
    <w:rsid w:val="547B7695"/>
    <w:rsid w:val="54961FE8"/>
    <w:rsid w:val="54E76B16"/>
    <w:rsid w:val="54FC66FF"/>
    <w:rsid w:val="553E4DDF"/>
    <w:rsid w:val="5556474E"/>
    <w:rsid w:val="557A00F9"/>
    <w:rsid w:val="563019DA"/>
    <w:rsid w:val="563C2548"/>
    <w:rsid w:val="56861695"/>
    <w:rsid w:val="56EA3157"/>
    <w:rsid w:val="571557E7"/>
    <w:rsid w:val="576D6A6A"/>
    <w:rsid w:val="577133DD"/>
    <w:rsid w:val="577A2A7C"/>
    <w:rsid w:val="577B2719"/>
    <w:rsid w:val="57B45013"/>
    <w:rsid w:val="57D830BA"/>
    <w:rsid w:val="57E8056D"/>
    <w:rsid w:val="57F56450"/>
    <w:rsid w:val="582D57A5"/>
    <w:rsid w:val="58C4223A"/>
    <w:rsid w:val="59071859"/>
    <w:rsid w:val="590C472D"/>
    <w:rsid w:val="591C6F9A"/>
    <w:rsid w:val="595A7076"/>
    <w:rsid w:val="595C4461"/>
    <w:rsid w:val="59610E64"/>
    <w:rsid w:val="59C56785"/>
    <w:rsid w:val="5A156CE3"/>
    <w:rsid w:val="5A4D03D3"/>
    <w:rsid w:val="5A974224"/>
    <w:rsid w:val="5B1E18FE"/>
    <w:rsid w:val="5B442055"/>
    <w:rsid w:val="5B4510D3"/>
    <w:rsid w:val="5B60496A"/>
    <w:rsid w:val="5B8F0667"/>
    <w:rsid w:val="5B955142"/>
    <w:rsid w:val="5BC71176"/>
    <w:rsid w:val="5BC73664"/>
    <w:rsid w:val="5C34538D"/>
    <w:rsid w:val="5C6A4EE2"/>
    <w:rsid w:val="5C770D65"/>
    <w:rsid w:val="5C8729D3"/>
    <w:rsid w:val="5D0A6C10"/>
    <w:rsid w:val="5D32491D"/>
    <w:rsid w:val="5E3144D5"/>
    <w:rsid w:val="5E386DD4"/>
    <w:rsid w:val="5ED97CC0"/>
    <w:rsid w:val="5F427C08"/>
    <w:rsid w:val="5F4A2076"/>
    <w:rsid w:val="5F58762B"/>
    <w:rsid w:val="5FB262B2"/>
    <w:rsid w:val="5FF551D7"/>
    <w:rsid w:val="5FFD318B"/>
    <w:rsid w:val="60FA3969"/>
    <w:rsid w:val="61EF4C36"/>
    <w:rsid w:val="62157A0E"/>
    <w:rsid w:val="623752F8"/>
    <w:rsid w:val="62855331"/>
    <w:rsid w:val="62965BC5"/>
    <w:rsid w:val="629C1BB1"/>
    <w:rsid w:val="62BF76C0"/>
    <w:rsid w:val="63364558"/>
    <w:rsid w:val="635F22D7"/>
    <w:rsid w:val="63794B17"/>
    <w:rsid w:val="63E7543B"/>
    <w:rsid w:val="64226183"/>
    <w:rsid w:val="644A1BF1"/>
    <w:rsid w:val="64722EF6"/>
    <w:rsid w:val="647A1F86"/>
    <w:rsid w:val="64865286"/>
    <w:rsid w:val="650A51A0"/>
    <w:rsid w:val="651C37EF"/>
    <w:rsid w:val="65392C53"/>
    <w:rsid w:val="654E04A7"/>
    <w:rsid w:val="657F6397"/>
    <w:rsid w:val="65B0702A"/>
    <w:rsid w:val="65C33672"/>
    <w:rsid w:val="65F939B4"/>
    <w:rsid w:val="66074AC1"/>
    <w:rsid w:val="66573E86"/>
    <w:rsid w:val="66575024"/>
    <w:rsid w:val="66693C1C"/>
    <w:rsid w:val="66A62A1D"/>
    <w:rsid w:val="66BA2D69"/>
    <w:rsid w:val="66F13ABC"/>
    <w:rsid w:val="676D71DE"/>
    <w:rsid w:val="67AA6C5D"/>
    <w:rsid w:val="688E6B95"/>
    <w:rsid w:val="68913A38"/>
    <w:rsid w:val="68C331AF"/>
    <w:rsid w:val="69274D6D"/>
    <w:rsid w:val="693502B8"/>
    <w:rsid w:val="698262D9"/>
    <w:rsid w:val="69932D9D"/>
    <w:rsid w:val="69A213CB"/>
    <w:rsid w:val="69AF4D67"/>
    <w:rsid w:val="69B43E5C"/>
    <w:rsid w:val="6A2A066E"/>
    <w:rsid w:val="6A30202F"/>
    <w:rsid w:val="6A425E0D"/>
    <w:rsid w:val="6A9E55DD"/>
    <w:rsid w:val="6B501CC5"/>
    <w:rsid w:val="6B7466BF"/>
    <w:rsid w:val="6B7F73B8"/>
    <w:rsid w:val="6BFC72D6"/>
    <w:rsid w:val="6C0C5274"/>
    <w:rsid w:val="6C497309"/>
    <w:rsid w:val="6C4F4E00"/>
    <w:rsid w:val="6C783A75"/>
    <w:rsid w:val="6CBD5613"/>
    <w:rsid w:val="6CC33A36"/>
    <w:rsid w:val="6CED0976"/>
    <w:rsid w:val="6D09381C"/>
    <w:rsid w:val="6D444994"/>
    <w:rsid w:val="6DDF781C"/>
    <w:rsid w:val="6DF74528"/>
    <w:rsid w:val="6E4356D9"/>
    <w:rsid w:val="6E8B3E37"/>
    <w:rsid w:val="6F315059"/>
    <w:rsid w:val="6F670350"/>
    <w:rsid w:val="6F8475C4"/>
    <w:rsid w:val="6FB85246"/>
    <w:rsid w:val="6FD91AB1"/>
    <w:rsid w:val="70074FE6"/>
    <w:rsid w:val="70AE0104"/>
    <w:rsid w:val="70AE0118"/>
    <w:rsid w:val="70C1202B"/>
    <w:rsid w:val="70D60327"/>
    <w:rsid w:val="70D875B0"/>
    <w:rsid w:val="711527AE"/>
    <w:rsid w:val="711C2EAB"/>
    <w:rsid w:val="711E3B7A"/>
    <w:rsid w:val="71637109"/>
    <w:rsid w:val="718B18CB"/>
    <w:rsid w:val="71B40C3A"/>
    <w:rsid w:val="71B4247C"/>
    <w:rsid w:val="72150FB7"/>
    <w:rsid w:val="7215256E"/>
    <w:rsid w:val="72182ABE"/>
    <w:rsid w:val="7292121A"/>
    <w:rsid w:val="731F294C"/>
    <w:rsid w:val="732F3248"/>
    <w:rsid w:val="735F7364"/>
    <w:rsid w:val="73944883"/>
    <w:rsid w:val="746D1015"/>
    <w:rsid w:val="75156952"/>
    <w:rsid w:val="75692700"/>
    <w:rsid w:val="75AF268B"/>
    <w:rsid w:val="761436DE"/>
    <w:rsid w:val="76447AEE"/>
    <w:rsid w:val="7646748F"/>
    <w:rsid w:val="764851B8"/>
    <w:rsid w:val="77747760"/>
    <w:rsid w:val="77CF2B61"/>
    <w:rsid w:val="78854E18"/>
    <w:rsid w:val="78972DE9"/>
    <w:rsid w:val="78B04822"/>
    <w:rsid w:val="79C618C2"/>
    <w:rsid w:val="79EC0BAA"/>
    <w:rsid w:val="7A535A0F"/>
    <w:rsid w:val="7A5C1792"/>
    <w:rsid w:val="7AA61C19"/>
    <w:rsid w:val="7B973A3C"/>
    <w:rsid w:val="7BCF1E9D"/>
    <w:rsid w:val="7BD33963"/>
    <w:rsid w:val="7BD914DB"/>
    <w:rsid w:val="7C4421D6"/>
    <w:rsid w:val="7C6B2F36"/>
    <w:rsid w:val="7C720A09"/>
    <w:rsid w:val="7C8A0AB8"/>
    <w:rsid w:val="7CBE65DC"/>
    <w:rsid w:val="7CD6006E"/>
    <w:rsid w:val="7D527C40"/>
    <w:rsid w:val="7D583BFE"/>
    <w:rsid w:val="7DB04941"/>
    <w:rsid w:val="7DC011EF"/>
    <w:rsid w:val="7DCA7120"/>
    <w:rsid w:val="7E1C7032"/>
    <w:rsid w:val="7E427EAE"/>
    <w:rsid w:val="7E8A2720"/>
    <w:rsid w:val="7F213E1D"/>
    <w:rsid w:val="7F771ABA"/>
    <w:rsid w:val="7F787FD8"/>
    <w:rsid w:val="7F89356C"/>
    <w:rsid w:val="7F924AB6"/>
    <w:rsid w:val="7FB32ED4"/>
    <w:rsid w:val="7FFC3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link w:val="36"/>
    <w:qFormat/>
    <w:uiPriority w:val="1"/>
    <w:pPr>
      <w:spacing w:before="268" w:after="240"/>
      <w:ind w:right="40"/>
      <w:outlineLvl w:val="0"/>
    </w:pPr>
    <w:rPr>
      <w:rFonts w:eastAsia="黑体"/>
      <w:b/>
      <w:bCs/>
      <w:sz w:val="32"/>
      <w:szCs w:val="52"/>
    </w:rPr>
  </w:style>
  <w:style w:type="paragraph" w:styleId="4">
    <w:name w:val="heading 2"/>
    <w:basedOn w:val="1"/>
    <w:next w:val="1"/>
    <w:qFormat/>
    <w:uiPriority w:val="1"/>
    <w:pPr>
      <w:spacing w:line="560" w:lineRule="exact"/>
      <w:outlineLvl w:val="1"/>
    </w:pPr>
    <w:rPr>
      <w:rFonts w:ascii="楷体" w:hAnsi="楷体" w:eastAsia="楷体" w:cs="Times New Roman"/>
      <w:sz w:val="32"/>
      <w:szCs w:val="32"/>
    </w:rPr>
  </w:style>
  <w:style w:type="paragraph" w:styleId="5">
    <w:name w:val="heading 3"/>
    <w:basedOn w:val="1"/>
    <w:next w:val="6"/>
    <w:qFormat/>
    <w:uiPriority w:val="1"/>
    <w:pPr>
      <w:spacing w:line="560" w:lineRule="exact"/>
      <w:ind w:firstLine="1452" w:firstLineChars="200"/>
      <w:jc w:val="both"/>
      <w:outlineLvl w:val="2"/>
    </w:pPr>
    <w:rPr>
      <w:rFonts w:eastAsia="仿宋_GB2312"/>
      <w:bCs/>
      <w:sz w:val="32"/>
      <w:szCs w:val="24"/>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6">
    <w:name w:val="Normal Indent"/>
    <w:basedOn w:val="1"/>
    <w:unhideWhenUsed/>
    <w:qFormat/>
    <w:uiPriority w:val="0"/>
    <w:pPr>
      <w:ind w:firstLine="420" w:firstLineChars="200"/>
    </w:pPr>
    <w:rPr>
      <w:rFonts w:eastAsia="仿宋_GB2312"/>
      <w:sz w:val="32"/>
      <w:szCs w:val="20"/>
    </w:rPr>
  </w:style>
  <w:style w:type="paragraph" w:styleId="7">
    <w:name w:val="toc 7"/>
    <w:basedOn w:val="1"/>
    <w:next w:val="1"/>
    <w:qFormat/>
    <w:uiPriority w:val="0"/>
    <w:pPr>
      <w:ind w:left="1320"/>
    </w:pPr>
    <w:rPr>
      <w:rFonts w:asciiTheme="minorHAnsi" w:hAnsiTheme="minorHAnsi"/>
      <w:sz w:val="18"/>
      <w:szCs w:val="18"/>
    </w:rPr>
  </w:style>
  <w:style w:type="paragraph" w:styleId="8">
    <w:name w:val="annotation text"/>
    <w:basedOn w:val="1"/>
    <w:qFormat/>
    <w:uiPriority w:val="0"/>
  </w:style>
  <w:style w:type="paragraph" w:styleId="9">
    <w:name w:val="Body Text"/>
    <w:basedOn w:val="1"/>
    <w:next w:val="10"/>
    <w:qFormat/>
    <w:uiPriority w:val="1"/>
    <w:pPr>
      <w:ind w:left="218"/>
    </w:pPr>
    <w:rPr>
      <w:sz w:val="24"/>
      <w:szCs w:val="24"/>
    </w:rPr>
  </w:style>
  <w:style w:type="paragraph" w:styleId="10">
    <w:name w:val="Title"/>
    <w:basedOn w:val="1"/>
    <w:next w:val="6"/>
    <w:qFormat/>
    <w:uiPriority w:val="0"/>
    <w:pPr>
      <w:spacing w:before="240" w:after="60"/>
      <w:jc w:val="center"/>
      <w:outlineLvl w:val="0"/>
    </w:pPr>
    <w:rPr>
      <w:rFonts w:ascii="Cambria" w:hAnsi="Cambria" w:eastAsia="宋体"/>
      <w:b/>
      <w:bCs/>
    </w:rPr>
  </w:style>
  <w:style w:type="paragraph" w:styleId="11">
    <w:name w:val="Body Text Indent"/>
    <w:basedOn w:val="1"/>
    <w:qFormat/>
    <w:uiPriority w:val="0"/>
    <w:pPr>
      <w:adjustRightInd w:val="0"/>
      <w:snapToGrid w:val="0"/>
      <w:spacing w:line="548" w:lineRule="atLeast"/>
      <w:ind w:firstLine="640" w:firstLineChars="200"/>
    </w:pPr>
    <w:rPr>
      <w:rFonts w:ascii="楷体_GB2312" w:hAnsi="Times New Roman" w:eastAsia="仿宋_GB2312" w:cs="Times New Roman"/>
      <w:kern w:val="24"/>
      <w:sz w:val="32"/>
      <w:szCs w:val="32"/>
    </w:rPr>
  </w:style>
  <w:style w:type="paragraph" w:styleId="12">
    <w:name w:val="toc 5"/>
    <w:basedOn w:val="1"/>
    <w:next w:val="1"/>
    <w:qFormat/>
    <w:uiPriority w:val="0"/>
    <w:pPr>
      <w:ind w:left="880"/>
    </w:pPr>
    <w:rPr>
      <w:rFonts w:asciiTheme="minorHAnsi" w:hAnsiTheme="minorHAnsi"/>
      <w:sz w:val="18"/>
      <w:szCs w:val="18"/>
    </w:rPr>
  </w:style>
  <w:style w:type="paragraph" w:styleId="13">
    <w:name w:val="toc 3"/>
    <w:basedOn w:val="1"/>
    <w:next w:val="1"/>
    <w:qFormat/>
    <w:uiPriority w:val="39"/>
    <w:pPr>
      <w:ind w:left="440"/>
    </w:pPr>
    <w:rPr>
      <w:rFonts w:asciiTheme="minorHAnsi" w:hAnsiTheme="minorHAnsi"/>
      <w:i/>
      <w:iCs/>
      <w:sz w:val="20"/>
      <w:szCs w:val="20"/>
    </w:rPr>
  </w:style>
  <w:style w:type="paragraph" w:styleId="14">
    <w:name w:val="toc 8"/>
    <w:basedOn w:val="1"/>
    <w:next w:val="1"/>
    <w:qFormat/>
    <w:uiPriority w:val="0"/>
    <w:pPr>
      <w:ind w:left="1540"/>
    </w:pPr>
    <w:rPr>
      <w:rFonts w:asciiTheme="minorHAnsi" w:hAnsiTheme="minorHAnsi"/>
      <w:sz w:val="18"/>
      <w:szCs w:val="18"/>
    </w:rPr>
  </w:style>
  <w:style w:type="paragraph" w:styleId="15">
    <w:name w:val="footer"/>
    <w:basedOn w:val="1"/>
    <w:link w:val="39"/>
    <w:qFormat/>
    <w:uiPriority w:val="99"/>
    <w:pPr>
      <w:tabs>
        <w:tab w:val="center" w:pos="4153"/>
        <w:tab w:val="right" w:pos="8306"/>
      </w:tabs>
      <w:snapToGrid w:val="0"/>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7">
    <w:name w:val="toc 1"/>
    <w:basedOn w:val="1"/>
    <w:next w:val="1"/>
    <w:qFormat/>
    <w:uiPriority w:val="39"/>
    <w:pPr>
      <w:spacing w:before="120" w:after="120"/>
    </w:pPr>
    <w:rPr>
      <w:rFonts w:asciiTheme="minorHAnsi" w:hAnsiTheme="minorHAnsi"/>
      <w:b/>
      <w:bCs/>
      <w:caps/>
      <w:sz w:val="20"/>
      <w:szCs w:val="20"/>
    </w:rPr>
  </w:style>
  <w:style w:type="paragraph" w:styleId="18">
    <w:name w:val="toc 4"/>
    <w:basedOn w:val="1"/>
    <w:next w:val="1"/>
    <w:qFormat/>
    <w:uiPriority w:val="0"/>
    <w:pPr>
      <w:ind w:left="660"/>
    </w:pPr>
    <w:rPr>
      <w:rFonts w:asciiTheme="minorHAnsi" w:hAnsiTheme="minorHAnsi"/>
      <w:sz w:val="18"/>
      <w:szCs w:val="18"/>
    </w:rPr>
  </w:style>
  <w:style w:type="paragraph" w:styleId="19">
    <w:name w:val="toc 6"/>
    <w:basedOn w:val="1"/>
    <w:next w:val="1"/>
    <w:qFormat/>
    <w:uiPriority w:val="0"/>
    <w:pPr>
      <w:ind w:left="1100"/>
    </w:pPr>
    <w:rPr>
      <w:rFonts w:asciiTheme="minorHAnsi" w:hAnsiTheme="minorHAnsi"/>
      <w:sz w:val="18"/>
      <w:szCs w:val="18"/>
    </w:rPr>
  </w:style>
  <w:style w:type="paragraph" w:styleId="20">
    <w:name w:val="toc 2"/>
    <w:basedOn w:val="1"/>
    <w:next w:val="1"/>
    <w:qFormat/>
    <w:uiPriority w:val="39"/>
    <w:pPr>
      <w:ind w:left="220"/>
    </w:pPr>
    <w:rPr>
      <w:rFonts w:asciiTheme="minorHAnsi" w:hAnsiTheme="minorHAnsi"/>
      <w:smallCaps/>
      <w:sz w:val="20"/>
      <w:szCs w:val="20"/>
    </w:rPr>
  </w:style>
  <w:style w:type="paragraph" w:styleId="21">
    <w:name w:val="toc 9"/>
    <w:basedOn w:val="1"/>
    <w:next w:val="1"/>
    <w:qFormat/>
    <w:uiPriority w:val="0"/>
    <w:pPr>
      <w:ind w:left="1760"/>
    </w:pPr>
    <w:rPr>
      <w:rFonts w:asciiTheme="minorHAnsi" w:hAnsiTheme="minorHAnsi"/>
      <w:sz w:val="18"/>
      <w:szCs w:val="18"/>
    </w:rPr>
  </w:style>
  <w:style w:type="paragraph" w:styleId="22">
    <w:name w:val="Normal (Web)"/>
    <w:basedOn w:val="1"/>
    <w:unhideWhenUsed/>
    <w:qFormat/>
    <w:uiPriority w:val="0"/>
    <w:pPr>
      <w:widowControl/>
      <w:spacing w:before="100" w:beforeAutospacing="1" w:after="100" w:afterAutospacing="1"/>
    </w:pPr>
    <w:rPr>
      <w:sz w:val="24"/>
      <w:szCs w:val="24"/>
    </w:rPr>
  </w:style>
  <w:style w:type="paragraph" w:styleId="23">
    <w:name w:val="Body Text First Indent 2"/>
    <w:basedOn w:val="11"/>
    <w:qFormat/>
    <w:uiPriority w:val="0"/>
    <w:pPr>
      <w:spacing w:after="120"/>
      <w:ind w:left="420" w:leftChars="200" w:firstLine="420"/>
    </w:pPr>
    <w:rPr>
      <w:rFonts w:ascii="Times New Roman"/>
      <w:szCs w:val="20"/>
    </w:rPr>
  </w:style>
  <w:style w:type="character" w:styleId="26">
    <w:name w:val="Strong"/>
    <w:basedOn w:val="25"/>
    <w:qFormat/>
    <w:uiPriority w:val="0"/>
    <w:rPr>
      <w:b/>
    </w:rPr>
  </w:style>
  <w:style w:type="character" w:styleId="27">
    <w:name w:val="Hyperlink"/>
    <w:basedOn w:val="25"/>
    <w:unhideWhenUsed/>
    <w:qFormat/>
    <w:uiPriority w:val="99"/>
    <w:rPr>
      <w:color w:val="0000FF" w:themeColor="hyperlink"/>
      <w:u w:val="single"/>
      <w14:textFill>
        <w14:solidFill>
          <w14:schemeClr w14:val="hlink"/>
        </w14:solidFill>
      </w14:textFill>
    </w:rPr>
  </w:style>
  <w:style w:type="table" w:customStyle="1" w:styleId="28">
    <w:name w:val="Table Normal"/>
    <w:semiHidden/>
    <w:unhideWhenUsed/>
    <w:qFormat/>
    <w:uiPriority w:val="2"/>
    <w:tblPr>
      <w:tblCellMar>
        <w:top w:w="0" w:type="dxa"/>
        <w:left w:w="0" w:type="dxa"/>
        <w:bottom w:w="0" w:type="dxa"/>
        <w:right w:w="0" w:type="dxa"/>
      </w:tblCellMar>
    </w:tblPr>
  </w:style>
  <w:style w:type="paragraph" w:styleId="29">
    <w:name w:val="List Paragraph"/>
    <w:basedOn w:val="1"/>
    <w:qFormat/>
    <w:uiPriority w:val="1"/>
    <w:pPr>
      <w:ind w:left="1299" w:hanging="602"/>
    </w:pPr>
  </w:style>
  <w:style w:type="paragraph" w:customStyle="1" w:styleId="30">
    <w:name w:val="Table Paragraph"/>
    <w:basedOn w:val="1"/>
    <w:qFormat/>
    <w:uiPriority w:val="1"/>
    <w:pPr>
      <w:jc w:val="center"/>
    </w:pPr>
  </w:style>
  <w:style w:type="paragraph" w:customStyle="1" w:styleId="31">
    <w:name w:val="WPSOffice手动目录 1"/>
    <w:qFormat/>
    <w:uiPriority w:val="0"/>
    <w:rPr>
      <w:rFonts w:ascii="Times New Roman" w:hAnsi="Times New Roman" w:eastAsia="宋体" w:cs="Times New Roman"/>
      <w:lang w:val="en-US" w:eastAsia="zh-CN" w:bidi="ar-SA"/>
    </w:rPr>
  </w:style>
  <w:style w:type="paragraph" w:customStyle="1" w:styleId="3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3">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34">
    <w:name w:val="font11"/>
    <w:basedOn w:val="25"/>
    <w:qFormat/>
    <w:uiPriority w:val="0"/>
    <w:rPr>
      <w:rFonts w:hint="eastAsia" w:ascii="宋体" w:hAnsi="宋体" w:eastAsia="宋体" w:cs="宋体"/>
      <w:color w:val="000000"/>
      <w:sz w:val="24"/>
      <w:szCs w:val="24"/>
      <w:u w:val="none"/>
    </w:rPr>
  </w:style>
  <w:style w:type="character" w:customStyle="1" w:styleId="35">
    <w:name w:val="font01"/>
    <w:basedOn w:val="25"/>
    <w:qFormat/>
    <w:uiPriority w:val="0"/>
    <w:rPr>
      <w:rFonts w:hint="eastAsia" w:ascii="宋体" w:hAnsi="宋体" w:eastAsia="宋体" w:cs="宋体"/>
      <w:color w:val="000000"/>
      <w:sz w:val="24"/>
      <w:szCs w:val="24"/>
      <w:u w:val="none"/>
    </w:rPr>
  </w:style>
  <w:style w:type="character" w:customStyle="1" w:styleId="36">
    <w:name w:val="标题 1 字符"/>
    <w:link w:val="3"/>
    <w:qFormat/>
    <w:uiPriority w:val="0"/>
    <w:rPr>
      <w:rFonts w:ascii="宋体" w:hAnsi="宋体" w:eastAsia="黑体" w:cs="宋体"/>
      <w:b/>
      <w:bCs/>
      <w:sz w:val="32"/>
      <w:szCs w:val="52"/>
      <w:lang w:val="zh-CN" w:eastAsia="zh-CN" w:bidi="zh-CN"/>
    </w:rPr>
  </w:style>
  <w:style w:type="paragraph" w:customStyle="1" w:styleId="37">
    <w:name w:val="正文缩进1"/>
    <w:basedOn w:val="1"/>
    <w:qFormat/>
    <w:uiPriority w:val="0"/>
    <w:pPr>
      <w:spacing w:line="560" w:lineRule="exact"/>
      <w:ind w:firstLine="640"/>
    </w:pPr>
    <w:rPr>
      <w:kern w:val="32"/>
      <w:szCs w:val="20"/>
    </w:rPr>
  </w:style>
  <w:style w:type="paragraph" w:customStyle="1" w:styleId="38">
    <w:name w:val="图表内容"/>
    <w:basedOn w:val="1"/>
    <w:qFormat/>
    <w:uiPriority w:val="0"/>
    <w:pPr>
      <w:spacing w:line="360" w:lineRule="atLeast"/>
    </w:pPr>
    <w:rPr>
      <w:rFonts w:ascii="Times New Roman" w:hAnsi="Times New Roman" w:eastAsia="仿宋_GB2312" w:cs="Times New Roman"/>
      <w:kern w:val="24"/>
      <w:sz w:val="28"/>
      <w:szCs w:val="28"/>
    </w:rPr>
  </w:style>
  <w:style w:type="character" w:customStyle="1" w:styleId="39">
    <w:name w:val="页脚 字符"/>
    <w:basedOn w:val="25"/>
    <w:link w:val="15"/>
    <w:qFormat/>
    <w:uiPriority w:val="99"/>
    <w:rPr>
      <w:rFonts w:ascii="宋体" w:hAnsi="宋体" w:cs="宋体"/>
      <w:sz w:val="18"/>
      <w:szCs w:val="22"/>
      <w:lang w:val="zh-CN" w:bidi="zh-CN"/>
    </w:rPr>
  </w:style>
  <w:style w:type="paragraph" w:customStyle="1" w:styleId="40">
    <w:name w:val="标题1"/>
    <w:basedOn w:val="1"/>
    <w:next w:val="1"/>
    <w:qFormat/>
    <w:uiPriority w:val="0"/>
    <w:pPr>
      <w:autoSpaceDE w:val="0"/>
      <w:autoSpaceDN w:val="0"/>
      <w:snapToGrid w:val="0"/>
      <w:spacing w:line="700" w:lineRule="atLeast"/>
      <w:jc w:val="center"/>
    </w:pPr>
    <w:rPr>
      <w:rFonts w:eastAsia="方正小标宋_GBK"/>
      <w:snapToGrid w:val="0"/>
      <w:kern w:val="0"/>
      <w:sz w:val="44"/>
      <w:szCs w:val="20"/>
    </w:rPr>
  </w:style>
  <w:style w:type="paragraph" w:customStyle="1" w:styleId="41">
    <w:name w:val="一级"/>
    <w:basedOn w:val="1"/>
    <w:qFormat/>
    <w:uiPriority w:val="0"/>
    <w:pPr>
      <w:widowControl/>
      <w:spacing w:before="100" w:beforeLines="100" w:after="50" w:afterLines="50" w:line="500" w:lineRule="exact"/>
      <w:ind w:firstLine="640" w:firstLineChars="200"/>
      <w:jc w:val="left"/>
    </w:pPr>
    <w:rPr>
      <w:rFonts w:ascii="Times New Roman" w:hAnsi="Times New Roman" w:eastAsia="黑体"/>
      <w:b/>
      <w:color w:val="000000"/>
      <w:kern w:val="0"/>
      <w:sz w:val="36"/>
      <w:szCs w:val="30"/>
    </w:rPr>
  </w:style>
  <w:style w:type="paragraph" w:customStyle="1" w:styleId="42">
    <w:name w:val="二级标题"/>
    <w:basedOn w:val="1"/>
    <w:qFormat/>
    <w:uiPriority w:val="0"/>
    <w:pPr>
      <w:widowControl/>
      <w:spacing w:before="50" w:beforeLines="50" w:after="50" w:afterLines="50" w:line="500" w:lineRule="exact"/>
      <w:ind w:firstLine="643" w:firstLineChars="200"/>
      <w:jc w:val="left"/>
    </w:pPr>
    <w:rPr>
      <w:rFonts w:ascii="Times New Roman" w:hAnsi="Times New Roman" w:eastAsia="黑体"/>
      <w:b/>
      <w:color w:val="000000"/>
      <w:kern w:val="0"/>
      <w:sz w:val="32"/>
      <w:szCs w:val="30"/>
    </w:rPr>
  </w:style>
  <w:style w:type="paragraph" w:customStyle="1" w:styleId="43">
    <w:name w:val="三级标题"/>
    <w:basedOn w:val="1"/>
    <w:qFormat/>
    <w:uiPriority w:val="0"/>
    <w:pPr>
      <w:spacing w:line="500" w:lineRule="exact"/>
      <w:ind w:firstLine="640" w:firstLineChars="200"/>
    </w:pPr>
    <w:rPr>
      <w:rFonts w:eastAsia="仿宋_GB2312"/>
      <w:sz w:val="32"/>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D7FF14-87F2-431C-87C3-83CD32C9E0EE}">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11821</Words>
  <Characters>13135</Characters>
  <Lines>113</Lines>
  <Paragraphs>32</Paragraphs>
  <TotalTime>8</TotalTime>
  <ScaleCrop>false</ScaleCrop>
  <LinksUpToDate>false</LinksUpToDate>
  <CharactersWithSpaces>13376</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2021-03-07T10:01:00Z</dcterms:created>
  <dc:creator>User</dc:creator>
  <cp:lastModifiedBy>Administrator</cp:lastModifiedBy>
  <cp:lastPrinted>2021-12-01T02:48:00Z</cp:lastPrinted>
  <dcterms:modified xsi:type="dcterms:W3CDTF">2022-12-14T05:25:14Z</dcterms:modified>
  <dc:title>应急预案版本号：2008-001</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2020-11-13T00:00:00Z</vt:filetime>
  </property>
  <property fmtid="{D5CDD505-2E9C-101B-9397-08002B2CF9AE}" pid="3" name="Creator">
    <vt:lpwstr>Acrobat PDFMaker 15 Word 版</vt:lpwstr>
  </property>
  <property fmtid="{D5CDD505-2E9C-101B-9397-08002B2CF9AE}" pid="4" name="LastSaved">
    <vt:filetime>2021-03-07T00:00:00Z</vt:filetime>
  </property>
  <property fmtid="{D5CDD505-2E9C-101B-9397-08002B2CF9AE}" pid="5" name="KSOProductBuildVer">
    <vt:lpwstr>2052-11.8.2.10972</vt:lpwstr>
  </property>
  <property fmtid="{D5CDD505-2E9C-101B-9397-08002B2CF9AE}" pid="6" name="ICV">
    <vt:lpwstr>95294DAF1CEE4BBB9594A77133D5EE00</vt:lpwstr>
  </property>
</Properties>
</file>