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9"/>
        <w:rPr>
          <w:rFonts w:hint="eastAsia" w:ascii="黑体" w:hAnsi="黑体" w:eastAsia="黑体" w:cs="黑体"/>
          <w:b/>
          <w:kern w:val="0"/>
          <w:sz w:val="52"/>
          <w:szCs w:val="52"/>
          <w:lang w:val="en-US" w:eastAsia="zh-CN"/>
        </w:rPr>
      </w:pPr>
      <w:bookmarkStart w:id="0" w:name="_Toc19476"/>
      <w:bookmarkStart w:id="1" w:name="_Toc20765"/>
      <w:bookmarkStart w:id="2" w:name="_Toc28979"/>
      <w:bookmarkStart w:id="3" w:name="_Toc11127"/>
      <w:bookmarkStart w:id="4" w:name="_Toc10864"/>
      <w:bookmarkStart w:id="5" w:name="_Toc4562"/>
      <w:bookmarkStart w:id="6" w:name="_Toc5195"/>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bookmarkEnd w:id="0"/>
      <w:bookmarkEnd w:id="1"/>
      <w:bookmarkEnd w:id="2"/>
      <w:bookmarkEnd w:id="3"/>
      <w:bookmarkEnd w:id="4"/>
      <w:bookmarkEnd w:id="5"/>
      <w:bookmarkEnd w:id="6"/>
    </w:p>
    <w:p>
      <w:pPr>
        <w:spacing w:before="312" w:beforeLines="100" w:after="312" w:afterLines="100" w:line="360" w:lineRule="auto"/>
        <w:jc w:val="center"/>
        <w:outlineLvl w:val="0"/>
        <w:rPr>
          <w:rFonts w:hint="eastAsia" w:ascii="黑体" w:hAnsi="黑体" w:eastAsia="黑体" w:cs="黑体"/>
          <w:b/>
          <w:kern w:val="0"/>
          <w:sz w:val="52"/>
          <w:szCs w:val="52"/>
        </w:rPr>
      </w:pPr>
      <w:bookmarkStart w:id="7" w:name="_Toc15546"/>
      <w:bookmarkStart w:id="8" w:name="_Toc15618"/>
      <w:bookmarkStart w:id="9" w:name="_Toc1169"/>
      <w:bookmarkStart w:id="10" w:name="_Toc7196"/>
      <w:bookmarkStart w:id="11" w:name="_Toc4769"/>
      <w:bookmarkStart w:id="12" w:name="_Toc5281"/>
      <w:r>
        <w:rPr>
          <w:rFonts w:hint="eastAsia" w:ascii="黑体" w:hAnsi="黑体" w:eastAsia="黑体" w:cs="黑体"/>
          <w:b/>
          <w:kern w:val="0"/>
          <w:sz w:val="52"/>
          <w:szCs w:val="52"/>
          <w:lang w:val="en-US" w:eastAsia="zh-CN"/>
        </w:rPr>
        <w:t>道路交通事故应急预案</w:t>
      </w:r>
      <w:bookmarkEnd w:id="7"/>
      <w:bookmarkEnd w:id="8"/>
      <w:bookmarkEnd w:id="9"/>
      <w:bookmarkEnd w:id="10"/>
      <w:bookmarkEnd w:id="11"/>
      <w:bookmarkEnd w:id="12"/>
    </w:p>
    <w:p>
      <w:pPr>
        <w:pStyle w:val="5"/>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6"/>
        <w:outlineLvl w:val="9"/>
        <w:rPr>
          <w:rFonts w:ascii="宋体" w:hAnsi="宋体" w:eastAsia="宋体" w:cs="宋体"/>
          <w:b/>
          <w:sz w:val="28"/>
          <w:szCs w:val="28"/>
        </w:rPr>
      </w:pPr>
    </w:p>
    <w:p>
      <w:pPr>
        <w:pStyle w:val="4"/>
      </w:pPr>
    </w:p>
    <w:p>
      <w:pPr>
        <w:pStyle w:val="5"/>
        <w:rPr>
          <w:rFonts w:ascii="宋体" w:hAnsi="宋体" w:eastAsia="宋体" w:cs="宋体"/>
          <w:b/>
          <w:sz w:val="28"/>
          <w:szCs w:val="28"/>
        </w:rPr>
      </w:pPr>
    </w:p>
    <w:p>
      <w:pPr>
        <w:pStyle w:val="5"/>
        <w:rPr>
          <w:rFonts w:ascii="宋体" w:hAnsi="宋体" w:eastAsia="宋体" w:cs="宋体"/>
          <w:b/>
          <w:sz w:val="28"/>
          <w:szCs w:val="28"/>
        </w:rPr>
      </w:pPr>
    </w:p>
    <w:p>
      <w:pPr>
        <w:spacing w:after="156" w:afterLines="50"/>
        <w:jc w:val="center"/>
        <w:outlineLvl w:val="0"/>
        <w:rPr>
          <w:b/>
          <w:sz w:val="44"/>
          <w:szCs w:val="32"/>
        </w:rPr>
      </w:pPr>
      <w:r>
        <w:rPr>
          <w:rFonts w:hint="eastAsia"/>
          <w:b/>
          <w:sz w:val="44"/>
          <w:szCs w:val="32"/>
          <w:lang w:val="en-US" w:eastAsia="zh-CN"/>
        </w:rPr>
        <w:t>太仓市城厢镇安全生产委员会</w:t>
      </w:r>
    </w:p>
    <w:p>
      <w:pPr>
        <w:pStyle w:val="5"/>
        <w:jc w:val="center"/>
        <w:rPr>
          <w:rFonts w:ascii="宋体" w:hAnsi="宋体" w:eastAsia="宋体" w:cs="宋体"/>
          <w:b/>
          <w:sz w:val="28"/>
          <w:szCs w:val="28"/>
        </w:rPr>
      </w:pPr>
      <w:r>
        <w:rPr>
          <w:b/>
          <w:spacing w:val="20"/>
          <w:sz w:val="32"/>
          <w:szCs w:val="32"/>
        </w:rPr>
        <w:t>二〇二二年十</w:t>
      </w:r>
      <w:r>
        <w:rPr>
          <w:rFonts w:hint="eastAsia"/>
          <w:b/>
          <w:spacing w:val="20"/>
          <w:sz w:val="32"/>
          <w:szCs w:val="32"/>
          <w:lang w:val="en-US" w:eastAsia="zh-CN"/>
        </w:rPr>
        <w:t>二</w:t>
      </w:r>
      <w:r>
        <w:rPr>
          <w:b/>
          <w:spacing w:val="20"/>
          <w:sz w:val="32"/>
          <w:szCs w:val="32"/>
        </w:rPr>
        <w:t>月</w:t>
      </w:r>
    </w:p>
    <w:p>
      <w:pPr>
        <w:rPr>
          <w:rFonts w:hint="default" w:ascii="Times New Roman" w:hAnsi="Times New Roman" w:eastAsia="仿宋" w:cs="Times New Roman"/>
          <w:snapToGrid w:val="0"/>
          <w:color w:val="auto"/>
          <w:kern w:val="0"/>
          <w:sz w:val="36"/>
          <w:szCs w:val="36"/>
          <w:highlight w:val="none"/>
        </w:rPr>
      </w:pPr>
      <w:r>
        <w:rPr>
          <w:rFonts w:hint="default" w:ascii="Times New Roman" w:hAnsi="Times New Roman" w:eastAsia="仿宋" w:cs="Times New Roman"/>
          <w:snapToGrid w:val="0"/>
          <w:color w:val="auto"/>
          <w:kern w:val="0"/>
          <w:sz w:val="36"/>
          <w:szCs w:val="36"/>
          <w:highlight w:val="none"/>
        </w:rPr>
        <w:br w:type="page"/>
      </w:r>
    </w:p>
    <w:p>
      <w:pPr>
        <w:pStyle w:val="23"/>
        <w:tabs>
          <w:tab w:val="left" w:pos="9193"/>
          <w:tab w:val="left" w:pos="9827"/>
        </w:tabs>
        <w:spacing w:line="580" w:lineRule="exact"/>
        <w:rPr>
          <w:rFonts w:hint="default" w:ascii="黑体" w:hAnsi="黑体" w:eastAsia="黑体" w:cs="黑体"/>
          <w:b/>
          <w:bCs/>
          <w:sz w:val="32"/>
          <w:szCs w:val="32"/>
          <w:lang w:val="en-US" w:eastAsia="zh-CN"/>
        </w:rPr>
      </w:pPr>
      <w:r>
        <w:rPr>
          <w:rFonts w:hint="default" w:ascii="黑体" w:hAnsi="黑体" w:eastAsia="黑体" w:cs="黑体"/>
          <w:b/>
          <w:bCs/>
          <w:sz w:val="32"/>
          <w:szCs w:val="32"/>
        </w:rPr>
        <w:t>目  录</w:t>
      </w:r>
    </w:p>
    <w:p>
      <w:pPr>
        <w:pStyle w:val="11"/>
        <w:tabs>
          <w:tab w:val="right" w:pos="8312"/>
        </w:tabs>
        <w:rPr>
          <w:rFonts w:hint="default" w:ascii="宋体" w:hAnsi="宋体" w:eastAsia="宋体" w:cs="宋体"/>
          <w:b/>
          <w:bCs/>
          <w:color w:val="000000"/>
          <w:kern w:val="0"/>
          <w:sz w:val="24"/>
          <w:szCs w:val="24"/>
        </w:rPr>
      </w:pPr>
      <w:r>
        <w:rPr>
          <w:rFonts w:hint="default" w:ascii="Times New Roman" w:hAnsi="Times New Roman" w:cs="Times New Roman"/>
          <w:color w:val="000000"/>
          <w:kern w:val="0"/>
          <w:sz w:val="28"/>
          <w:szCs w:val="28"/>
        </w:rPr>
        <w:fldChar w:fldCharType="begin"/>
      </w:r>
      <w:r>
        <w:rPr>
          <w:rFonts w:hint="default" w:ascii="Times New Roman" w:hAnsi="Times New Roman" w:cs="Times New Roman"/>
          <w:color w:val="000000"/>
          <w:kern w:val="0"/>
          <w:sz w:val="28"/>
          <w:szCs w:val="28"/>
        </w:rPr>
        <w:instrText xml:space="preserve">TOC \o "1-2" \n  \h \u </w:instrText>
      </w:r>
      <w:r>
        <w:rPr>
          <w:rFonts w:hint="default" w:ascii="Times New Roman" w:hAnsi="Times New Roman" w:cs="Times New Roman"/>
          <w:color w:val="000000"/>
          <w:kern w:val="0"/>
          <w:sz w:val="28"/>
          <w:szCs w:val="28"/>
        </w:rPr>
        <w:fldChar w:fldCharType="separate"/>
      </w: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_Toc30320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1 总则</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_Toc32573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1.1编制目的</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_Toc23318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1.2编制依据</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_Toc2367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1.3 事故分级</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_Toc3157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w:t>
      </w:r>
      <w:r>
        <w:rPr>
          <w:rFonts w:hint="default" w:ascii="宋体" w:hAnsi="宋体" w:eastAsia="宋体" w:cs="宋体"/>
          <w:color w:val="000000"/>
          <w:kern w:val="0"/>
          <w:sz w:val="24"/>
          <w:szCs w:val="24"/>
          <w:lang w:val="en-US" w:eastAsia="zh-CN"/>
        </w:rPr>
        <w:t>4</w:t>
      </w:r>
      <w:r>
        <w:rPr>
          <w:rFonts w:hint="default" w:ascii="宋体" w:hAnsi="宋体" w:eastAsia="宋体" w:cs="宋体"/>
          <w:color w:val="000000"/>
          <w:kern w:val="0"/>
          <w:sz w:val="24"/>
          <w:szCs w:val="24"/>
        </w:rPr>
        <w:t xml:space="preserve"> </w:t>
      </w:r>
      <w:r>
        <w:rPr>
          <w:rFonts w:hint="default" w:ascii="宋体" w:hAnsi="宋体" w:eastAsia="宋体" w:cs="宋体"/>
          <w:color w:val="000000"/>
          <w:kern w:val="0"/>
          <w:sz w:val="24"/>
          <w:szCs w:val="24"/>
          <w:lang w:val="en-US" w:eastAsia="zh-CN"/>
        </w:rPr>
        <w:t>工作</w:t>
      </w:r>
      <w:r>
        <w:rPr>
          <w:rFonts w:hint="default" w:ascii="宋体" w:hAnsi="宋体" w:eastAsia="宋体" w:cs="宋体"/>
          <w:color w:val="000000"/>
          <w:kern w:val="0"/>
          <w:sz w:val="24"/>
          <w:szCs w:val="24"/>
        </w:rPr>
        <w:t>原则</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28"/>
          <w:szCs w:val="28"/>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_Toc8785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w:t>
      </w:r>
      <w:r>
        <w:rPr>
          <w:rFonts w:hint="default" w:ascii="宋体" w:hAnsi="宋体" w:eastAsia="宋体" w:cs="宋体"/>
          <w:color w:val="000000"/>
          <w:kern w:val="0"/>
          <w:sz w:val="24"/>
          <w:szCs w:val="24"/>
          <w:lang w:val="en-US" w:eastAsia="zh-CN"/>
        </w:rPr>
        <w:t>5</w:t>
      </w:r>
      <w:r>
        <w:rPr>
          <w:rFonts w:hint="default" w:ascii="宋体" w:hAnsi="宋体" w:eastAsia="宋体" w:cs="宋体"/>
          <w:color w:val="000000"/>
          <w:kern w:val="0"/>
          <w:sz w:val="24"/>
          <w:szCs w:val="24"/>
        </w:rPr>
        <w:t xml:space="preserve"> 适用范围</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_Toc27350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2</w:t>
      </w:r>
      <w:r>
        <w:rPr>
          <w:rFonts w:hint="default" w:ascii="宋体" w:hAnsi="宋体" w:eastAsia="宋体" w:cs="宋体"/>
          <w:b/>
          <w:bCs/>
          <w:color w:val="000000"/>
          <w:kern w:val="0"/>
          <w:sz w:val="24"/>
          <w:szCs w:val="24"/>
          <w:lang w:val="en-US" w:eastAsia="zh-CN"/>
        </w:rPr>
        <w:t xml:space="preserve"> </w:t>
      </w:r>
      <w:r>
        <w:rPr>
          <w:rFonts w:hint="default" w:ascii="宋体" w:hAnsi="宋体" w:eastAsia="宋体" w:cs="宋体"/>
          <w:b/>
          <w:bCs/>
          <w:color w:val="000000"/>
          <w:kern w:val="0"/>
          <w:sz w:val="24"/>
          <w:szCs w:val="24"/>
        </w:rPr>
        <w:t>组织体系</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_Toc31047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2.1领导机构</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_Toc16297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2.2办事机构</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_Toc23126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2.3成员单位</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28"/>
          <w:szCs w:val="28"/>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_Toc14339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2.</w:t>
      </w:r>
      <w:r>
        <w:rPr>
          <w:rFonts w:hint="default" w:ascii="宋体" w:hAnsi="宋体" w:eastAsia="宋体" w:cs="宋体"/>
          <w:color w:val="000000"/>
          <w:kern w:val="0"/>
          <w:sz w:val="24"/>
          <w:szCs w:val="24"/>
          <w:lang w:val="en-US" w:eastAsia="zh-CN"/>
        </w:rPr>
        <w:t>4</w:t>
      </w:r>
      <w:r>
        <w:rPr>
          <w:rFonts w:hint="default" w:ascii="宋体" w:hAnsi="宋体" w:eastAsia="宋体" w:cs="宋体"/>
          <w:color w:val="000000"/>
          <w:kern w:val="0"/>
          <w:sz w:val="24"/>
          <w:szCs w:val="24"/>
        </w:rPr>
        <w:t>应急救援工作组及职责</w:t>
      </w:r>
      <w:r>
        <w:rPr>
          <w:rFonts w:hint="default" w:ascii="宋体" w:hAnsi="宋体" w:eastAsia="宋体" w:cs="宋体"/>
          <w:color w:val="000000"/>
          <w:kern w:val="0"/>
          <w:sz w:val="24"/>
          <w:szCs w:val="24"/>
        </w:rPr>
        <w:fldChar w:fldCharType="end"/>
      </w:r>
    </w:p>
    <w:p>
      <w:pPr>
        <w:pStyle w:val="11"/>
        <w:tabs>
          <w:tab w:val="right" w:pos="8312"/>
        </w:tabs>
        <w:rPr>
          <w:rFonts w:hint="default" w:ascii="Times New Roman" w:hAnsi="Times New Roman" w:eastAsia="黑体" w:cs="Times New Roman"/>
          <w:color w:val="000000"/>
          <w:kern w:val="0"/>
          <w:sz w:val="28"/>
          <w:szCs w:val="28"/>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_Toc28751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3预警预防机制</w:t>
      </w:r>
      <w:r>
        <w:rPr>
          <w:rFonts w:hint="default" w:ascii="宋体" w:hAnsi="宋体" w:eastAsia="宋体" w:cs="宋体"/>
          <w:b/>
          <w:bCs/>
          <w:color w:val="000000"/>
          <w:kern w:val="0"/>
          <w:sz w:val="24"/>
          <w:szCs w:val="24"/>
        </w:rPr>
        <w:fldChar w:fldCharType="end"/>
      </w:r>
    </w:p>
    <w:p>
      <w:pPr>
        <w:pStyle w:val="11"/>
        <w:tabs>
          <w:tab w:val="right" w:pos="8312"/>
        </w:tabs>
        <w:rPr>
          <w:rFonts w:hint="default" w:ascii="Times New Roman" w:hAnsi="Times New Roman" w:eastAsia="黑体" w:cs="Times New Roman"/>
          <w:color w:val="000000"/>
          <w:kern w:val="0"/>
          <w:sz w:val="28"/>
          <w:szCs w:val="28"/>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_Toc1055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4 应急响应</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_Toc16520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4.1</w:t>
      </w:r>
      <w:r>
        <w:rPr>
          <w:rFonts w:hint="default" w:ascii="宋体" w:hAnsi="宋体" w:eastAsia="宋体" w:cs="宋体"/>
          <w:color w:val="000000"/>
          <w:kern w:val="0"/>
          <w:sz w:val="24"/>
          <w:szCs w:val="24"/>
          <w:lang w:val="en-US" w:eastAsia="zh-CN"/>
        </w:rPr>
        <w:t>信息</w:t>
      </w:r>
      <w:r>
        <w:rPr>
          <w:rFonts w:hint="default" w:ascii="宋体" w:hAnsi="宋体" w:eastAsia="宋体" w:cs="宋体"/>
          <w:color w:val="000000"/>
          <w:kern w:val="0"/>
          <w:sz w:val="24"/>
          <w:szCs w:val="24"/>
        </w:rPr>
        <w:t>报告</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_Toc23029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4.2先期处置</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_Toc16162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4.</w:t>
      </w:r>
      <w:r>
        <w:rPr>
          <w:rFonts w:hint="default" w:ascii="宋体" w:hAnsi="宋体" w:eastAsia="宋体" w:cs="宋体"/>
          <w:color w:val="000000"/>
          <w:kern w:val="0"/>
          <w:sz w:val="24"/>
          <w:szCs w:val="24"/>
          <w:lang w:val="en-US" w:eastAsia="zh-CN"/>
        </w:rPr>
        <w:t>3</w:t>
      </w:r>
      <w:r>
        <w:rPr>
          <w:rFonts w:hint="default" w:ascii="宋体" w:hAnsi="宋体" w:eastAsia="宋体" w:cs="宋体"/>
          <w:color w:val="000000"/>
          <w:kern w:val="0"/>
          <w:sz w:val="24"/>
          <w:szCs w:val="24"/>
        </w:rPr>
        <w:t>现场处置</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28"/>
          <w:szCs w:val="28"/>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_Toc25321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4.</w:t>
      </w:r>
      <w:r>
        <w:rPr>
          <w:rFonts w:hint="default" w:ascii="宋体" w:hAnsi="宋体" w:eastAsia="宋体" w:cs="宋体"/>
          <w:color w:val="000000"/>
          <w:kern w:val="0"/>
          <w:sz w:val="24"/>
          <w:szCs w:val="24"/>
          <w:lang w:val="en-US" w:eastAsia="zh-CN"/>
        </w:rPr>
        <w:t>4</w:t>
      </w:r>
      <w:r>
        <w:rPr>
          <w:rFonts w:hint="default" w:ascii="宋体" w:hAnsi="宋体" w:eastAsia="宋体" w:cs="宋体"/>
          <w:color w:val="000000"/>
          <w:kern w:val="0"/>
          <w:sz w:val="24"/>
          <w:szCs w:val="24"/>
        </w:rPr>
        <w:t>应急结束</w:t>
      </w:r>
      <w:r>
        <w:rPr>
          <w:rFonts w:hint="default" w:ascii="宋体" w:hAnsi="宋体" w:eastAsia="宋体" w:cs="宋体"/>
          <w:color w:val="000000"/>
          <w:kern w:val="0"/>
          <w:sz w:val="24"/>
          <w:szCs w:val="24"/>
        </w:rPr>
        <w:fldChar w:fldCharType="end"/>
      </w:r>
    </w:p>
    <w:p>
      <w:pPr>
        <w:pStyle w:val="11"/>
        <w:tabs>
          <w:tab w:val="right" w:pos="8312"/>
        </w:tabs>
        <w:rPr>
          <w:rFonts w:hint="default" w:ascii="Times New Roman" w:hAnsi="Times New Roman" w:eastAsia="黑体" w:cs="Times New Roman"/>
          <w:color w:val="000000"/>
          <w:kern w:val="0"/>
          <w:sz w:val="28"/>
          <w:szCs w:val="28"/>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_Toc1694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5 后期处理</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_Toc5016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5.1 善后处置</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28"/>
          <w:szCs w:val="28"/>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_Toc21710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5.2 事故调查</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_Toc10096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6 保障措施</w:t>
      </w:r>
      <w:r>
        <w:rPr>
          <w:rFonts w:hint="default" w:ascii="宋体" w:hAnsi="宋体" w:eastAsia="宋体" w:cs="宋体"/>
          <w:b/>
          <w:bCs/>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_Toc16556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7 培训演练</w:t>
      </w:r>
      <w:r>
        <w:rPr>
          <w:rFonts w:hint="default" w:ascii="宋体" w:hAnsi="宋体" w:eastAsia="宋体" w:cs="宋体"/>
          <w:b/>
          <w:bCs/>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黑体" w:cs="Times New Roman"/>
          <w:color w:val="000000"/>
          <w:kern w:val="0"/>
          <w:sz w:val="28"/>
          <w:szCs w:val="28"/>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_Toc1470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8 附则</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_Toc30629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8.1制定与解释</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28"/>
          <w:szCs w:val="28"/>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_Toc17481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8.2实施时间</w:t>
      </w:r>
      <w:r>
        <w:rPr>
          <w:rFonts w:hint="default" w:ascii="宋体" w:hAnsi="宋体" w:eastAsia="宋体" w:cs="宋体"/>
          <w:color w:val="000000"/>
          <w:kern w:val="0"/>
          <w:sz w:val="24"/>
          <w:szCs w:val="24"/>
        </w:rPr>
        <w:fldChar w:fldCharType="end"/>
      </w:r>
    </w:p>
    <w:p>
      <w:pPr>
        <w:widowControl/>
        <w:spacing w:line="360" w:lineRule="auto"/>
        <w:ind w:right="-10" w:rightChars="-5"/>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 w:val="28"/>
          <w:szCs w:val="28"/>
        </w:rPr>
        <w:fldChar w:fldCharType="end"/>
      </w:r>
    </w:p>
    <w:p>
      <w:pPr>
        <w:widowControl/>
        <w:spacing w:line="360" w:lineRule="atLeast"/>
        <w:ind w:right="-10" w:rightChars="-5"/>
        <w:jc w:val="center"/>
        <w:rPr>
          <w:rFonts w:hint="default" w:ascii="Times New Roman" w:hAnsi="Times New Roman" w:cs="Times New Roman"/>
          <w:color w:val="000000"/>
          <w:kern w:val="0"/>
          <w:szCs w:val="21"/>
        </w:rPr>
      </w:pPr>
    </w:p>
    <w:p>
      <w:pPr>
        <w:widowControl/>
        <w:spacing w:line="360" w:lineRule="atLeast"/>
        <w:ind w:right="-10" w:rightChars="-5"/>
        <w:jc w:val="center"/>
        <w:rPr>
          <w:rFonts w:hint="default" w:ascii="Times New Roman" w:hAnsi="Times New Roman" w:cs="Times New Roman"/>
          <w:color w:val="000000"/>
          <w:kern w:val="0"/>
          <w:szCs w:val="21"/>
        </w:rPr>
      </w:pPr>
    </w:p>
    <w:p>
      <w:pPr>
        <w:widowControl/>
        <w:spacing w:line="360" w:lineRule="atLeast"/>
        <w:ind w:right="-10" w:rightChars="-5"/>
        <w:jc w:val="center"/>
        <w:rPr>
          <w:rFonts w:hint="default" w:ascii="Times New Roman" w:hAnsi="Times New Roman" w:cs="Times New Roman"/>
          <w:color w:val="000000"/>
          <w:kern w:val="0"/>
          <w:szCs w:val="21"/>
        </w:rPr>
      </w:pPr>
    </w:p>
    <w:p>
      <w:pPr>
        <w:widowControl/>
        <w:spacing w:line="360" w:lineRule="atLeast"/>
        <w:ind w:right="-10" w:rightChars="-5"/>
        <w:jc w:val="both"/>
        <w:rPr>
          <w:rFonts w:hint="default" w:ascii="Times New Roman" w:hAnsi="Times New Roman" w:cs="Times New Roman"/>
          <w:color w:val="000000"/>
          <w:kern w:val="0"/>
          <w:szCs w:val="21"/>
        </w:rPr>
      </w:pPr>
    </w:p>
    <w:p>
      <w:pPr>
        <w:spacing w:line="360" w:lineRule="auto"/>
        <w:ind w:firstLine="562" w:firstLineChars="200"/>
        <w:jc w:val="center"/>
        <w:outlineLvl w:val="0"/>
        <w:rPr>
          <w:rFonts w:hint="default" w:ascii="Times New Roman" w:hAnsi="Times New Roman" w:cs="Times New Roman"/>
          <w:b/>
          <w:sz w:val="28"/>
          <w:szCs w:val="28"/>
        </w:rPr>
        <w:sectPr>
          <w:headerReference r:id="rId4" w:type="first"/>
          <w:headerReference r:id="rId3" w:type="default"/>
          <w:pgSz w:w="11906" w:h="16838"/>
          <w:pgMar w:top="1440" w:right="1797" w:bottom="1440" w:left="1797" w:header="851" w:footer="992" w:gutter="0"/>
          <w:cols w:space="720" w:num="1"/>
          <w:titlePg/>
          <w:docGrid w:type="lines" w:linePitch="312" w:charSpace="0"/>
        </w:sectPr>
      </w:pPr>
      <w:bookmarkStart w:id="13" w:name="_Toc387620388"/>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14" w:name="_Toc30320"/>
      <w:r>
        <w:rPr>
          <w:rFonts w:hint="default" w:ascii="黑体" w:hAnsi="黑体" w:eastAsia="黑体" w:cs="黑体"/>
          <w:sz w:val="32"/>
          <w:szCs w:val="32"/>
        </w:rPr>
        <w:t>1 总则</w:t>
      </w:r>
      <w:bookmarkEnd w:id="13"/>
      <w:bookmarkEnd w:id="14"/>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5" w:name="_Toc32573"/>
      <w:bookmarkStart w:id="16" w:name="_Toc387620389"/>
      <w:r>
        <w:rPr>
          <w:rFonts w:hint="default" w:ascii="楷体" w:hAnsi="楷体" w:eastAsia="楷体" w:cs="楷体"/>
          <w:sz w:val="28"/>
          <w:szCs w:val="28"/>
        </w:rPr>
        <w:t>1.1编制目的</w:t>
      </w:r>
      <w:bookmarkEnd w:id="15"/>
      <w:bookmarkEnd w:id="16"/>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进一步规范道路交通事故的应急管理和应急响应程序，确保各项应急处置措施能够快速、有效实施，最大限度减少人员伤亡和财产损失，维护公众的生命财产安全和社会稳定，特制订本预案。</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7" w:name="_Toc23318"/>
      <w:bookmarkStart w:id="18" w:name="_Toc387620390"/>
      <w:r>
        <w:rPr>
          <w:rFonts w:hint="default" w:ascii="楷体" w:hAnsi="楷体" w:eastAsia="楷体" w:cs="楷体"/>
          <w:sz w:val="28"/>
          <w:szCs w:val="28"/>
        </w:rPr>
        <w:t>1.2编制依据</w:t>
      </w:r>
      <w:bookmarkEnd w:id="17"/>
      <w:bookmarkEnd w:id="18"/>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依据《中华人民共和国突发事件应对法》《中华人民共和国道路交通安全法》《中华人民共和国安全生产法》《道路交通安全法实施条例》《江苏省道路交通安全条例》等法律、法规规章及有关规定，制定本预案。</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9" w:name="_Toc387620391"/>
      <w:bookmarkStart w:id="20" w:name="_Toc2367"/>
      <w:r>
        <w:rPr>
          <w:rFonts w:hint="default" w:ascii="楷体" w:hAnsi="楷体" w:eastAsia="楷体" w:cs="楷体"/>
          <w:sz w:val="28"/>
          <w:szCs w:val="28"/>
        </w:rPr>
        <w:t>1.3 事故分级</w:t>
      </w:r>
      <w:bookmarkEnd w:id="19"/>
      <w:bookmarkEnd w:id="20"/>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按照道路交通事故的严重程度和影响范围，将道路交通事故分为Ⅰ级、Ⅱ级、Ⅲ级、Ⅳ级。</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Ⅰ级道路交通事故：指本区域范围内道路发生一次死亡30人以上交通事故；运送剧毒、易爆、放射性危险化学品的车辆发生泄漏、识货、爆炸，严重危及周边地区公共安全的事故。</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Ⅱ级道路交通事故：指本区域范围内道路发生一次死亡10人以上、30人以下交通事故；大型客车失火、翻车坠河造成的群死群伤事故；运送剧毒、易爆、放射性危险化学品车辆已经或可能发生泄漏、失火、爆炸，危及周边地区公共安全的事故。</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Ⅲ级道路交通事故：指在本区域范围内道路发生一次死亡3人以上、10人以下交通事故；国道、高速公路发生多车相撞事故并造成交通严重堵塞；其他对人身安全、社会财富及社会秩序造成较大影响的道路交通事故。</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1" w:name="_Toc3157"/>
      <w:bookmarkStart w:id="22" w:name="_Toc387620392"/>
      <w:r>
        <w:rPr>
          <w:rFonts w:hint="default" w:ascii="楷体" w:hAnsi="楷体" w:eastAsia="楷体" w:cs="楷体"/>
          <w:sz w:val="28"/>
          <w:szCs w:val="28"/>
        </w:rPr>
        <w:t>1.</w:t>
      </w:r>
      <w:r>
        <w:rPr>
          <w:rFonts w:hint="default" w:ascii="楷体" w:hAnsi="楷体" w:eastAsia="楷体" w:cs="楷体"/>
          <w:sz w:val="28"/>
          <w:szCs w:val="28"/>
          <w:lang w:val="en-US" w:eastAsia="zh-CN"/>
        </w:rPr>
        <w:t>4</w:t>
      </w:r>
      <w:r>
        <w:rPr>
          <w:rFonts w:hint="default" w:ascii="楷体" w:hAnsi="楷体" w:eastAsia="楷体" w:cs="楷体"/>
          <w:sz w:val="28"/>
          <w:szCs w:val="28"/>
        </w:rPr>
        <w:t xml:space="preserve"> </w:t>
      </w:r>
      <w:r>
        <w:rPr>
          <w:rFonts w:hint="default" w:ascii="楷体" w:hAnsi="楷体" w:eastAsia="楷体" w:cs="楷体"/>
          <w:sz w:val="28"/>
          <w:szCs w:val="28"/>
          <w:lang w:val="en-US" w:eastAsia="zh-CN"/>
        </w:rPr>
        <w:t>工作</w:t>
      </w:r>
      <w:r>
        <w:rPr>
          <w:rFonts w:hint="default" w:ascii="楷体" w:hAnsi="楷体" w:eastAsia="楷体" w:cs="楷体"/>
          <w:sz w:val="28"/>
          <w:szCs w:val="28"/>
        </w:rPr>
        <w:t>原则</w:t>
      </w:r>
      <w:bookmarkEnd w:id="21"/>
      <w:bookmarkEnd w:id="22"/>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(1)以人为本,安全第一。把保障人民群众的生命安全和身体健康、最大限度地预防和减少道路交通事故造成的人员伤亡作为首要任务,充分发挥专业救援力量和人民群众的作用。</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(2) 依法规范,加强管理。依据有关法律和行政法规,加强应急管理,维护公众的合法权益,使应对道路交通事故的工作规范化、制度化、法制化。</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(3) 快速反应,协同应对。建立联动协调制度,充分动员和发挥社区、企事业单位、社会团体和志愿者队伍的作用,依靠公众力量,形成统一指挥、反应灵敏、功能齐全、协调有序、运转高效的应急管理机制。</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(4) 依靠科技,提高素质。加强道路交通事故发生规律的研究和应急救援的技术开发,采用先进的预防和应急处置技术及设施,充分发挥专家队伍和专业人员的作用,提高应对道路交通事故的科技水平和指挥能力。加强宣传和培训教育工作,提高公众自救、互救的综合素质。</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3" w:name="_Toc387620393"/>
      <w:bookmarkStart w:id="24" w:name="_Toc8785"/>
      <w:r>
        <w:rPr>
          <w:rFonts w:hint="default" w:ascii="楷体" w:hAnsi="楷体" w:eastAsia="楷体" w:cs="楷体"/>
          <w:sz w:val="28"/>
          <w:szCs w:val="28"/>
        </w:rPr>
        <w:t>1.</w:t>
      </w:r>
      <w:r>
        <w:rPr>
          <w:rFonts w:hint="default" w:ascii="楷体" w:hAnsi="楷体" w:eastAsia="楷体" w:cs="楷体"/>
          <w:sz w:val="28"/>
          <w:szCs w:val="28"/>
          <w:lang w:val="en-US" w:eastAsia="zh-CN"/>
        </w:rPr>
        <w:t>5</w:t>
      </w:r>
      <w:r>
        <w:rPr>
          <w:rFonts w:hint="default" w:ascii="楷体" w:hAnsi="楷体" w:eastAsia="楷体" w:cs="楷体"/>
          <w:sz w:val="28"/>
          <w:szCs w:val="28"/>
        </w:rPr>
        <w:t xml:space="preserve"> 适用范围</w:t>
      </w:r>
      <w:bookmarkEnd w:id="23"/>
      <w:bookmarkEnd w:id="24"/>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本预案适用于太仓市城厢镇范围内发生的道路交通事故；运送剧毒、易燃、易爆、放射性危险化学品车辆发生或可能发生泄漏、失火、爆炸，危及或将危及周边区域公共安全的道路交通事故；以及其他对人身安全、社会秩序造成影响的道路交通事故。</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5" w:name="_Toc27350"/>
      <w:bookmarkStart w:id="26" w:name="_Toc387620394"/>
      <w:r>
        <w:rPr>
          <w:rFonts w:hint="default" w:ascii="黑体" w:hAnsi="黑体" w:eastAsia="黑体" w:cs="黑体"/>
          <w:sz w:val="32"/>
          <w:szCs w:val="32"/>
        </w:rPr>
        <w:t>2</w:t>
      </w:r>
      <w:r>
        <w:rPr>
          <w:rFonts w:hint="default" w:ascii="黑体" w:hAnsi="黑体" w:eastAsia="黑体" w:cs="黑体"/>
          <w:sz w:val="32"/>
          <w:szCs w:val="32"/>
        </w:rPr>
        <w:tab/>
      </w:r>
      <w:r>
        <w:rPr>
          <w:rFonts w:hint="default" w:ascii="黑体" w:hAnsi="黑体" w:eastAsia="黑体" w:cs="黑体"/>
          <w:sz w:val="32"/>
          <w:szCs w:val="32"/>
        </w:rPr>
        <w:t>组织体系</w:t>
      </w:r>
      <w:bookmarkEnd w:id="25"/>
      <w:bookmarkEnd w:id="26"/>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7" w:name="_Toc387620395"/>
      <w:bookmarkStart w:id="28" w:name="_Toc31047"/>
      <w:r>
        <w:rPr>
          <w:rFonts w:hint="default" w:ascii="楷体" w:hAnsi="楷体" w:eastAsia="楷体" w:cs="楷体"/>
          <w:sz w:val="28"/>
          <w:szCs w:val="28"/>
        </w:rPr>
        <w:t>2.1领导机构</w:t>
      </w:r>
      <w:bookmarkEnd w:id="27"/>
      <w:bookmarkEnd w:id="28"/>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道路交通事故发生后，交警中队成立道路交通事故应急指挥部(以下简称“应急指挥部”)，总指挥由</w:t>
      </w:r>
      <w:r>
        <w:rPr>
          <w:rFonts w:hint="default" w:ascii="宋体" w:hAnsi="宋体" w:eastAsia="宋体" w:cs="宋体"/>
          <w:color w:val="000000"/>
          <w:kern w:val="0"/>
          <w:sz w:val="28"/>
          <w:szCs w:val="28"/>
          <w:lang w:val="en-US" w:eastAsia="zh-CN"/>
        </w:rPr>
        <w:t>城厢镇人民政府镇长</w:t>
      </w:r>
      <w:r>
        <w:rPr>
          <w:rFonts w:hint="default" w:ascii="宋体" w:hAnsi="宋体" w:eastAsia="宋体" w:cs="宋体"/>
          <w:color w:val="000000"/>
          <w:kern w:val="0"/>
          <w:sz w:val="28"/>
          <w:szCs w:val="28"/>
        </w:rPr>
        <w:t>担任，副总指挥由</w:t>
      </w:r>
      <w:r>
        <w:rPr>
          <w:rFonts w:hint="eastAsia" w:ascii="宋体" w:hAnsi="宋体" w:cs="宋体"/>
          <w:color w:val="000000"/>
          <w:kern w:val="0"/>
          <w:sz w:val="28"/>
          <w:szCs w:val="28"/>
          <w:lang w:val="en-US" w:eastAsia="zh-CN"/>
        </w:rPr>
        <w:t>分管</w:t>
      </w:r>
      <w:r>
        <w:rPr>
          <w:rFonts w:hint="default" w:ascii="宋体" w:hAnsi="宋体" w:eastAsia="宋体" w:cs="宋体"/>
          <w:color w:val="000000"/>
          <w:kern w:val="0"/>
          <w:sz w:val="28"/>
          <w:szCs w:val="28"/>
          <w:lang w:val="en-US" w:eastAsia="zh-CN"/>
        </w:rPr>
        <w:t>交通工作的同志</w:t>
      </w:r>
      <w:r>
        <w:rPr>
          <w:rFonts w:hint="default" w:ascii="宋体" w:hAnsi="宋体" w:eastAsia="宋体" w:cs="宋体"/>
          <w:color w:val="000000"/>
          <w:kern w:val="0"/>
          <w:sz w:val="28"/>
          <w:szCs w:val="28"/>
        </w:rPr>
        <w:t>担任，成员由</w:t>
      </w:r>
      <w:r>
        <w:rPr>
          <w:rFonts w:hint="default" w:ascii="宋体" w:hAnsi="宋体" w:eastAsia="宋体" w:cs="宋体"/>
          <w:color w:val="000000"/>
          <w:kern w:val="0"/>
          <w:sz w:val="28"/>
          <w:szCs w:val="28"/>
          <w:lang w:val="en-US" w:eastAsia="zh-CN"/>
        </w:rPr>
        <w:t>交警中队、</w:t>
      </w:r>
      <w:r>
        <w:rPr>
          <w:rFonts w:hint="default" w:ascii="宋体" w:hAnsi="宋体" w:eastAsia="宋体" w:cs="宋体"/>
          <w:color w:val="000000"/>
          <w:kern w:val="0"/>
          <w:sz w:val="28"/>
          <w:szCs w:val="28"/>
          <w:lang w:eastAsia="zh-CN"/>
        </w:rPr>
        <w:t>综合行政执法局</w:t>
      </w:r>
      <w:r>
        <w:rPr>
          <w:rFonts w:hint="default" w:ascii="宋体" w:hAnsi="宋体" w:eastAsia="宋体" w:cs="宋体"/>
          <w:color w:val="000000"/>
          <w:kern w:val="0"/>
          <w:sz w:val="28"/>
          <w:szCs w:val="28"/>
        </w:rPr>
        <w:t>、派出所、消防队等单位负责人组成。</w:t>
      </w:r>
      <w:bookmarkStart w:id="60" w:name="_GoBack"/>
      <w:bookmarkEnd w:id="60"/>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应急指挥部每年召开一次成员会议，研究确定道路交通事故应急处置工作的重大决策和指导意见，调整指挥部成员单位名单，指导修订和完善《太仓市城厢镇道路交通事故应急预案》，组织应急演练。在发生道路交通事故时，负责启动应急预案，并组织、指挥、协调应急处置工作。</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9" w:name="_Toc16297"/>
      <w:bookmarkStart w:id="30" w:name="_Toc387620396"/>
      <w:r>
        <w:rPr>
          <w:rFonts w:hint="default" w:ascii="楷体" w:hAnsi="楷体" w:eastAsia="楷体" w:cs="楷体"/>
          <w:sz w:val="28"/>
          <w:szCs w:val="28"/>
        </w:rPr>
        <w:t>2.2办事机构</w:t>
      </w:r>
      <w:bookmarkEnd w:id="29"/>
      <w:bookmarkEnd w:id="30"/>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应急指挥部下设办公室，办公室设在交警中队。应急指挥部办公室作为应急指挥部的日常办事、协调机构，主要负责本区域内的道路交通事故应急预案建设的协调、指导、检查和督促，及时收集、分析、传递和反馈相关信息，传达应急指挥部的决定和指令。</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1" w:name="_Toc23126"/>
      <w:bookmarkStart w:id="32" w:name="_Toc387620397"/>
      <w:r>
        <w:rPr>
          <w:rFonts w:hint="default" w:ascii="楷体" w:hAnsi="楷体" w:eastAsia="楷体" w:cs="楷体"/>
          <w:sz w:val="28"/>
          <w:szCs w:val="28"/>
        </w:rPr>
        <w:t>2.3成员单位</w:t>
      </w:r>
      <w:bookmarkEnd w:id="31"/>
      <w:bookmarkEnd w:id="32"/>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交警中队：负责组织道路交通事故的现场救援、现场勘查、调查取证、责任认定等工作；对肇事者及其相关责任人依法进行控制处理；维护现场治安秩序，确保道路畅通；</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消防中队：负责道路交通事故现场的抢险救援工作。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派出所：参与道路交通事故的现场救援工作；负责组织抢修受损的交通设施、标志等；加强对运输单位的安全管理。</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lang w:eastAsia="zh-CN"/>
        </w:rPr>
        <w:t>应急</w:t>
      </w:r>
      <w:r>
        <w:rPr>
          <w:rFonts w:hint="default" w:ascii="宋体" w:hAnsi="宋体" w:eastAsia="宋体" w:cs="宋体"/>
          <w:color w:val="000000"/>
          <w:kern w:val="0"/>
          <w:sz w:val="28"/>
          <w:szCs w:val="28"/>
          <w:lang w:val="en-US" w:eastAsia="zh-CN"/>
        </w:rPr>
        <w:t>局</w:t>
      </w:r>
      <w:r>
        <w:rPr>
          <w:rFonts w:hint="default" w:ascii="宋体" w:hAnsi="宋体" w:eastAsia="宋体" w:cs="宋体"/>
          <w:color w:val="000000"/>
          <w:kern w:val="0"/>
          <w:sz w:val="28"/>
          <w:szCs w:val="28"/>
        </w:rPr>
        <w:t>：参与指导道路交通事故的现场救援和事故调查工作。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医院：负责对道路交通事故中受伤人员的医疗救治工作。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社会治理和社会事业局：协助做好道路交通事故中死难者遗体的处置工作。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Times New Roman" w:hAnsi="Times New Roman" w:eastAsia="宋体" w:cs="Times New Roman"/>
          <w:sz w:val="32"/>
          <w:szCs w:val="32"/>
        </w:rPr>
      </w:pPr>
      <w:r>
        <w:rPr>
          <w:rFonts w:hint="default" w:ascii="宋体" w:hAnsi="宋体" w:eastAsia="宋体" w:cs="宋体"/>
          <w:color w:val="000000"/>
          <w:kern w:val="0"/>
          <w:sz w:val="28"/>
          <w:szCs w:val="28"/>
          <w:lang w:eastAsia="zh-CN"/>
        </w:rPr>
        <w:t>综合行政执法局</w:t>
      </w:r>
      <w:r>
        <w:rPr>
          <w:rFonts w:hint="default" w:ascii="宋体" w:hAnsi="宋体" w:eastAsia="宋体" w:cs="宋体"/>
          <w:color w:val="000000"/>
          <w:kern w:val="0"/>
          <w:sz w:val="28"/>
          <w:szCs w:val="28"/>
        </w:rPr>
        <w:t>：负责组织、协调道路交通事故引发环境污染事件的监测、防控和处置工作。</w:t>
      </w:r>
      <w:bookmarkStart w:id="33" w:name="_Toc387620398"/>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4" w:name="_Toc14339"/>
      <w:r>
        <w:rPr>
          <w:rFonts w:hint="default" w:ascii="楷体" w:hAnsi="楷体" w:eastAsia="楷体" w:cs="楷体"/>
          <w:sz w:val="28"/>
          <w:szCs w:val="28"/>
        </w:rPr>
        <w:t>2.</w:t>
      </w:r>
      <w:r>
        <w:rPr>
          <w:rFonts w:hint="default" w:ascii="楷体" w:hAnsi="楷体" w:eastAsia="楷体" w:cs="楷体"/>
          <w:sz w:val="28"/>
          <w:szCs w:val="28"/>
          <w:lang w:val="en-US" w:eastAsia="zh-CN"/>
        </w:rPr>
        <w:t>4</w:t>
      </w:r>
      <w:r>
        <w:rPr>
          <w:rFonts w:hint="default" w:ascii="楷体" w:hAnsi="楷体" w:eastAsia="楷体" w:cs="楷体"/>
          <w:sz w:val="28"/>
          <w:szCs w:val="28"/>
        </w:rPr>
        <w:t>应急救援工作组及职责</w:t>
      </w:r>
      <w:bookmarkEnd w:id="34"/>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交通事故发生后，根据需要在事发地设立现场指挥部，作为事故现场救援的指挥机构，设置综合协调、治安警戒、事故抢险、新闻宣传、善后处理、医疗卫生、事故调查等应急救援工作组。</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（1）综合协调组</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lang w:val="en-US" w:eastAsia="zh-CN"/>
        </w:rPr>
      </w:pPr>
      <w:r>
        <w:rPr>
          <w:rFonts w:hint="default" w:ascii="宋体" w:hAnsi="宋体" w:eastAsia="宋体" w:cs="宋体"/>
          <w:color w:val="000000"/>
          <w:kern w:val="0"/>
          <w:sz w:val="28"/>
          <w:szCs w:val="28"/>
          <w:lang w:eastAsia="zh-CN"/>
        </w:rPr>
        <w:t>牵头单位</w:t>
      </w:r>
      <w:r>
        <w:rPr>
          <w:rFonts w:hint="default" w:ascii="宋体" w:hAnsi="宋体" w:eastAsia="宋体" w:cs="宋体"/>
          <w:color w:val="000000"/>
          <w:kern w:val="0"/>
          <w:sz w:val="28"/>
          <w:szCs w:val="28"/>
        </w:rPr>
        <w:t>：</w:t>
      </w:r>
      <w:r>
        <w:rPr>
          <w:rFonts w:hint="default" w:ascii="宋体" w:hAnsi="宋体" w:eastAsia="宋体" w:cs="宋体"/>
          <w:color w:val="000000"/>
          <w:kern w:val="0"/>
          <w:sz w:val="28"/>
          <w:szCs w:val="28"/>
          <w:lang w:val="en-US" w:eastAsia="zh-CN"/>
        </w:rPr>
        <w:t>应急指挥部</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主要职责：立即将突发事件情况报告园区管委会；组织协调实施上级部门救援方案、工作指示和批示；传达总指挥部命令，接收各组反馈情况，沟通各组之间联系；负责应急救援工作情况与突发事件信息的搜集；处置信息调度、汇总、上报，与园区指挥部的协调联络等工作。及时提供物资、装备、食品、和通信等方面的后勤服务；承担领导交办的其他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（2）治安警戒组</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牵头单位：派出所、交警中队</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主要职责：负责可疑区域现场封锁工作；负责制定交通应急措施；负责保障应急处置车辆人员迅速抵达现场；负责群众疏散、转移和安置的方式、范围、路线、程序；负责对肇事嫌疑人等有关人员采取监控措施，防止逃逸。负责防控中相关突发事件处置；承担领导交办的其他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（3）事故抢险组</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牵头单位：城西消防救援站、派出所、交警中队、城厢供电所、综合行政执法局等</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主要职责：第一时间赶赴现场，组织协调消防、工程、医疗抢险等抢险队伍，进行抢险救援。负责事故现场清理，受困人员的搜救转移；负责事故现场交通管制与车辆疏导，确定保护群众安全需要采取的防护措施。</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（4）新闻宣传组</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lang w:val="en-US" w:eastAsia="zh-CN"/>
        </w:rPr>
      </w:pPr>
      <w:r>
        <w:rPr>
          <w:rFonts w:hint="default" w:ascii="宋体" w:hAnsi="宋体" w:eastAsia="宋体" w:cs="宋体"/>
          <w:color w:val="000000"/>
          <w:kern w:val="0"/>
          <w:sz w:val="28"/>
          <w:szCs w:val="28"/>
          <w:lang w:eastAsia="zh-CN"/>
        </w:rPr>
        <w:t>牵头单位</w:t>
      </w:r>
      <w:r>
        <w:rPr>
          <w:rFonts w:hint="default" w:ascii="宋体" w:hAnsi="宋体" w:eastAsia="宋体" w:cs="宋体"/>
          <w:color w:val="000000"/>
          <w:kern w:val="0"/>
          <w:sz w:val="28"/>
          <w:szCs w:val="28"/>
        </w:rPr>
        <w:t>：</w:t>
      </w:r>
      <w:r>
        <w:rPr>
          <w:rFonts w:hint="default" w:ascii="宋体" w:hAnsi="宋体" w:eastAsia="宋体" w:cs="宋体"/>
          <w:color w:val="000000"/>
          <w:kern w:val="0"/>
          <w:sz w:val="28"/>
          <w:szCs w:val="28"/>
          <w:lang w:val="en-US" w:eastAsia="zh-CN"/>
        </w:rPr>
        <w:t>党政办</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主要职责：组织协调新闻媒体及时报道应急处置工作开展情况；积极正确引导舆论，及时澄清事实，处置不实言论；及时收集、整理和报送舆情监测等相关信息；承担领导交办的其他工作。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（5）善后处理组</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lang w:val="en-US" w:eastAsia="zh-CN"/>
        </w:rPr>
      </w:pPr>
      <w:r>
        <w:rPr>
          <w:rFonts w:hint="default" w:ascii="宋体" w:hAnsi="宋体" w:eastAsia="宋体" w:cs="宋体"/>
          <w:color w:val="000000"/>
          <w:kern w:val="0"/>
          <w:sz w:val="28"/>
          <w:szCs w:val="28"/>
          <w:lang w:eastAsia="zh-CN"/>
        </w:rPr>
        <w:t>牵头单位</w:t>
      </w:r>
      <w:r>
        <w:rPr>
          <w:rFonts w:hint="default" w:ascii="宋体" w:hAnsi="宋体" w:eastAsia="宋体" w:cs="宋体"/>
          <w:color w:val="000000"/>
          <w:kern w:val="0"/>
          <w:sz w:val="28"/>
          <w:szCs w:val="28"/>
        </w:rPr>
        <w:t>：</w:t>
      </w:r>
      <w:r>
        <w:rPr>
          <w:rFonts w:hint="default" w:ascii="宋体" w:hAnsi="宋体" w:eastAsia="宋体" w:cs="宋体"/>
          <w:color w:val="000000"/>
          <w:kern w:val="0"/>
          <w:sz w:val="28"/>
          <w:szCs w:val="28"/>
          <w:lang w:val="en-US" w:eastAsia="zh-CN"/>
        </w:rPr>
        <w:t>社会治理和社会事业局</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主要职责：做好对伤亡人员的身份确认和处置；落实用于接待伤亡人员家属的车辆和住宿；研究制订伤亡人员的补偿测算等善后处理方案，做好相应的安抚和政策解释工作，并及时向指挥部报告善后处理动态。</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（6）医疗卫生组</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lang w:val="en-US" w:eastAsia="zh-CN"/>
        </w:rPr>
      </w:pPr>
      <w:r>
        <w:rPr>
          <w:rFonts w:hint="default" w:ascii="宋体" w:hAnsi="宋体" w:eastAsia="宋体" w:cs="宋体"/>
          <w:color w:val="000000"/>
          <w:kern w:val="0"/>
          <w:sz w:val="28"/>
          <w:szCs w:val="28"/>
          <w:lang w:eastAsia="zh-CN"/>
        </w:rPr>
        <w:t>牵头单位</w:t>
      </w:r>
      <w:r>
        <w:rPr>
          <w:rFonts w:hint="default" w:ascii="宋体" w:hAnsi="宋体" w:eastAsia="宋体" w:cs="宋体"/>
          <w:color w:val="000000"/>
          <w:kern w:val="0"/>
          <w:sz w:val="28"/>
          <w:szCs w:val="28"/>
        </w:rPr>
        <w:t>：</w:t>
      </w:r>
      <w:r>
        <w:rPr>
          <w:rFonts w:hint="default" w:ascii="宋体" w:hAnsi="宋体" w:eastAsia="宋体" w:cs="宋体"/>
          <w:color w:val="000000"/>
          <w:kern w:val="0"/>
          <w:sz w:val="28"/>
          <w:szCs w:val="28"/>
          <w:lang w:val="en-US" w:eastAsia="zh-CN"/>
        </w:rPr>
        <w:t>社会治理和社会事业局、城厢镇社区卫生服务中心</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主要职责：联系定点医院设立临时医疗点，协调外部医疗机构，为事故受伤人员、救援人员提供医疗保障服务；做好现场救援区域的防疫消毒。</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（7）事故调查组</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lang w:val="en-US" w:eastAsia="zh-CN"/>
        </w:rPr>
      </w:pPr>
      <w:r>
        <w:rPr>
          <w:rFonts w:hint="default" w:ascii="宋体" w:hAnsi="宋体" w:eastAsia="宋体" w:cs="宋体"/>
          <w:color w:val="000000"/>
          <w:kern w:val="0"/>
          <w:sz w:val="28"/>
          <w:szCs w:val="28"/>
        </w:rPr>
        <w:t>组长：</w:t>
      </w:r>
      <w:r>
        <w:rPr>
          <w:rFonts w:hint="default" w:ascii="宋体" w:hAnsi="宋体" w:eastAsia="宋体" w:cs="宋体"/>
          <w:color w:val="000000"/>
          <w:kern w:val="0"/>
          <w:sz w:val="28"/>
          <w:szCs w:val="28"/>
          <w:lang w:val="en-US" w:eastAsia="zh-CN"/>
        </w:rPr>
        <w:t xml:space="preserve">交警中队、应急管理局 </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主要职责：发生重特大道路交通事故后，积极配合上级交警大队查明交通事故当事人的基本情况；车辆安全技术状况及装载情况；交通事故的基本事实；查明事故原因、发生经过及可能造成的损失，初步估计责任情况，做出事故责任认定，依法追究交通肇事者法律责任。</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Times New Roman" w:hAnsi="Times New Roman" w:eastAsia="宋体" w:cs="Times New Roman"/>
          <w:sz w:val="32"/>
          <w:szCs w:val="32"/>
        </w:rPr>
      </w:pPr>
      <w:r>
        <w:rPr>
          <w:rFonts w:hint="default" w:ascii="宋体" w:hAnsi="宋体" w:eastAsia="宋体" w:cs="宋体"/>
          <w:color w:val="000000"/>
          <w:kern w:val="0"/>
          <w:sz w:val="28"/>
          <w:szCs w:val="28"/>
        </w:rPr>
        <w:t>指挥部所属办公室和各工作组，应按本预案划定的工作职责，分别拟定具体工作细则和相关措施，并落实到部门、单位和人员，确保预案的可操作性。</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35" w:name="_Toc28751"/>
      <w:r>
        <w:rPr>
          <w:rFonts w:hint="default" w:ascii="黑体" w:hAnsi="黑体" w:eastAsia="黑体" w:cs="黑体"/>
          <w:sz w:val="32"/>
          <w:szCs w:val="32"/>
        </w:rPr>
        <w:t>3预警预防机制</w:t>
      </w:r>
      <w:bookmarkEnd w:id="33"/>
      <w:bookmarkEnd w:id="35"/>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接到发生交通事故报案后,指挥中心要立即组织力量,5分钟内到达现场。保护勘查现场,采取有效措施开展工作,必要时可实行临时交通管制,努力把事故伤亡损失降低到最低限度。同时报道路交通事故处置指挥部,指挥部根据接报情况,立即组织有关单位、人员赶赴现场展开处置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接到报警后,按照应急预案及时研究确定应对方案,并通知有关部门、单位采取相应行动。</w:t>
      </w:r>
      <w:bookmarkStart w:id="36" w:name="_Toc387620399"/>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预警信息内容要求准确、简练，包括发布主体、发布时间、事件类别、起始时间、影响范围、预警级别、警示措施、事态发展、咨询电话等。</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37" w:name="_Toc1055"/>
      <w:r>
        <w:rPr>
          <w:rFonts w:hint="default" w:ascii="黑体" w:hAnsi="黑体" w:eastAsia="黑体" w:cs="黑体"/>
          <w:sz w:val="32"/>
          <w:szCs w:val="32"/>
        </w:rPr>
        <w:t>4 应急响应</w:t>
      </w:r>
      <w:bookmarkEnd w:id="36"/>
      <w:bookmarkEnd w:id="37"/>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8" w:name="_Toc16520"/>
      <w:bookmarkStart w:id="39" w:name="_Toc387620400"/>
      <w:r>
        <w:rPr>
          <w:rFonts w:hint="default" w:ascii="楷体" w:hAnsi="楷体" w:eastAsia="楷体" w:cs="楷体"/>
          <w:sz w:val="28"/>
          <w:szCs w:val="28"/>
        </w:rPr>
        <w:t>4.1</w:t>
      </w:r>
      <w:r>
        <w:rPr>
          <w:rFonts w:hint="default" w:ascii="楷体" w:hAnsi="楷体" w:eastAsia="楷体" w:cs="楷体"/>
          <w:sz w:val="28"/>
          <w:szCs w:val="28"/>
          <w:lang w:val="en-US" w:eastAsia="zh-CN"/>
        </w:rPr>
        <w:t>信息</w:t>
      </w:r>
      <w:r>
        <w:rPr>
          <w:rFonts w:hint="default" w:ascii="楷体" w:hAnsi="楷体" w:eastAsia="楷体" w:cs="楷体"/>
          <w:sz w:val="28"/>
          <w:szCs w:val="28"/>
        </w:rPr>
        <w:t>报告</w:t>
      </w:r>
      <w:bookmarkEnd w:id="38"/>
      <w:bookmarkEnd w:id="39"/>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道路交通事故发生后，应立即向交警中队报告，交警中队接到报告后，相关成员单位要迅速组织力量展开工作。并在1小时内写出事故情况报告。事故报告应包括以下内容：</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（1）事故发生时间、地点、肇事驾驶员信息、肇事驾驶人单位和车主信息；</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（2）事故单位的行业、经济类型；</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（3）事故简要经过、伤亡人数、直接经济损失</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（4）事故性质及发生原因；</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（5）事故抢救处理的情况及采取的措施；</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（6）需要有关部门和单位协助的有关情况；</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（7）事故报告单位、签发人和报告时间；</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0" w:name="_Toc387620401"/>
      <w:bookmarkStart w:id="41" w:name="_Toc23029"/>
      <w:r>
        <w:rPr>
          <w:rFonts w:hint="default" w:ascii="楷体" w:hAnsi="楷体" w:eastAsia="楷体" w:cs="楷体"/>
          <w:sz w:val="28"/>
          <w:szCs w:val="28"/>
        </w:rPr>
        <w:t>4.2先期处置</w:t>
      </w:r>
      <w:bookmarkEnd w:id="40"/>
      <w:bookmarkEnd w:id="41"/>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处警救援人员应当携带必要的现场勘查器材、急救工具、安全防护器材，及时对伤员进行施救，指挥、引导车辆行人绕行，确保救援车辆道路畅通。如遇台风、暴雨、浓雾、雨雪等恶劣天气和地震、桥梁、道路坍塌及其它灾害连续引发的交通事故，或运载危险化学品车辆发生重大交通事故，以及封路上访突发性事件的，应当视情采取交通管制措施，紧急疏散周围人员。</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2" w:name="_Toc16162"/>
      <w:bookmarkStart w:id="43" w:name="_Toc387620402"/>
      <w:r>
        <w:rPr>
          <w:rFonts w:hint="default" w:ascii="楷体" w:hAnsi="楷体" w:eastAsia="楷体" w:cs="楷体"/>
          <w:sz w:val="28"/>
          <w:szCs w:val="28"/>
        </w:rPr>
        <w:t>4.</w:t>
      </w:r>
      <w:r>
        <w:rPr>
          <w:rFonts w:hint="default" w:ascii="楷体" w:hAnsi="楷体" w:eastAsia="楷体" w:cs="楷体"/>
          <w:sz w:val="28"/>
          <w:szCs w:val="28"/>
          <w:lang w:val="en-US" w:eastAsia="zh-CN"/>
        </w:rPr>
        <w:t>3</w:t>
      </w:r>
      <w:r>
        <w:rPr>
          <w:rFonts w:hint="default" w:ascii="楷体" w:hAnsi="楷体" w:eastAsia="楷体" w:cs="楷体"/>
          <w:sz w:val="28"/>
          <w:szCs w:val="28"/>
        </w:rPr>
        <w:t>现场处置</w:t>
      </w:r>
      <w:bookmarkEnd w:id="42"/>
      <w:bookmarkEnd w:id="43"/>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（1）现场人员应积极采取自救措施，防止连续发生事故和损失扩大，并保护现场，因抢救伤员和财产等原因需要移动现场物品时必须做出标记。</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2）交警中队接到报案后，必须先组织抢救受伤人员，同时，根据需要对事故现场进行全面管制，疏散围观群众，控制当事人，防止逃逸或发生意外；快速勘查现场，迅速理清事故车辆。同时，要预防和制止各种破坏活动，维护社会治安秩序。</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3）事故发生地有关单位和部门接到事故报案后立即赶赴现场，并做好防止事态扩大、保护现场以及抢救伤员、财产的工作。因抢救伤员和财产等原因需要移动现场物品时必须做出标记，有条件的地方应拍照、录像和详细记录，最大限度地保护现场和痕迹物证。</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（4）利用各种医疗设备抢救伤员。医药部门应做好救援配合工作。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（5）发生重大涉外事故，</w:t>
      </w:r>
      <w:r>
        <w:rPr>
          <w:rFonts w:hint="default" w:ascii="宋体" w:hAnsi="宋体" w:eastAsia="宋体" w:cs="宋体"/>
          <w:color w:val="000000"/>
          <w:kern w:val="0"/>
          <w:sz w:val="28"/>
          <w:szCs w:val="28"/>
          <w:lang w:val="en-US" w:eastAsia="zh-CN"/>
        </w:rPr>
        <w:t>立即上报上级主管部门和</w:t>
      </w:r>
      <w:r>
        <w:rPr>
          <w:rFonts w:hint="default" w:ascii="宋体" w:hAnsi="宋体" w:eastAsia="宋体" w:cs="宋体"/>
          <w:color w:val="000000"/>
          <w:kern w:val="0"/>
          <w:sz w:val="28"/>
          <w:szCs w:val="28"/>
        </w:rPr>
        <w:t>外事部门立即赶赴现场，协助有关部门做好涉外事故应急救援处置和对外接待联系工作。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w:t>
      </w:r>
      <w:r>
        <w:rPr>
          <w:rFonts w:hint="default" w:ascii="宋体" w:hAnsi="宋体" w:eastAsia="宋体" w:cs="宋体"/>
          <w:color w:val="000000"/>
          <w:kern w:val="0"/>
          <w:sz w:val="28"/>
          <w:szCs w:val="28"/>
          <w:lang w:val="en-US" w:eastAsia="zh-CN"/>
        </w:rPr>
        <w:t>6</w:t>
      </w:r>
      <w:r>
        <w:rPr>
          <w:rFonts w:hint="default" w:ascii="宋体" w:hAnsi="宋体" w:eastAsia="宋体" w:cs="宋体"/>
          <w:color w:val="000000"/>
          <w:kern w:val="0"/>
          <w:sz w:val="28"/>
          <w:szCs w:val="28"/>
        </w:rPr>
        <w:t>）在救援过程中紧急调用的物资、设备、人员和场地，任何组织和个人都不得阻扰和拒绝。</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bookmarkStart w:id="44" w:name="_Toc387620403"/>
      <w:bookmarkStart w:id="45" w:name="_Toc25321"/>
      <w:r>
        <w:rPr>
          <w:rFonts w:hint="default" w:ascii="宋体" w:hAnsi="宋体" w:eastAsia="宋体" w:cs="宋体"/>
          <w:color w:val="000000"/>
          <w:kern w:val="0"/>
          <w:sz w:val="28"/>
          <w:szCs w:val="28"/>
        </w:rPr>
        <w:t>4.</w:t>
      </w:r>
      <w:r>
        <w:rPr>
          <w:rFonts w:hint="default" w:ascii="宋体" w:hAnsi="宋体" w:eastAsia="宋体" w:cs="宋体"/>
          <w:color w:val="000000"/>
          <w:kern w:val="0"/>
          <w:sz w:val="28"/>
          <w:szCs w:val="28"/>
          <w:lang w:val="en-US" w:eastAsia="zh-CN"/>
        </w:rPr>
        <w:t>4</w:t>
      </w:r>
      <w:r>
        <w:rPr>
          <w:rFonts w:hint="default" w:ascii="宋体" w:hAnsi="宋体" w:eastAsia="宋体" w:cs="宋体"/>
          <w:color w:val="000000"/>
          <w:kern w:val="0"/>
          <w:sz w:val="28"/>
          <w:szCs w:val="28"/>
        </w:rPr>
        <w:t>应急结束</w:t>
      </w:r>
      <w:bookmarkEnd w:id="44"/>
      <w:bookmarkEnd w:id="45"/>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道路交通事故现场施救、勘查取证等工作基本完成，经专家咨询和有关专业技术人员检查判定后，由现场指挥部确定清理现场、恢复交通。车辆及死伤人员鉴定工作基本完成，伤者伤情基本稳定，新增伤亡人数可能性不大，善后处置工作基本完成，无次生、衍生事故危害时，经应急指挥部核实后，及时决定结束应急状态，并由应急指挥部办公室通知相关成员单位。</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46" w:name="_Toc387620404"/>
      <w:bookmarkStart w:id="47" w:name="_Toc1694"/>
      <w:r>
        <w:rPr>
          <w:rFonts w:hint="default" w:ascii="黑体" w:hAnsi="黑体" w:eastAsia="黑体" w:cs="黑体"/>
          <w:sz w:val="32"/>
          <w:szCs w:val="32"/>
        </w:rPr>
        <w:t>5 后期处理</w:t>
      </w:r>
      <w:bookmarkEnd w:id="46"/>
      <w:bookmarkEnd w:id="47"/>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8" w:name="_Toc5016"/>
      <w:r>
        <w:rPr>
          <w:rFonts w:hint="default" w:ascii="楷体" w:hAnsi="楷体" w:eastAsia="楷体" w:cs="楷体"/>
          <w:sz w:val="28"/>
          <w:szCs w:val="28"/>
        </w:rPr>
        <w:t>5.1 善后处置</w:t>
      </w:r>
      <w:bookmarkEnd w:id="48"/>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交通安全事故发生后，相关部门应当迅速采取措施，开展救济救助工作，恢复正常的社会秩序。派出所等单位配合事发地交警中队及时进行调查、统计道路交通安全事故的影响范围和受灾程度，评估、核实道路交通安全事故所造成的损失情况，报交通事故应急指挥部和相关部门，并按规定向社会公布。卫生部门配合做好受伤人员的救护工作，民政等有关部门配合做好丧葬抚恤工作。由经办机构及时归还征用的物资、设施、设备或占用的房屋、土地；不能及时归还或者造成损坏的，应当依照国家规定予以补偿。参加应急救援工作导致伤残或者死亡的，其抚恤事宜按国家有关规定办理。</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9" w:name="_Toc21710"/>
      <w:r>
        <w:rPr>
          <w:rFonts w:hint="default" w:ascii="楷体" w:hAnsi="楷体" w:eastAsia="楷体" w:cs="楷体"/>
          <w:sz w:val="28"/>
          <w:szCs w:val="28"/>
        </w:rPr>
        <w:t>5.2 事故调查</w:t>
      </w:r>
      <w:bookmarkEnd w:id="49"/>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处置结束后，交通事故应急指挥部及有关部门配合上级有关部门进行事故调查，事故调查严格按照相关法律法规规定进行。</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50" w:name="_Toc387620405"/>
      <w:bookmarkStart w:id="51" w:name="_Toc10096"/>
      <w:r>
        <w:rPr>
          <w:rFonts w:hint="default" w:ascii="黑体" w:hAnsi="黑体" w:eastAsia="黑体" w:cs="黑体"/>
          <w:sz w:val="32"/>
          <w:szCs w:val="32"/>
        </w:rPr>
        <w:t>6 保障措施</w:t>
      </w:r>
      <w:bookmarkEnd w:id="50"/>
      <w:bookmarkEnd w:id="51"/>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（1）信息保障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完善指挥部的接处警指挥系统，配备必要的应急备用设施和技术力量；建立健全并认真落实有重大社会影响交通事故的信息收集、传递、处理、报送各环节的工作制度，确保信息报送渠道的安全畅通。</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（2）装备保障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建立处置有重大社会影响交通事故装备保障制度。消防车辆、照明、灭火、破拆等专用设备、器材实行专人保管和维护，满足应急处置需要。各相关职能部门应健全应急制度，落实应急人员，配备相应装备。</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（3）资金保障。</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道路交通安全预防和处置道路交通事故所需经费纳入财政年度专项经费预算，为应急处置工作提供必要的资金保障。</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52" w:name="_Toc16556"/>
      <w:bookmarkStart w:id="53" w:name="_Toc387620406"/>
      <w:r>
        <w:rPr>
          <w:rFonts w:hint="default" w:ascii="黑体" w:hAnsi="黑体" w:eastAsia="黑体" w:cs="黑体"/>
          <w:sz w:val="32"/>
          <w:szCs w:val="32"/>
        </w:rPr>
        <w:t>7 培训演练</w:t>
      </w:r>
      <w:bookmarkEnd w:id="52"/>
      <w:bookmarkEnd w:id="53"/>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应急指挥部定期组织宣传道路交通安全有关法律法规，提高广大交通参与者的交通安全意识；向群众传播道路交通安全、救护知识；对专业技术人员进行培训，提高应急救援能力。</w:t>
      </w:r>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Times New Roman" w:hAnsi="Times New Roman" w:eastAsia="宋体" w:cs="Times New Roman"/>
          <w:sz w:val="32"/>
          <w:szCs w:val="32"/>
        </w:rPr>
      </w:pPr>
      <w:r>
        <w:rPr>
          <w:rFonts w:hint="default" w:ascii="宋体" w:hAnsi="宋体" w:eastAsia="宋体" w:cs="宋体"/>
          <w:color w:val="000000"/>
          <w:kern w:val="0"/>
          <w:sz w:val="28"/>
          <w:szCs w:val="28"/>
        </w:rPr>
        <w:t>每年组织一次应急演练，加强成员单位之间的协 调配合，检查成员单位应急保障措施落实情况，检验和提高应急处置能力，确保紧急状态下的有效沟通、统一指挥和高效运作。</w:t>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54" w:name="_Toc1470"/>
      <w:bookmarkStart w:id="55" w:name="_Toc387620407"/>
      <w:r>
        <w:rPr>
          <w:rFonts w:hint="default" w:ascii="黑体" w:hAnsi="黑体" w:eastAsia="黑体" w:cs="黑体"/>
          <w:sz w:val="32"/>
          <w:szCs w:val="32"/>
        </w:rPr>
        <w:t>8 附则</w:t>
      </w:r>
      <w:bookmarkEnd w:id="54"/>
      <w:bookmarkEnd w:id="55"/>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6" w:name="_Toc30629"/>
      <w:bookmarkStart w:id="57" w:name="_Toc387620408"/>
      <w:r>
        <w:rPr>
          <w:rFonts w:hint="default" w:ascii="楷体" w:hAnsi="楷体" w:eastAsia="楷体" w:cs="楷体"/>
          <w:sz w:val="28"/>
          <w:szCs w:val="28"/>
        </w:rPr>
        <w:t>8.1制定与解释</w:t>
      </w:r>
      <w:bookmarkEnd w:id="56"/>
      <w:bookmarkEnd w:id="57"/>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rPr>
      </w:pPr>
      <w:r>
        <w:rPr>
          <w:rFonts w:hint="default" w:ascii="宋体" w:hAnsi="宋体" w:eastAsia="宋体" w:cs="宋体"/>
          <w:color w:val="000000"/>
          <w:kern w:val="0"/>
          <w:sz w:val="28"/>
          <w:szCs w:val="28"/>
        </w:rPr>
        <w:t>本预案由交警中队负责制定和解释，并根据实际情况变化及时修订。</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8" w:name="_Toc387620409"/>
      <w:bookmarkStart w:id="59" w:name="_Toc17481"/>
      <w:r>
        <w:rPr>
          <w:rFonts w:hint="default" w:ascii="楷体" w:hAnsi="楷体" w:eastAsia="楷体" w:cs="楷体"/>
          <w:sz w:val="28"/>
          <w:szCs w:val="28"/>
        </w:rPr>
        <w:t>8.2实施时间</w:t>
      </w:r>
      <w:bookmarkEnd w:id="58"/>
      <w:bookmarkEnd w:id="59"/>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宋体" w:hAnsi="宋体" w:eastAsia="宋体" w:cs="宋体"/>
          <w:color w:val="000000"/>
          <w:kern w:val="0"/>
          <w:sz w:val="28"/>
          <w:szCs w:val="28"/>
          <w:lang w:val="en-US" w:eastAsia="zh-CN"/>
        </w:rPr>
      </w:pPr>
      <w:r>
        <w:rPr>
          <w:rFonts w:hint="default" w:ascii="宋体" w:hAnsi="宋体" w:eastAsia="宋体" w:cs="宋体"/>
          <w:color w:val="000000"/>
          <w:kern w:val="0"/>
          <w:sz w:val="28"/>
          <w:szCs w:val="28"/>
        </w:rPr>
        <w:t>本预案自发布之日起实</w:t>
      </w:r>
      <w:r>
        <w:rPr>
          <w:rFonts w:hint="default" w:ascii="宋体" w:hAnsi="宋体" w:eastAsia="宋体" w:cs="宋体"/>
          <w:color w:val="000000"/>
          <w:kern w:val="0"/>
          <w:sz w:val="28"/>
          <w:szCs w:val="28"/>
          <w:lang w:val="en-US" w:eastAsia="zh-CN"/>
        </w:rPr>
        <w:t>施。</w:t>
      </w:r>
    </w:p>
    <w:p>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br w:type="page"/>
      </w:r>
    </w:p>
    <w:p>
      <w:pPr>
        <w:pStyle w:val="2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9附件</w:t>
      </w:r>
    </w:p>
    <w:p>
      <w:pPr>
        <w:pStyle w:val="2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9.1应急响应流程</w:t>
      </w:r>
    </w:p>
    <w:p>
      <w:pPr>
        <w:spacing w:line="360" w:lineRule="auto"/>
        <w:ind w:firstLine="420" w:firstLineChars="200"/>
        <w:rPr>
          <w:rFonts w:hint="eastAsia" w:cs="Times New Roman"/>
          <w:sz w:val="28"/>
          <w:szCs w:val="28"/>
          <w:lang w:val="en-US" w:eastAsia="zh-CN"/>
        </w:rPr>
      </w:pPr>
      <w:r>
        <w:drawing>
          <wp:inline distT="0" distB="0" distL="0" distR="0">
            <wp:extent cx="5394960" cy="46545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396827" cy="4656691"/>
                    </a:xfrm>
                    <a:prstGeom prst="rect">
                      <a:avLst/>
                    </a:prstGeom>
                    <a:noFill/>
                    <a:ln>
                      <a:noFill/>
                    </a:ln>
                  </pic:spPr>
                </pic:pic>
              </a:graphicData>
            </a:graphic>
          </wp:inline>
        </w:drawing>
      </w:r>
    </w:p>
    <w:p>
      <w:pPr>
        <w:spacing w:line="360" w:lineRule="auto"/>
        <w:ind w:firstLine="560" w:firstLineChars="200"/>
        <w:rPr>
          <w:rFonts w:hint="eastAsia" w:cs="Times New Roman"/>
          <w:sz w:val="28"/>
          <w:szCs w:val="28"/>
          <w:lang w:val="en-US" w:eastAsia="zh-CN"/>
        </w:rPr>
      </w:pPr>
    </w:p>
    <w:p>
      <w:pPr>
        <w:spacing w:line="360" w:lineRule="auto"/>
        <w:ind w:firstLine="560" w:firstLineChars="200"/>
        <w:rPr>
          <w:rFonts w:hint="eastAsia" w:cs="Times New Roman"/>
          <w:sz w:val="28"/>
          <w:szCs w:val="28"/>
          <w:lang w:val="en-US" w:eastAsia="zh-CN"/>
        </w:rPr>
      </w:pPr>
    </w:p>
    <w:p>
      <w:pPr>
        <w:rPr>
          <w:rFonts w:hint="default" w:ascii="仿宋_GB2312" w:hAnsi="Times New Roman" w:eastAsia="仿宋_GB2312"/>
          <w:color w:val="auto"/>
          <w:sz w:val="30"/>
          <w:szCs w:val="30"/>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8" w:bottom="1418" w:left="1701"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1kLNcBAACyAwAADgAAAGRycy9lMm9Eb2MueG1srVPNjtMwEL4j8Q6W&#10;7zTZokUlarpaVC1CQoC08ACu4zSW/KcZt0lfAN6AExfuPFefg7GTdNFy2cNekvnzN/N9Hq9vBmvY&#10;UQFq72p+tSg5U076Rrt9zb99vXu14gyjcI0w3qmanxTym83LF+s+VGrpO28aBYxAHFZ9qHkXY6iK&#10;AmWnrMCFD8pRsvVgRSQX9kUDoid0a4plWb4peg9NAC8VIkW3Y5JPiPAUQN+2WqqtlwerXBxRQRkR&#10;iRJ2OiDf5GnbVsn4uW1RRWZqTkxj/lITsnfpW2zWotqDCJ2W0wjiKSM84mSFdtT0ArUVUbAD6P+g&#10;rJbg0bdxIb0tRiJZEWJxVT7S5r4TQWUuJDWGi+j4fLDy0/ELMN3QJrzmzAlLN37++eP868/593dG&#10;MRKoD1hR3X2gyji88wMVz3GkYOI9tGDTnxgxypO8p4u8aohMpkOr5WpVUkpSbnYIv3g4HgDje+Ut&#10;S0bNge4vyyqOHzGOpXNJ6ub8nTYm36FxrK/52+vldT5wyRC4calW5W2YYBKlcfRkxWE3TDx3vjkR&#10;zZ42ouaOHgBn5oMjwdPyzAbMxm42DgH0vsvblXphuD1Emi2PnDqMsEQ1OXSVmfS0dmlX/vVz1cNT&#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StZCzXAQAAsgMAAA4AAAAAAAAAAQAgAAAA&#10;HgEAAGRycy9lMm9Eb2MueG1sUEsFBgAAAAAGAAYAWQEAAGcFA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fldChar w:fldCharType="begin"/>
    </w:r>
    <w:r>
      <w:rPr>
        <w:rStyle w:val="18"/>
      </w:rPr>
      <w:instrText xml:space="preserve">PAGE  </w:instrTex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046A5CFF"/>
    <w:rsid w:val="000C0753"/>
    <w:rsid w:val="005E60CD"/>
    <w:rsid w:val="00C45F4B"/>
    <w:rsid w:val="00E02ECD"/>
    <w:rsid w:val="046A5CFF"/>
    <w:rsid w:val="05145BD8"/>
    <w:rsid w:val="08572CA9"/>
    <w:rsid w:val="091E5277"/>
    <w:rsid w:val="0A43331A"/>
    <w:rsid w:val="0C4274CE"/>
    <w:rsid w:val="0C6E48EC"/>
    <w:rsid w:val="10F651DF"/>
    <w:rsid w:val="118322C7"/>
    <w:rsid w:val="14B12357"/>
    <w:rsid w:val="178D1481"/>
    <w:rsid w:val="1B663EDC"/>
    <w:rsid w:val="1B8D2FE5"/>
    <w:rsid w:val="1C9A436D"/>
    <w:rsid w:val="224715A0"/>
    <w:rsid w:val="22EE226C"/>
    <w:rsid w:val="23480148"/>
    <w:rsid w:val="242B4894"/>
    <w:rsid w:val="25A671EF"/>
    <w:rsid w:val="283018E9"/>
    <w:rsid w:val="299E694F"/>
    <w:rsid w:val="2A8A208C"/>
    <w:rsid w:val="2AAF1D7B"/>
    <w:rsid w:val="2DD97410"/>
    <w:rsid w:val="33F9172C"/>
    <w:rsid w:val="34325F48"/>
    <w:rsid w:val="35AF70D3"/>
    <w:rsid w:val="35DB7EC8"/>
    <w:rsid w:val="38795776"/>
    <w:rsid w:val="3D3D0FBB"/>
    <w:rsid w:val="3EE11B5D"/>
    <w:rsid w:val="43D1290A"/>
    <w:rsid w:val="442F7505"/>
    <w:rsid w:val="453A628D"/>
    <w:rsid w:val="464C040F"/>
    <w:rsid w:val="46DC6C10"/>
    <w:rsid w:val="48BD5604"/>
    <w:rsid w:val="4B3D6AD7"/>
    <w:rsid w:val="4CB9218D"/>
    <w:rsid w:val="4CF41EC3"/>
    <w:rsid w:val="4D881052"/>
    <w:rsid w:val="4DB03590"/>
    <w:rsid w:val="4E725795"/>
    <w:rsid w:val="513F2395"/>
    <w:rsid w:val="56AA2941"/>
    <w:rsid w:val="595B0BEB"/>
    <w:rsid w:val="59F83A1B"/>
    <w:rsid w:val="5B305209"/>
    <w:rsid w:val="641A755E"/>
    <w:rsid w:val="67142D5F"/>
    <w:rsid w:val="6B0300DA"/>
    <w:rsid w:val="6CD84626"/>
    <w:rsid w:val="71082257"/>
    <w:rsid w:val="72463042"/>
    <w:rsid w:val="74224411"/>
    <w:rsid w:val="74845D98"/>
    <w:rsid w:val="778E6D43"/>
    <w:rsid w:val="7BF14EA3"/>
    <w:rsid w:val="7C162CC9"/>
    <w:rsid w:val="7E1E7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qFormat/>
    <w:uiPriority w:val="0"/>
    <w:pPr>
      <w:keepNext/>
      <w:keepLines/>
      <w:spacing w:line="500" w:lineRule="exact"/>
      <w:outlineLvl w:val="3"/>
    </w:pPr>
    <w:rPr>
      <w:rFonts w:eastAsia="黑体"/>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4">
    <w:name w:val="Normal Indent"/>
    <w:basedOn w:val="1"/>
    <w:qFormat/>
    <w:uiPriority w:val="0"/>
    <w:pPr>
      <w:ind w:firstLine="420" w:firstLineChars="200"/>
    </w:pPr>
    <w:rPr>
      <w:sz w:val="24"/>
      <w:szCs w:val="20"/>
    </w:rPr>
  </w:style>
  <w:style w:type="paragraph" w:styleId="5">
    <w:name w:val="Body Text"/>
    <w:basedOn w:val="1"/>
    <w:next w:val="6"/>
    <w:qFormat/>
    <w:uiPriority w:val="0"/>
  </w:style>
  <w:style w:type="paragraph" w:styleId="6">
    <w:name w:val="Title"/>
    <w:basedOn w:val="1"/>
    <w:next w:val="4"/>
    <w:qFormat/>
    <w:uiPriority w:val="0"/>
    <w:pPr>
      <w:spacing w:before="240" w:after="60"/>
      <w:jc w:val="center"/>
      <w:outlineLvl w:val="0"/>
    </w:pPr>
    <w:rPr>
      <w:rFonts w:ascii="Cambria" w:hAnsi="Cambria" w:eastAsia="宋体"/>
      <w:b/>
      <w:bCs/>
    </w:rPr>
  </w:style>
  <w:style w:type="paragraph" w:styleId="7">
    <w:name w:val="Body Text Indent"/>
    <w:basedOn w:val="1"/>
    <w:unhideWhenUsed/>
    <w:qFormat/>
    <w:uiPriority w:val="0"/>
    <w:pPr>
      <w:ind w:firstLine="640"/>
    </w:pPr>
    <w:rPr>
      <w:rFonts w:ascii="仿宋_GB2312" w:eastAsia="仿宋_GB2312"/>
      <w:sz w:val="32"/>
      <w:szCs w:val="20"/>
    </w:rPr>
  </w:style>
  <w:style w:type="paragraph" w:styleId="8">
    <w:name w:val="toc 3"/>
    <w:basedOn w:val="1"/>
    <w:next w:val="1"/>
    <w:semiHidden/>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style>
  <w:style w:type="paragraph" w:styleId="12">
    <w:name w:val="toc 4"/>
    <w:basedOn w:val="1"/>
    <w:next w:val="1"/>
    <w:qFormat/>
    <w:uiPriority w:val="39"/>
    <w:pPr>
      <w:ind w:left="1260" w:leftChars="600"/>
    </w:pPr>
  </w:style>
  <w:style w:type="paragraph" w:styleId="13">
    <w:name w:val="toc 2"/>
    <w:basedOn w:val="1"/>
    <w:next w:val="1"/>
    <w:semiHidden/>
    <w:qFormat/>
    <w:uiPriority w:val="0"/>
    <w:pPr>
      <w:ind w:left="420" w:leftChars="200"/>
    </w:p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7">
    <w:name w:val="Strong"/>
    <w:basedOn w:val="16"/>
    <w:qFormat/>
    <w:uiPriority w:val="0"/>
    <w:rPr>
      <w:b/>
      <w:bCs/>
    </w:rPr>
  </w:style>
  <w:style w:type="character" w:styleId="18">
    <w:name w:val="page number"/>
    <w:basedOn w:val="16"/>
    <w:qFormat/>
    <w:uiPriority w:val="0"/>
  </w:style>
  <w:style w:type="character" w:styleId="19">
    <w:name w:val="Hyperlink"/>
    <w:basedOn w:val="16"/>
    <w:qFormat/>
    <w:uiPriority w:val="0"/>
    <w:rPr>
      <w:color w:val="0000FF"/>
      <w:u w:val="single"/>
    </w:rPr>
  </w:style>
  <w:style w:type="paragraph" w:customStyle="1" w:styleId="20">
    <w:name w:val="样式 正文（首行缩进两字） + 宋体"/>
    <w:basedOn w:val="4"/>
    <w:qFormat/>
    <w:uiPriority w:val="0"/>
    <w:pPr>
      <w:ind w:firstLine="0" w:firstLineChars="0"/>
    </w:pPr>
    <w:rPr>
      <w:sz w:val="28"/>
    </w:rPr>
  </w:style>
  <w:style w:type="paragraph" w:customStyle="1" w:styleId="21">
    <w:name w:val="reader-word-layer reader-word-s4-1"/>
    <w:basedOn w:val="1"/>
    <w:qFormat/>
    <w:uiPriority w:val="0"/>
    <w:pPr>
      <w:widowControl/>
      <w:spacing w:before="100" w:beforeAutospacing="1" w:after="100" w:afterAutospacing="1"/>
      <w:jc w:val="left"/>
    </w:pPr>
    <w:rPr>
      <w:rFonts w:ascii="宋体" w:hAnsi="宋体" w:cs="宋体"/>
      <w:kern w:val="0"/>
      <w:sz w:val="24"/>
    </w:rPr>
  </w:style>
  <w:style w:type="character" w:customStyle="1" w:styleId="22">
    <w:name w:val="font01"/>
    <w:basedOn w:val="16"/>
    <w:qFormat/>
    <w:uiPriority w:val="0"/>
    <w:rPr>
      <w:rFonts w:hint="eastAsia" w:ascii="宋体" w:hAnsi="宋体" w:eastAsia="宋体" w:cs="宋体"/>
      <w:color w:val="000000"/>
      <w:sz w:val="22"/>
      <w:szCs w:val="22"/>
      <w:u w:val="none"/>
    </w:rPr>
  </w:style>
  <w:style w:type="paragraph" w:customStyle="1" w:styleId="23">
    <w:name w:val="标题1"/>
    <w:basedOn w:val="1"/>
    <w:next w:val="1"/>
    <w:qFormat/>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24">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 w:type="paragraph" w:customStyle="1" w:styleId="25">
    <w:name w:val="二级标题"/>
    <w:basedOn w:val="1"/>
    <w:qFormat/>
    <w:uiPriority w:val="0"/>
    <w:pPr>
      <w:widowControl/>
      <w:spacing w:before="50" w:beforeLines="50" w:after="50" w:afterLines="50" w:line="500" w:lineRule="exact"/>
      <w:ind w:firstLine="643" w:firstLineChars="200"/>
      <w:jc w:val="left"/>
    </w:pPr>
    <w:rPr>
      <w:rFonts w:ascii="Times New Roman" w:hAnsi="Times New Roman" w:eastAsia="黑体"/>
      <w:b/>
      <w:color w:val="000000"/>
      <w:kern w:val="0"/>
      <w:sz w:val="32"/>
      <w:szCs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emf"/><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4878</Words>
  <Characters>4962</Characters>
  <Lines>202</Lines>
  <Paragraphs>199</Paragraphs>
  <TotalTime>14</TotalTime>
  <ScaleCrop>false</ScaleCrop>
  <LinksUpToDate>false</LinksUpToDate>
  <CharactersWithSpaces>4991</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2018-12-16T11:31:00Z</dcterms:created>
  <dc:creator>元</dc:creator>
  <cp:lastModifiedBy>Administrator</cp:lastModifiedBy>
  <cp:lastPrinted>2021-07-28T09:03:00Z</cp:lastPrinted>
  <dcterms:modified xsi:type="dcterms:W3CDTF">2022-12-14T05:11:10Z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4185362E11D3466B8E7C7B675D5725AF</vt:lpwstr>
  </property>
</Properties>
</file>