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4815"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46"/>
        <w:gridCol w:w="1625"/>
        <w:gridCol w:w="5121"/>
        <w:gridCol w:w="3351"/>
        <w:gridCol w:w="1939"/>
        <w:gridCol w:w="1068"/>
      </w:tblGrid>
      <w:tr w14:paraId="1E64F7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2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EBC44C">
            <w:pPr>
              <w:keepNext w:val="0"/>
              <w:keepLines w:val="0"/>
              <w:widowControl/>
              <w:suppressLineNumbers w:val="0"/>
              <w:jc w:val="center"/>
              <w:textAlignment w:val="center"/>
              <w:rPr>
                <w:rFonts w:ascii="黑体" w:hAnsi="宋体" w:eastAsia="黑体" w:cs="黑体"/>
                <w:i w:val="0"/>
                <w:iCs w:val="0"/>
                <w:color w:val="000000"/>
                <w:sz w:val="32"/>
                <w:szCs w:val="32"/>
                <w:u w:val="none"/>
              </w:rPr>
            </w:pPr>
            <w:bookmarkStart w:id="0" w:name="_GoBack"/>
            <w:bookmarkEnd w:id="0"/>
            <w:r>
              <w:rPr>
                <w:rFonts w:hint="eastAsia" w:ascii="黑体" w:hAnsi="宋体" w:eastAsia="黑体" w:cs="黑体"/>
                <w:i w:val="0"/>
                <w:iCs w:val="0"/>
                <w:color w:val="000000"/>
                <w:kern w:val="0"/>
                <w:sz w:val="32"/>
                <w:szCs w:val="32"/>
                <w:u w:val="none"/>
                <w:lang w:val="en-US" w:eastAsia="zh-CN" w:bidi="ar"/>
              </w:rPr>
              <w:t>序号</w:t>
            </w:r>
          </w:p>
        </w:tc>
        <w:tc>
          <w:tcPr>
            <w:tcW w:w="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864F81">
            <w:pPr>
              <w:keepNext w:val="0"/>
              <w:keepLines w:val="0"/>
              <w:widowControl/>
              <w:suppressLineNumbers w:val="0"/>
              <w:jc w:val="center"/>
              <w:textAlignment w:val="center"/>
              <w:rPr>
                <w:rFonts w:hint="eastAsia" w:ascii="黑体" w:hAnsi="宋体" w:eastAsia="黑体" w:cs="黑体"/>
                <w:i w:val="0"/>
                <w:iCs w:val="0"/>
                <w:color w:val="000000"/>
                <w:sz w:val="32"/>
                <w:szCs w:val="32"/>
                <w:u w:val="none"/>
              </w:rPr>
            </w:pPr>
            <w:r>
              <w:rPr>
                <w:rFonts w:hint="eastAsia" w:ascii="黑体" w:hAnsi="宋体" w:eastAsia="黑体" w:cs="黑体"/>
                <w:i w:val="0"/>
                <w:iCs w:val="0"/>
                <w:color w:val="000000"/>
                <w:kern w:val="0"/>
                <w:sz w:val="32"/>
                <w:szCs w:val="32"/>
                <w:u w:val="none"/>
                <w:lang w:val="en-US" w:eastAsia="zh-CN" w:bidi="ar"/>
              </w:rPr>
              <w:t>完成单位</w:t>
            </w:r>
          </w:p>
        </w:tc>
        <w:tc>
          <w:tcPr>
            <w:tcW w:w="18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3DF53C">
            <w:pPr>
              <w:keepNext w:val="0"/>
              <w:keepLines w:val="0"/>
              <w:widowControl/>
              <w:suppressLineNumbers w:val="0"/>
              <w:jc w:val="center"/>
              <w:textAlignment w:val="center"/>
              <w:rPr>
                <w:rFonts w:hint="eastAsia" w:ascii="黑体" w:hAnsi="宋体" w:eastAsia="黑体" w:cs="黑体"/>
                <w:i w:val="0"/>
                <w:iCs w:val="0"/>
                <w:color w:val="000000"/>
                <w:sz w:val="32"/>
                <w:szCs w:val="32"/>
                <w:u w:val="none"/>
              </w:rPr>
            </w:pPr>
            <w:r>
              <w:rPr>
                <w:rFonts w:hint="eastAsia" w:ascii="黑体" w:hAnsi="宋体" w:eastAsia="黑体" w:cs="黑体"/>
                <w:i w:val="0"/>
                <w:iCs w:val="0"/>
                <w:color w:val="000000"/>
                <w:kern w:val="0"/>
                <w:sz w:val="32"/>
                <w:szCs w:val="32"/>
                <w:u w:val="none"/>
                <w:lang w:val="en-US" w:eastAsia="zh-CN" w:bidi="ar"/>
              </w:rPr>
              <w:t>项目名称</w:t>
            </w:r>
          </w:p>
        </w:tc>
        <w:tc>
          <w:tcPr>
            <w:tcW w:w="1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30DB3">
            <w:pPr>
              <w:keepNext w:val="0"/>
              <w:keepLines w:val="0"/>
              <w:widowControl/>
              <w:suppressLineNumbers w:val="0"/>
              <w:jc w:val="center"/>
              <w:textAlignment w:val="center"/>
              <w:rPr>
                <w:rFonts w:hint="eastAsia" w:ascii="黑体" w:hAnsi="宋体" w:eastAsia="黑体" w:cs="黑体"/>
                <w:i w:val="0"/>
                <w:iCs w:val="0"/>
                <w:color w:val="000000"/>
                <w:sz w:val="32"/>
                <w:szCs w:val="32"/>
                <w:u w:val="none"/>
              </w:rPr>
            </w:pPr>
            <w:r>
              <w:rPr>
                <w:rFonts w:hint="eastAsia" w:ascii="黑体" w:hAnsi="宋体" w:eastAsia="黑体" w:cs="黑体"/>
                <w:i w:val="0"/>
                <w:iCs w:val="0"/>
                <w:color w:val="000000"/>
                <w:kern w:val="0"/>
                <w:sz w:val="32"/>
                <w:szCs w:val="32"/>
                <w:u w:val="none"/>
                <w:lang w:val="en-US" w:eastAsia="zh-CN" w:bidi="ar"/>
              </w:rPr>
              <w:t>主要完成人</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54F4D2">
            <w:pPr>
              <w:keepNext w:val="0"/>
              <w:keepLines w:val="0"/>
              <w:widowControl/>
              <w:suppressLineNumbers w:val="0"/>
              <w:jc w:val="center"/>
              <w:textAlignment w:val="center"/>
              <w:rPr>
                <w:rFonts w:hint="eastAsia" w:ascii="黑体" w:hAnsi="宋体" w:eastAsia="黑体" w:cs="黑体"/>
                <w:i w:val="0"/>
                <w:iCs w:val="0"/>
                <w:color w:val="000000"/>
                <w:sz w:val="32"/>
                <w:szCs w:val="32"/>
                <w:u w:val="none"/>
              </w:rPr>
            </w:pPr>
            <w:r>
              <w:rPr>
                <w:rFonts w:hint="eastAsia" w:ascii="黑体" w:hAnsi="宋体" w:eastAsia="黑体" w:cs="黑体"/>
                <w:i w:val="0"/>
                <w:iCs w:val="0"/>
                <w:color w:val="000000"/>
                <w:kern w:val="0"/>
                <w:sz w:val="32"/>
                <w:szCs w:val="32"/>
                <w:u w:val="none"/>
                <w:lang w:val="en-US" w:eastAsia="zh-CN" w:bidi="ar"/>
              </w:rPr>
              <w:t>学科</w:t>
            </w:r>
          </w:p>
        </w:tc>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E9332B">
            <w:pPr>
              <w:keepNext w:val="0"/>
              <w:keepLines w:val="0"/>
              <w:widowControl/>
              <w:suppressLineNumbers w:val="0"/>
              <w:jc w:val="center"/>
              <w:textAlignment w:val="center"/>
              <w:rPr>
                <w:rFonts w:hint="default" w:ascii="黑体" w:hAnsi="宋体" w:eastAsia="黑体" w:cs="黑体"/>
                <w:i w:val="0"/>
                <w:iCs w:val="0"/>
                <w:color w:val="000000"/>
                <w:sz w:val="32"/>
                <w:szCs w:val="32"/>
                <w:u w:val="none"/>
                <w:lang w:val="en-US"/>
              </w:rPr>
            </w:pPr>
            <w:r>
              <w:rPr>
                <w:rFonts w:hint="eastAsia" w:ascii="黑体" w:hAnsi="宋体" w:eastAsia="黑体" w:cs="黑体"/>
                <w:i w:val="0"/>
                <w:iCs w:val="0"/>
                <w:color w:val="000000"/>
                <w:kern w:val="0"/>
                <w:sz w:val="32"/>
                <w:szCs w:val="32"/>
                <w:u w:val="none"/>
                <w:lang w:val="en-US" w:eastAsia="zh-CN" w:bidi="ar"/>
              </w:rPr>
              <w:t>评审结果</w:t>
            </w:r>
          </w:p>
        </w:tc>
      </w:tr>
      <w:tr w14:paraId="685588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2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04E8CA">
            <w:pPr>
              <w:keepNext w:val="0"/>
              <w:keepLines w:val="0"/>
              <w:widowControl/>
              <w:suppressLineNumbers w:val="0"/>
              <w:jc w:val="center"/>
              <w:textAlignment w:val="center"/>
              <w:rPr>
                <w:rFonts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w:t>
            </w:r>
          </w:p>
        </w:tc>
        <w:tc>
          <w:tcPr>
            <w:tcW w:w="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E43B50">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太仓市第一人民医院</w:t>
            </w:r>
          </w:p>
        </w:tc>
        <w:tc>
          <w:tcPr>
            <w:tcW w:w="18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31A3B6">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基于NUF2mRNA、HAMP mRNA、分期、病理分级及年龄的预后评估模型在肾透明细胞癌预后判断中的运用</w:t>
            </w:r>
          </w:p>
        </w:tc>
        <w:tc>
          <w:tcPr>
            <w:tcW w:w="1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EB4AE2">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单丽、程旭、朱晓力</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995C27">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肿瘤诊断学</w:t>
            </w:r>
          </w:p>
        </w:tc>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53029B">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特等奖</w:t>
            </w:r>
          </w:p>
        </w:tc>
      </w:tr>
      <w:tr w14:paraId="64AFC1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2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E1B063">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2</w:t>
            </w:r>
          </w:p>
        </w:tc>
        <w:tc>
          <w:tcPr>
            <w:tcW w:w="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A54BB">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太仓市中医医院</w:t>
            </w:r>
          </w:p>
        </w:tc>
        <w:tc>
          <w:tcPr>
            <w:tcW w:w="18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A0DE4A">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现代数据挖掘技术在娄东中医古籍整理研究中的应用</w:t>
            </w:r>
          </w:p>
        </w:tc>
        <w:tc>
          <w:tcPr>
            <w:tcW w:w="1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79D63F">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张谨枫、袁磊、江雪纯</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7F6C15">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中医文献学</w:t>
            </w:r>
          </w:p>
        </w:tc>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AA983E">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特等奖</w:t>
            </w:r>
          </w:p>
        </w:tc>
      </w:tr>
      <w:tr w14:paraId="79B75E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2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FB8899">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3</w:t>
            </w:r>
          </w:p>
        </w:tc>
        <w:tc>
          <w:tcPr>
            <w:tcW w:w="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D09937">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太仓市第一人民医院</w:t>
            </w:r>
          </w:p>
        </w:tc>
        <w:tc>
          <w:tcPr>
            <w:tcW w:w="18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E62823">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艾司氯胺酮联合丙泊酚静脉麻醉在无痛胃肠镜检查术中的临床应用</w:t>
            </w:r>
          </w:p>
        </w:tc>
        <w:tc>
          <w:tcPr>
            <w:tcW w:w="1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1EE803">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史文澄、郑重、毛秋卉</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78507">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麻醉学</w:t>
            </w:r>
          </w:p>
        </w:tc>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AFA982">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特等奖</w:t>
            </w:r>
          </w:p>
        </w:tc>
      </w:tr>
      <w:tr w14:paraId="155A64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2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2DA511">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4</w:t>
            </w:r>
          </w:p>
        </w:tc>
        <w:tc>
          <w:tcPr>
            <w:tcW w:w="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DC714A">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太仓市中医医院</w:t>
            </w:r>
          </w:p>
        </w:tc>
        <w:tc>
          <w:tcPr>
            <w:tcW w:w="18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89283">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基于“育阴利水”理论利用猪苓汤对心衰并利尿剂抵抗患者的利尿剂增敏技术</w:t>
            </w:r>
          </w:p>
        </w:tc>
        <w:tc>
          <w:tcPr>
            <w:tcW w:w="1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E64EF0">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陈赟虎、尹墨青、范丽花</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FA82B5">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中医内科学</w:t>
            </w:r>
          </w:p>
        </w:tc>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45C6E0">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特等奖</w:t>
            </w:r>
          </w:p>
        </w:tc>
      </w:tr>
      <w:tr w14:paraId="15A6F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2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1C55A1">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5</w:t>
            </w:r>
          </w:p>
        </w:tc>
        <w:tc>
          <w:tcPr>
            <w:tcW w:w="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DE68BC">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太仓市第一人民医院</w:t>
            </w:r>
          </w:p>
        </w:tc>
        <w:tc>
          <w:tcPr>
            <w:tcW w:w="18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69E256">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超声定量检查新技术在诊断甲状腺癌中的应用</w:t>
            </w:r>
          </w:p>
        </w:tc>
        <w:tc>
          <w:tcPr>
            <w:tcW w:w="1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A59BB">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周超、朱正</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AC86A0">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医学影象学(包括放射诊断学、同位素</w:t>
            </w:r>
          </w:p>
        </w:tc>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C70AF6">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一等奖</w:t>
            </w:r>
          </w:p>
        </w:tc>
      </w:tr>
      <w:tr w14:paraId="7AC9F8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2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31963B">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6</w:t>
            </w:r>
          </w:p>
        </w:tc>
        <w:tc>
          <w:tcPr>
            <w:tcW w:w="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ECF48F">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太仓市第一人民医院</w:t>
            </w:r>
          </w:p>
        </w:tc>
        <w:tc>
          <w:tcPr>
            <w:tcW w:w="18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545EE1">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AngioJet机械——药物联合血栓清除术治疗急性下肢深静脉血栓形成</w:t>
            </w:r>
          </w:p>
        </w:tc>
        <w:tc>
          <w:tcPr>
            <w:tcW w:w="1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7A1404">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康涛、陆耀良、韩松</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2233E">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普通外科学</w:t>
            </w:r>
          </w:p>
        </w:tc>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8F2FD5">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一等奖</w:t>
            </w:r>
          </w:p>
        </w:tc>
      </w:tr>
      <w:tr w14:paraId="1BFC2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2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5EF94A">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7</w:t>
            </w:r>
          </w:p>
        </w:tc>
        <w:tc>
          <w:tcPr>
            <w:tcW w:w="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63D90B">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太仓市第一人民医院</w:t>
            </w:r>
          </w:p>
        </w:tc>
        <w:tc>
          <w:tcPr>
            <w:tcW w:w="18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A9FE21">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子宫动脉预置管联合动脉栓塞术在中央性前置胎盘剖宫产术中的应用研究</w:t>
            </w:r>
          </w:p>
        </w:tc>
        <w:tc>
          <w:tcPr>
            <w:tcW w:w="1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6B90B5">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颜士兰、马秋萍、赵志英</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699FF0">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产科</w:t>
            </w:r>
          </w:p>
        </w:tc>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258E6E">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一等奖</w:t>
            </w:r>
          </w:p>
        </w:tc>
      </w:tr>
      <w:tr w14:paraId="414FD2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2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5B8D07">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8</w:t>
            </w:r>
          </w:p>
        </w:tc>
        <w:tc>
          <w:tcPr>
            <w:tcW w:w="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283329">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太仓市第一人民医院</w:t>
            </w:r>
          </w:p>
        </w:tc>
        <w:tc>
          <w:tcPr>
            <w:tcW w:w="18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EED15A">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椎旁阻滞在胸廓镇痛中的应用</w:t>
            </w:r>
          </w:p>
        </w:tc>
        <w:tc>
          <w:tcPr>
            <w:tcW w:w="1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CBA7C4">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费凡、祁富伟、尚艳红</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5BC320">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麻醉学</w:t>
            </w:r>
          </w:p>
        </w:tc>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2C3498">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一等奖</w:t>
            </w:r>
          </w:p>
        </w:tc>
      </w:tr>
      <w:tr w14:paraId="3AD329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2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DE439F">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9</w:t>
            </w:r>
          </w:p>
        </w:tc>
        <w:tc>
          <w:tcPr>
            <w:tcW w:w="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C75643">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太仓市第一人民医院</w:t>
            </w:r>
          </w:p>
        </w:tc>
        <w:tc>
          <w:tcPr>
            <w:tcW w:w="18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44E5D3">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运用无创检查（ATI及SWE）对评估非酒精性脂肪肝病分级的应用研究</w:t>
            </w:r>
          </w:p>
        </w:tc>
        <w:tc>
          <w:tcPr>
            <w:tcW w:w="1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A03087">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刘国涛、张宇航、朱正</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62DB0A">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临床医学</w:t>
            </w:r>
          </w:p>
        </w:tc>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92CE7">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一等奖</w:t>
            </w:r>
          </w:p>
        </w:tc>
      </w:tr>
      <w:tr w14:paraId="2D09F2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2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E8ADE2">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10</w:t>
            </w:r>
          </w:p>
        </w:tc>
        <w:tc>
          <w:tcPr>
            <w:tcW w:w="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A62525">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太仓市中医医院　</w:t>
            </w:r>
          </w:p>
        </w:tc>
        <w:tc>
          <w:tcPr>
            <w:tcW w:w="18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721C35">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凉血五花汤湿敷治疗寻常痤疮的临床疗效研　</w:t>
            </w:r>
          </w:p>
        </w:tc>
        <w:tc>
          <w:tcPr>
            <w:tcW w:w="1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0D4FF8">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冯健清、冯心怡、庄丽华　</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724B0E">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皮肤病学</w:t>
            </w:r>
          </w:p>
        </w:tc>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7FE3BD">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二等奖</w:t>
            </w:r>
          </w:p>
        </w:tc>
      </w:tr>
      <w:tr w14:paraId="0AA05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2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DA897">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11</w:t>
            </w:r>
          </w:p>
        </w:tc>
        <w:tc>
          <w:tcPr>
            <w:tcW w:w="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84F8F">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太仓市中医医院</w:t>
            </w:r>
          </w:p>
        </w:tc>
        <w:tc>
          <w:tcPr>
            <w:tcW w:w="18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183541">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基于双层探测器光谱CT（SDCT）增强检查定量参数在术前预测结直肠癌Ki-67和HER2表达的临床应用研究</w:t>
            </w:r>
          </w:p>
        </w:tc>
        <w:tc>
          <w:tcPr>
            <w:tcW w:w="1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D8F76E">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陈菁华、钱婷婷、朱健</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1E3734">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医学影像学</w:t>
            </w:r>
          </w:p>
        </w:tc>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D3C33">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二等奖</w:t>
            </w:r>
          </w:p>
        </w:tc>
      </w:tr>
      <w:tr w14:paraId="0FBB0B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2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25ED08">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12</w:t>
            </w:r>
          </w:p>
        </w:tc>
        <w:tc>
          <w:tcPr>
            <w:tcW w:w="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86779E">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太仓市第一人民医院</w:t>
            </w:r>
          </w:p>
        </w:tc>
        <w:tc>
          <w:tcPr>
            <w:tcW w:w="18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D1F60C">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脓毒症和肺损伤临床预后评估研究</w:t>
            </w:r>
          </w:p>
        </w:tc>
        <w:tc>
          <w:tcPr>
            <w:tcW w:w="1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77496">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高叶、殷辰俞、钱平</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9E1883">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重症医学科</w:t>
            </w:r>
          </w:p>
        </w:tc>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909FD7">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二等奖</w:t>
            </w:r>
          </w:p>
        </w:tc>
      </w:tr>
      <w:tr w14:paraId="5999F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2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77FA18">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13</w:t>
            </w:r>
          </w:p>
        </w:tc>
        <w:tc>
          <w:tcPr>
            <w:tcW w:w="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6D0A31">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太仓市第一人民医院</w:t>
            </w:r>
          </w:p>
        </w:tc>
        <w:tc>
          <w:tcPr>
            <w:tcW w:w="18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4B722C">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骨形态发生蛋白-2（BMP-2）在胫骨平台骨折中的应用研究</w:t>
            </w:r>
          </w:p>
        </w:tc>
        <w:tc>
          <w:tcPr>
            <w:tcW w:w="1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1B6D5E">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赵际童、骆园、曹晓东</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038156">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骨外科学</w:t>
            </w:r>
          </w:p>
        </w:tc>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AD248B">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二等奖</w:t>
            </w:r>
          </w:p>
        </w:tc>
      </w:tr>
      <w:tr w14:paraId="2EA048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2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80BE01">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14</w:t>
            </w:r>
          </w:p>
        </w:tc>
        <w:tc>
          <w:tcPr>
            <w:tcW w:w="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F294C">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太仓市第一人民医院</w:t>
            </w:r>
          </w:p>
        </w:tc>
        <w:tc>
          <w:tcPr>
            <w:tcW w:w="18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C633FC">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经胸前入路腔镜下甲状腺癌根治术疗效分析</w:t>
            </w:r>
          </w:p>
        </w:tc>
        <w:tc>
          <w:tcPr>
            <w:tcW w:w="1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17D86A">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储昭新、严建明、钱永祥</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7AD931">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普通外科</w:t>
            </w:r>
          </w:p>
        </w:tc>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25031A">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二等奖</w:t>
            </w:r>
          </w:p>
        </w:tc>
      </w:tr>
      <w:tr w14:paraId="5EE3E1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2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A38F66">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15</w:t>
            </w:r>
          </w:p>
        </w:tc>
        <w:tc>
          <w:tcPr>
            <w:tcW w:w="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3E7F03">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太仓市第一人民医院</w:t>
            </w:r>
          </w:p>
        </w:tc>
        <w:tc>
          <w:tcPr>
            <w:tcW w:w="18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BC915C">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胎儿早孕期系统性筛查</w:t>
            </w:r>
          </w:p>
        </w:tc>
        <w:tc>
          <w:tcPr>
            <w:tcW w:w="1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BB900D">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陈菊、张宇航、朱正</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3E8129">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医学影象学(包括放射诊断学、同位素</w:t>
            </w:r>
          </w:p>
        </w:tc>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20D41D">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二等奖</w:t>
            </w:r>
          </w:p>
        </w:tc>
      </w:tr>
      <w:tr w14:paraId="15F056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2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1094EA">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16</w:t>
            </w:r>
          </w:p>
        </w:tc>
        <w:tc>
          <w:tcPr>
            <w:tcW w:w="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F823CF">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太仓市中医医院</w:t>
            </w:r>
          </w:p>
        </w:tc>
        <w:tc>
          <w:tcPr>
            <w:tcW w:w="18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6721BA">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健脾祛湿解毒方（加味二妙方）治疗宫颈高危型HPV感染的临床疗效</w:t>
            </w:r>
          </w:p>
        </w:tc>
        <w:tc>
          <w:tcPr>
            <w:tcW w:w="1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2B5A45">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谢雅贞、刘海红</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78A1DC">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中医妇科学</w:t>
            </w:r>
          </w:p>
        </w:tc>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7647EA">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二等奖</w:t>
            </w:r>
          </w:p>
        </w:tc>
      </w:tr>
      <w:tr w14:paraId="20EA9C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2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162E90">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17</w:t>
            </w:r>
          </w:p>
        </w:tc>
        <w:tc>
          <w:tcPr>
            <w:tcW w:w="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10A1E9">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太仓市中医医院</w:t>
            </w:r>
          </w:p>
        </w:tc>
        <w:tc>
          <w:tcPr>
            <w:tcW w:w="18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57C7F">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运用动脉溶栓技术治疗致残性非大血管脑梗塞临床应用研究</w:t>
            </w:r>
          </w:p>
        </w:tc>
        <w:tc>
          <w:tcPr>
            <w:tcW w:w="1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FA26F1">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杨进平、陈后勤、张谨枫</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048A12">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神经病学</w:t>
            </w:r>
          </w:p>
        </w:tc>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0D96CC">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二等奖</w:t>
            </w:r>
          </w:p>
        </w:tc>
      </w:tr>
      <w:tr w14:paraId="5202AF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2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88220">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18</w:t>
            </w:r>
          </w:p>
        </w:tc>
        <w:tc>
          <w:tcPr>
            <w:tcW w:w="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FCCD1">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太仓市中医医院</w:t>
            </w:r>
          </w:p>
        </w:tc>
        <w:tc>
          <w:tcPr>
            <w:tcW w:w="18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33E157">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生物反馈电刺激结合盆底肌训练对产后盆底肌功能康复的临床价值研究</w:t>
            </w:r>
          </w:p>
        </w:tc>
        <w:tc>
          <w:tcPr>
            <w:tcW w:w="1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5B09D">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郭艳、顾志娟、唐烨</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CE0D3">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妇产科</w:t>
            </w:r>
          </w:p>
        </w:tc>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C1D4D7">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二等奖</w:t>
            </w:r>
          </w:p>
        </w:tc>
      </w:tr>
      <w:tr w14:paraId="4DA13C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2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6762CB">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19</w:t>
            </w:r>
          </w:p>
        </w:tc>
        <w:tc>
          <w:tcPr>
            <w:tcW w:w="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E2CC5C">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太仓市中医医院　</w:t>
            </w:r>
          </w:p>
        </w:tc>
        <w:tc>
          <w:tcPr>
            <w:tcW w:w="18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DC2268">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健脾解毒方对结直肠癌术后脾虚证疗效、免疫功能及肠道微生态的影响</w:t>
            </w:r>
          </w:p>
        </w:tc>
        <w:tc>
          <w:tcPr>
            <w:tcW w:w="1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5F3B41">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陈晓燕、卢敏洁、郁晓瑜　</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1C1576">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中医内科学</w:t>
            </w:r>
          </w:p>
        </w:tc>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1DD2C">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二等奖</w:t>
            </w:r>
          </w:p>
        </w:tc>
      </w:tr>
      <w:tr w14:paraId="17E1B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2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D6A4E">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20</w:t>
            </w:r>
          </w:p>
        </w:tc>
        <w:tc>
          <w:tcPr>
            <w:tcW w:w="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6D7F05">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太仓市中医医院</w:t>
            </w:r>
          </w:p>
        </w:tc>
        <w:tc>
          <w:tcPr>
            <w:tcW w:w="18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CAC115">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太仓市高血压病肾损害中医证候学分析及其相关性研究</w:t>
            </w:r>
          </w:p>
        </w:tc>
        <w:tc>
          <w:tcPr>
            <w:tcW w:w="1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D3302A">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江雪纯、洪程、张谨枫</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72E540">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中医内科学</w:t>
            </w:r>
          </w:p>
        </w:tc>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0E386A">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二等奖</w:t>
            </w:r>
          </w:p>
        </w:tc>
      </w:tr>
      <w:tr w14:paraId="5FA0AB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2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457E73">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21</w:t>
            </w:r>
          </w:p>
        </w:tc>
        <w:tc>
          <w:tcPr>
            <w:tcW w:w="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B4DD61">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太仓市第一人民医院</w:t>
            </w:r>
          </w:p>
        </w:tc>
        <w:tc>
          <w:tcPr>
            <w:tcW w:w="18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213BEB">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徒手淋巴引流术</w:t>
            </w:r>
          </w:p>
        </w:tc>
        <w:tc>
          <w:tcPr>
            <w:tcW w:w="1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DFA77">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叶强、偶鹰飞、沙蕉</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3701E1">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康复医学科</w:t>
            </w:r>
          </w:p>
        </w:tc>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45B76C">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二等奖</w:t>
            </w:r>
          </w:p>
        </w:tc>
      </w:tr>
      <w:tr w14:paraId="32D901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2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E7E3D7">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22</w:t>
            </w:r>
          </w:p>
        </w:tc>
        <w:tc>
          <w:tcPr>
            <w:tcW w:w="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534378">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太仓市第三人民医院</w:t>
            </w:r>
          </w:p>
        </w:tc>
        <w:tc>
          <w:tcPr>
            <w:tcW w:w="18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FAB80">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重复经颅磁刺激在精神障碍临床治疗中的应用</w:t>
            </w:r>
          </w:p>
        </w:tc>
        <w:tc>
          <w:tcPr>
            <w:tcW w:w="1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53DE8C">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张文跃、杨晓龙、顾芸</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7E8579">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精神病学</w:t>
            </w:r>
          </w:p>
        </w:tc>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12CE92">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二等奖</w:t>
            </w:r>
          </w:p>
        </w:tc>
      </w:tr>
      <w:tr w14:paraId="244EA4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2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4E95B2">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23</w:t>
            </w:r>
          </w:p>
        </w:tc>
        <w:tc>
          <w:tcPr>
            <w:tcW w:w="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2DA46">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太仓市第一人民医院</w:t>
            </w:r>
          </w:p>
        </w:tc>
        <w:tc>
          <w:tcPr>
            <w:tcW w:w="18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520965">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间歇性导尿技术在脊髓损伤患者神经源性膀胱中的应用</w:t>
            </w:r>
          </w:p>
        </w:tc>
        <w:tc>
          <w:tcPr>
            <w:tcW w:w="1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3B545D">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张雅婷、赵蕴云</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AD4B67">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护理学</w:t>
            </w:r>
          </w:p>
        </w:tc>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E5AF4A">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二等奖</w:t>
            </w:r>
          </w:p>
        </w:tc>
      </w:tr>
      <w:tr w14:paraId="7F8692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2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F93424">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24</w:t>
            </w:r>
          </w:p>
        </w:tc>
        <w:tc>
          <w:tcPr>
            <w:tcW w:w="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31C59E">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太仓市金浪卫生院　</w:t>
            </w:r>
          </w:p>
        </w:tc>
        <w:tc>
          <w:tcPr>
            <w:tcW w:w="18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337775">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超声引导下肩胛上神经阻滞联合温针灸治疗冻结肩　</w:t>
            </w:r>
          </w:p>
        </w:tc>
        <w:tc>
          <w:tcPr>
            <w:tcW w:w="1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41FEDE">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肖福君、何静　</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9DF253">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中西医结合医学　</w:t>
            </w:r>
          </w:p>
        </w:tc>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8487CA">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二等奖</w:t>
            </w:r>
          </w:p>
        </w:tc>
      </w:tr>
    </w:tbl>
    <w:p w14:paraId="53AA7DB8"/>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7771C9"/>
    <w:rsid w:val="417771C9"/>
    <w:rsid w:val="741D41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font21"/>
    <w:basedOn w:val="3"/>
    <w:qFormat/>
    <w:uiPriority w:val="0"/>
    <w:rPr>
      <w:rFonts w:hint="eastAsia" w:ascii="仿宋_GB2312" w:eastAsia="仿宋_GB2312" w:cs="仿宋_GB2312"/>
      <w:color w:val="000000"/>
      <w:sz w:val="28"/>
      <w:szCs w:val="28"/>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298</Words>
  <Characters>462</Characters>
  <Lines>0</Lines>
  <Paragraphs>0</Paragraphs>
  <TotalTime>5</TotalTime>
  <ScaleCrop>false</ScaleCrop>
  <LinksUpToDate>false</LinksUpToDate>
  <CharactersWithSpaces>464</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2024-11-29T02:38:00Z</dcterms:created>
  <dc:creator>Administrator</dc:creator>
  <cp:lastModifiedBy>朱云倩</cp:lastModifiedBy>
  <dcterms:modified xsi:type="dcterms:W3CDTF">2024-11-29T06:23:08Z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BF3755EDDD4E480181D0BFAE11E2B9E9_11</vt:lpwstr>
  </property>
</Properties>
</file>