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仿宋_GB2312"/>
          <w:sz w:val="32"/>
          <w:szCs w:val="32"/>
        </w:rPr>
      </w:pPr>
    </w:p>
    <w:p>
      <w:pPr>
        <w:spacing w:line="560" w:lineRule="exact"/>
        <w:jc w:val="center"/>
        <w:rPr>
          <w:rFonts w:ascii="Times New Roman" w:hAnsi="Times New Roman" w:eastAsia="方正小标宋简体"/>
          <w:spacing w:val="-10"/>
          <w:kern w:val="0"/>
          <w:sz w:val="44"/>
          <w:szCs w:val="44"/>
        </w:rPr>
      </w:pPr>
      <w:r>
        <w:rPr>
          <w:rFonts w:ascii="Times New Roman" w:hAnsi="Times New Roman" w:eastAsia="方正小标宋简体"/>
          <w:spacing w:val="-10"/>
          <w:kern w:val="0"/>
          <w:sz w:val="44"/>
          <w:szCs w:val="44"/>
        </w:rPr>
        <w:t>太仓市优化营商环境“E.S.T”行动</w:t>
      </w:r>
      <w:r>
        <w:rPr>
          <w:rFonts w:hint="eastAsia" w:ascii="Times New Roman" w:hAnsi="Times New Roman" w:eastAsia="方正小标宋简体"/>
          <w:spacing w:val="-10"/>
          <w:kern w:val="0"/>
          <w:sz w:val="44"/>
          <w:szCs w:val="44"/>
        </w:rPr>
        <w:t>实施方案</w:t>
      </w:r>
    </w:p>
    <w:p>
      <w:pPr>
        <w:spacing w:line="560" w:lineRule="exact"/>
        <w:jc w:val="center"/>
        <w:rPr>
          <w:rFonts w:ascii="Times New Roman" w:hAnsi="Times New Roman" w:eastAsia="仿宋_GB2312"/>
          <w:sz w:val="32"/>
          <w:szCs w:val="32"/>
        </w:rPr>
      </w:pPr>
      <w:bookmarkStart w:id="1" w:name="_GoBack"/>
      <w:bookmarkEnd w:id="1"/>
    </w:p>
    <w:p>
      <w:pPr>
        <w:spacing w:line="560" w:lineRule="exact"/>
        <w:ind w:firstLine="630"/>
        <w:rPr>
          <w:rFonts w:ascii="Times New Roman" w:hAnsi="Times New Roman" w:eastAsia="仿宋_GB2312"/>
          <w:sz w:val="32"/>
          <w:szCs w:val="32"/>
        </w:rPr>
      </w:pPr>
      <w:r>
        <w:rPr>
          <w:rFonts w:ascii="Times New Roman" w:hAnsi="Times New Roman" w:eastAsia="仿宋_GB2312"/>
          <w:sz w:val="32"/>
          <w:szCs w:val="32"/>
        </w:rPr>
        <w:t>为深入贯彻习近平总书记视察江苏重要讲话指示精神，落实国务院深化“放管服”改革要求和省委省政府、苏州市委市政府优化营商环境工作部署，</w:t>
      </w:r>
      <w:r>
        <w:rPr>
          <w:rFonts w:hint="eastAsia" w:ascii="Times New Roman" w:hAnsi="Times New Roman" w:eastAsia="仿宋_GB2312"/>
          <w:sz w:val="32"/>
          <w:szCs w:val="32"/>
        </w:rPr>
        <w:t>全面融入长三角一体化发展、虹桥国际开放枢纽建设，</w:t>
      </w:r>
      <w:r>
        <w:rPr>
          <w:rFonts w:ascii="Times New Roman" w:hAnsi="Times New Roman" w:eastAsia="仿宋_GB2312"/>
          <w:sz w:val="32"/>
          <w:szCs w:val="32"/>
        </w:rPr>
        <w:t>全力打造稳定、公平、透明、可预期的最优营商环境，持续提升城市软实力和综合竞争力，特制订本实施方案。</w:t>
      </w:r>
    </w:p>
    <w:p>
      <w:pPr>
        <w:spacing w:line="560" w:lineRule="exact"/>
        <w:ind w:firstLine="630"/>
        <w:rPr>
          <w:rFonts w:ascii="Times New Roman" w:hAnsi="Times New Roman" w:eastAsia="黑体"/>
          <w:sz w:val="32"/>
          <w:szCs w:val="32"/>
        </w:rPr>
      </w:pPr>
      <w:r>
        <w:rPr>
          <w:rFonts w:ascii="Times New Roman" w:hAnsi="Times New Roman" w:eastAsia="黑体"/>
          <w:sz w:val="32"/>
          <w:szCs w:val="32"/>
        </w:rPr>
        <w:t>一、明确总体要求</w:t>
      </w:r>
    </w:p>
    <w:p>
      <w:pPr>
        <w:spacing w:line="560" w:lineRule="exact"/>
        <w:ind w:firstLine="630"/>
        <w:rPr>
          <w:rFonts w:ascii="Times New Roman" w:hAnsi="Times New Roman" w:eastAsia="仿宋_GB2312"/>
          <w:sz w:val="32"/>
          <w:szCs w:val="32"/>
        </w:rPr>
      </w:pPr>
      <w:r>
        <w:rPr>
          <w:rFonts w:ascii="Times New Roman" w:hAnsi="Times New Roman" w:eastAsia="仿宋_GB2312"/>
          <w:sz w:val="32"/>
          <w:szCs w:val="32"/>
        </w:rPr>
        <w:t>坚持以习近平新时代中国特色社会主义思想为指导，全面贯彻党的十九大和十九届二中、三中、四中、五中全会精神，围绕持续擦亮“上海下一站、下一站上海”城市标识，突出法治诚信、系统集成、精准高效，坚持目标导向、问题导向、效果导向、特色导向，加强改革系统集成，深入推进市场化、法治化、国际化营商环境建设，持续擦亮</w:t>
      </w:r>
      <w:r>
        <w:rPr>
          <w:rFonts w:ascii="Times New Roman" w:hAnsi="Times New Roman" w:eastAsia="仿宋_GB2312"/>
          <w:spacing w:val="-4"/>
          <w:sz w:val="32"/>
          <w:szCs w:val="32"/>
        </w:rPr>
        <w:t>“5E”</w:t>
      </w:r>
      <w:r>
        <w:rPr>
          <w:rFonts w:ascii="Times New Roman" w:hAnsi="Times New Roman" w:eastAsia="仿宋_GB2312"/>
          <w:sz w:val="32"/>
          <w:szCs w:val="32"/>
        </w:rPr>
        <w:t>“太舒心”</w:t>
      </w:r>
      <w:r>
        <w:rPr>
          <w:rFonts w:ascii="Times New Roman" w:hAnsi="Times New Roman" w:eastAsia="仿宋_GB2312"/>
          <w:spacing w:val="-4"/>
          <w:sz w:val="32"/>
          <w:szCs w:val="32"/>
        </w:rPr>
        <w:t>营商服务品牌</w:t>
      </w:r>
      <w:r>
        <w:rPr>
          <w:rFonts w:ascii="Times New Roman" w:hAnsi="Times New Roman" w:eastAsia="仿宋_GB2312"/>
          <w:sz w:val="32"/>
          <w:szCs w:val="32"/>
        </w:rPr>
        <w:t>，实施“优化营商环境‘E.S.T’行动”，即“最高级的‘</w:t>
      </w:r>
      <w:r>
        <w:rPr>
          <w:rFonts w:ascii="Times New Roman" w:hAnsi="Times New Roman" w:eastAsia="仿宋_GB2312"/>
          <w:spacing w:val="-4"/>
          <w:sz w:val="32"/>
          <w:szCs w:val="32"/>
        </w:rPr>
        <w:t>5E</w:t>
      </w:r>
      <w:r>
        <w:rPr>
          <w:rFonts w:ascii="Times New Roman" w:hAnsi="Times New Roman" w:eastAsia="仿宋_GB2312"/>
          <w:sz w:val="32"/>
          <w:szCs w:val="32"/>
        </w:rPr>
        <w:t>’服务在太仓”，大力营造</w:t>
      </w:r>
      <w:r>
        <w:rPr>
          <w:rFonts w:ascii="Times New Roman" w:hAnsi="Times New Roman" w:eastAsia="仿宋_GB2312"/>
          <w:spacing w:val="-4"/>
          <w:sz w:val="32"/>
          <w:szCs w:val="32"/>
        </w:rPr>
        <w:t>办事最便捷（Easy）、服务最高效（Efficient）、市场最公平（Equal）、治理最电子化（Electronic）、投资最具活力（Energetic）的</w:t>
      </w:r>
      <w:r>
        <w:rPr>
          <w:rFonts w:ascii="Times New Roman" w:hAnsi="Times New Roman" w:eastAsia="仿宋_GB2312"/>
          <w:sz w:val="32"/>
          <w:szCs w:val="32"/>
        </w:rPr>
        <w:t>营商环境，</w:t>
      </w:r>
      <w:r>
        <w:rPr>
          <w:rFonts w:ascii="Times New Roman" w:hAnsi="Times New Roman" w:eastAsia="仿宋_GB2312"/>
          <w:spacing w:val="8"/>
          <w:sz w:val="32"/>
          <w:szCs w:val="32"/>
          <w:shd w:val="clear" w:color="auto" w:fill="FFFFFF"/>
        </w:rPr>
        <w:t>打造长三角区域营商环境最高“极”，建设临沪综合性价比最高地。</w:t>
      </w:r>
    </w:p>
    <w:p>
      <w:pPr>
        <w:spacing w:line="560" w:lineRule="exact"/>
        <w:ind w:firstLine="630"/>
        <w:rPr>
          <w:rFonts w:ascii="Times New Roman" w:hAnsi="Times New Roman" w:eastAsia="黑体"/>
          <w:sz w:val="32"/>
          <w:szCs w:val="32"/>
        </w:rPr>
      </w:pPr>
      <w:r>
        <w:rPr>
          <w:rFonts w:hint="eastAsia" w:ascii="Times New Roman" w:hAnsi="Times New Roman" w:eastAsia="黑体"/>
          <w:sz w:val="32"/>
          <w:szCs w:val="32"/>
        </w:rPr>
        <w:t>二、</w:t>
      </w:r>
      <w:r>
        <w:rPr>
          <w:rFonts w:ascii="Times New Roman" w:hAnsi="Times New Roman" w:eastAsia="黑体"/>
          <w:sz w:val="32"/>
          <w:szCs w:val="32"/>
        </w:rPr>
        <w:t>优化“全生命周期”服务，</w:t>
      </w:r>
      <w:r>
        <w:rPr>
          <w:rFonts w:hint="eastAsia" w:ascii="Times New Roman" w:hAnsi="Times New Roman" w:eastAsia="黑体"/>
          <w:sz w:val="32"/>
          <w:szCs w:val="32"/>
        </w:rPr>
        <w:t>营造</w:t>
      </w:r>
      <w:r>
        <w:rPr>
          <w:rFonts w:ascii="Times New Roman" w:hAnsi="Times New Roman" w:eastAsia="黑体"/>
          <w:sz w:val="32"/>
          <w:szCs w:val="32"/>
        </w:rPr>
        <w:t>最便捷</w:t>
      </w:r>
      <w:r>
        <w:rPr>
          <w:rFonts w:hint="eastAsia" w:ascii="Times New Roman" w:hAnsi="Times New Roman" w:eastAsia="黑体"/>
          <w:sz w:val="32"/>
          <w:szCs w:val="32"/>
        </w:rPr>
        <w:t>的营商环境</w:t>
      </w:r>
    </w:p>
    <w:p>
      <w:pPr>
        <w:spacing w:line="560" w:lineRule="exact"/>
        <w:ind w:firstLine="630"/>
        <w:rPr>
          <w:rFonts w:ascii="楷体_GB2312" w:hAnsi="Times New Roman" w:eastAsia="楷体_GB2312"/>
          <w:b/>
          <w:color w:val="000000"/>
          <w:sz w:val="32"/>
          <w:szCs w:val="32"/>
        </w:rPr>
      </w:pPr>
      <w:r>
        <w:rPr>
          <w:rFonts w:hint="eastAsia" w:ascii="Times New Roman" w:hAnsi="Times New Roman" w:eastAsia="楷体_GB2312"/>
          <w:color w:val="000000"/>
          <w:sz w:val="32"/>
          <w:szCs w:val="32"/>
        </w:rPr>
        <w:t>（一）</w:t>
      </w:r>
      <w:r>
        <w:rPr>
          <w:rFonts w:ascii="Times New Roman" w:hAnsi="Times New Roman" w:eastAsia="楷体_GB2312"/>
          <w:color w:val="000000"/>
          <w:sz w:val="32"/>
          <w:szCs w:val="32"/>
        </w:rPr>
        <w:t>实现企业开办注销“全链通”。</w:t>
      </w:r>
      <w:r>
        <w:rPr>
          <w:rFonts w:ascii="Times New Roman" w:hAnsi="Times New Roman" w:eastAsia="仿宋_GB2312"/>
          <w:color w:val="000000"/>
          <w:spacing w:val="-4"/>
          <w:sz w:val="32"/>
          <w:szCs w:val="32"/>
        </w:rPr>
        <w:t>推出“易企办”便利化登记服务，推进市场主体登记多途径申报，个体工商户自助审批全覆盖，实现“网上能办”向“智能优办”升级；完善“预约零等候”“一次性告知”“一对一”帮代办等服务机制，实现“当场办结”向“一次办好”升级；加速区镇联动，探索“区镇快办”模式，实现“就近可办”向“全城快办”升级。</w:t>
      </w:r>
      <w:r>
        <w:rPr>
          <w:rFonts w:hint="eastAsia" w:ascii="楷体_GB2312" w:hAnsi="Times New Roman" w:eastAsia="楷体_GB2312"/>
          <w:color w:val="000000"/>
          <w:sz w:val="32"/>
          <w:szCs w:val="32"/>
        </w:rPr>
        <w:t>（责任单位：市行政审批局，各镇、区、街道；以下各项工作均需板块落实，不再重复列出）</w:t>
      </w:r>
    </w:p>
    <w:p>
      <w:pPr>
        <w:spacing w:line="560" w:lineRule="exact"/>
        <w:ind w:firstLine="630"/>
        <w:rPr>
          <w:rFonts w:ascii="楷体_GB2312" w:hAnsi="Times New Roman" w:eastAsia="楷体_GB2312"/>
          <w:color w:val="000000"/>
          <w:sz w:val="32"/>
          <w:szCs w:val="32"/>
        </w:rPr>
      </w:pPr>
      <w:r>
        <w:rPr>
          <w:rFonts w:ascii="Times New Roman" w:hAnsi="Times New Roman" w:eastAsia="仿宋_GB2312"/>
          <w:color w:val="000000"/>
          <w:sz w:val="32"/>
          <w:szCs w:val="32"/>
        </w:rPr>
        <w:t>全面实现企业登记、公章刻制、银行开户、申领发票和税控设备、单位参保登记、住房公积金企业缴存登记“一窗”申请办理，实现“一表填报、实时流转、即时反馈、一窗领取”，1个工作日办结全流程。实现办理结果线下“一窗”一次领取，或者通过寄递、自助打印等方式“不见面”办理。</w:t>
      </w:r>
      <w:r>
        <w:rPr>
          <w:rFonts w:hint="eastAsia" w:ascii="楷体_GB2312" w:hAnsi="Times New Roman" w:eastAsia="楷体_GB2312"/>
          <w:color w:val="000000"/>
          <w:sz w:val="32"/>
          <w:szCs w:val="32"/>
        </w:rPr>
        <w:t>（责任单位：市行政审批局、市市场监管局、市公安局、人行太仓支行、市税务局、市人社局、市医保局、市公积金中心）</w:t>
      </w:r>
    </w:p>
    <w:p>
      <w:pPr>
        <w:spacing w:line="560" w:lineRule="exact"/>
        <w:ind w:firstLine="630"/>
        <w:rPr>
          <w:rFonts w:ascii="楷体_GB2312" w:hAnsi="Times New Roman" w:eastAsia="楷体_GB2312"/>
          <w:color w:val="000000"/>
          <w:sz w:val="32"/>
          <w:szCs w:val="32"/>
        </w:rPr>
      </w:pPr>
      <w:r>
        <w:rPr>
          <w:rFonts w:ascii="Times New Roman" w:hAnsi="Times New Roman" w:eastAsia="仿宋_GB2312"/>
          <w:color w:val="000000"/>
          <w:sz w:val="32"/>
          <w:szCs w:val="32"/>
        </w:rPr>
        <w:t>全面落实新开办企业公章刻制费用补贴政策。持续推进免费的税务Ukey发放，推进电子发票应用，鼓励商业银行减免银行开户费用。</w:t>
      </w:r>
      <w:r>
        <w:rPr>
          <w:rFonts w:hint="eastAsia" w:ascii="楷体_GB2312" w:hAnsi="Times New Roman" w:eastAsia="楷体_GB2312"/>
          <w:color w:val="000000"/>
          <w:sz w:val="32"/>
          <w:szCs w:val="32"/>
        </w:rPr>
        <w:t>（责任单位：市行政审批局、市市场监管局、市税务局、苏州银保监分局太仓监管组）</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实施住所登记申报承诺制改革和一照多址备案改革。推行住所在线核验，实行企业住所（经营场所）登记申报承诺制，推进市场主体司法文书送达地址承诺确认工作。</w:t>
      </w:r>
      <w:r>
        <w:rPr>
          <w:rFonts w:hint="eastAsia" w:ascii="楷体_GB2312" w:hAnsi="Times New Roman" w:eastAsia="楷体_GB2312"/>
          <w:color w:val="000000"/>
          <w:sz w:val="32"/>
          <w:szCs w:val="32"/>
        </w:rPr>
        <w:t>（责任单位：市行政审批局、市市场监管局、市法院、市资源规划局）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完善企业注销程序，推进企业注销网上一体化平台建设，推动行政审批</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市场监管、税务、人社</w:t>
      </w:r>
      <w:r>
        <w:rPr>
          <w:rFonts w:hint="eastAsia" w:ascii="Times New Roman" w:hAnsi="Times New Roman" w:eastAsia="仿宋_GB2312"/>
          <w:color w:val="000000"/>
          <w:sz w:val="32"/>
          <w:szCs w:val="32"/>
        </w:rPr>
        <w:t>、资源规划</w:t>
      </w:r>
      <w:r>
        <w:rPr>
          <w:rFonts w:ascii="Times New Roman" w:hAnsi="Times New Roman" w:eastAsia="仿宋_GB2312"/>
          <w:color w:val="000000"/>
          <w:sz w:val="32"/>
          <w:szCs w:val="32"/>
        </w:rPr>
        <w:t>等部门信息共享和业务协同。企业通过政务服务网“注销专区”在线申请营业执照注销、税务注销、社保注销、海关注销</w:t>
      </w:r>
      <w:r>
        <w:rPr>
          <w:rFonts w:hint="eastAsia" w:ascii="Times New Roman" w:hAnsi="Times New Roman" w:eastAsia="仿宋_GB2312"/>
          <w:color w:val="000000"/>
          <w:sz w:val="32"/>
          <w:szCs w:val="32"/>
        </w:rPr>
        <w:t>、名下不动产清算</w:t>
      </w:r>
      <w:r>
        <w:rPr>
          <w:rFonts w:ascii="Times New Roman" w:hAnsi="Times New Roman" w:eastAsia="仿宋_GB2312"/>
          <w:color w:val="000000"/>
          <w:sz w:val="32"/>
          <w:szCs w:val="32"/>
        </w:rPr>
        <w:t>等业务。</w:t>
      </w:r>
      <w:r>
        <w:rPr>
          <w:rFonts w:hint="eastAsia" w:ascii="楷体_GB2312" w:hAnsi="Times New Roman" w:eastAsia="楷体_GB2312"/>
          <w:color w:val="000000"/>
          <w:sz w:val="32"/>
          <w:szCs w:val="32"/>
        </w:rPr>
        <w:t>（责任单位：市行政审批局、市市场监管局、市税务局、市人社局、市资源规划局、太仓海关）</w:t>
      </w:r>
    </w:p>
    <w:p>
      <w:pPr>
        <w:spacing w:line="560" w:lineRule="exact"/>
        <w:ind w:firstLine="630"/>
        <w:rPr>
          <w:rFonts w:ascii="Times New Roman" w:hAnsi="Times New Roman" w:eastAsia="仿宋_GB2312"/>
          <w:b/>
          <w:color w:val="000000"/>
          <w:sz w:val="32"/>
          <w:szCs w:val="32"/>
        </w:rPr>
      </w:pPr>
      <w:r>
        <w:rPr>
          <w:rFonts w:hint="eastAsia" w:ascii="楷体_GB2312" w:hAnsi="Times New Roman" w:eastAsia="楷体_GB2312"/>
          <w:color w:val="000000"/>
          <w:sz w:val="32"/>
          <w:szCs w:val="32"/>
        </w:rPr>
        <w:t>（二）</w:t>
      </w:r>
      <w:r>
        <w:rPr>
          <w:rFonts w:hint="eastAsia" w:ascii="楷体_GB2312" w:hAnsi="Times New Roman" w:eastAsia="楷体_GB2312"/>
          <w:color w:val="000000"/>
          <w:kern w:val="0"/>
          <w:sz w:val="32"/>
          <w:szCs w:val="32"/>
        </w:rPr>
        <w:t>提升办理建筑许可质效</w:t>
      </w:r>
      <w:r>
        <w:rPr>
          <w:rFonts w:hint="eastAsia" w:ascii="楷体_GB2312" w:hAnsi="Times New Roman" w:eastAsia="楷体_GB2312"/>
          <w:color w:val="000000"/>
          <w:sz w:val="32"/>
          <w:szCs w:val="32"/>
        </w:rPr>
        <w:t>。</w:t>
      </w:r>
      <w:r>
        <w:rPr>
          <w:rFonts w:ascii="Times New Roman" w:hAnsi="Times New Roman" w:eastAsia="仿宋_GB2312"/>
          <w:color w:val="000000"/>
          <w:spacing w:val="-4"/>
          <w:sz w:val="32"/>
          <w:szCs w:val="32"/>
        </w:rPr>
        <w:t>突出“全链改革”审批优势，优化“最极限”的“省时间”服务，在主链已压缩60%审批时间的基础上，对支链事项通过环节合并、增加即办件比例等方式进一步减时间；优化“最极智”的“一网通”服务，年内实现全链审批事项电子报批率100%；优化“最极致”的“微客厅”服务，一个“涉审7方微信群”对应一个重点项目，一张“地铁站运行图”管理时间节点、一套问题协调闭环机制解决企业难题。</w:t>
      </w:r>
      <w:r>
        <w:rPr>
          <w:rFonts w:hint="eastAsia" w:ascii="楷体_GB2312" w:hAnsi="Times New Roman" w:eastAsia="楷体_GB2312"/>
          <w:color w:val="000000"/>
          <w:sz w:val="32"/>
          <w:szCs w:val="32"/>
        </w:rPr>
        <w:t>（责任单位：市行政审批局）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除重大工程建设项目外，政府投资项目从申报立项用地规划许可证到竣工验收，审批时间控制在68个工作日内；一般社会投资项目从取得用地到竣工验收，审批时间控制在58个工作日内；带方案出让用地的社会投资项目及小型社会投资项目，从取得用地到竣工验收，审批时间控制在30个工作日内。针对</w:t>
      </w:r>
      <w:r>
        <w:rPr>
          <w:rFonts w:hint="eastAsia" w:ascii="Times New Roman" w:hAnsi="Times New Roman" w:eastAsia="仿宋_GB2312"/>
          <w:color w:val="000000"/>
          <w:sz w:val="32"/>
          <w:szCs w:val="32"/>
        </w:rPr>
        <w:t>产业园区</w:t>
      </w:r>
      <w:r>
        <w:rPr>
          <w:rFonts w:ascii="Times New Roman" w:hAnsi="Times New Roman" w:eastAsia="仿宋_GB2312"/>
          <w:color w:val="000000"/>
          <w:sz w:val="32"/>
          <w:szCs w:val="32"/>
        </w:rPr>
        <w:t>内的工业项目，探索研究免除交通影响评价等环节的可操作性。</w:t>
      </w:r>
      <w:r>
        <w:rPr>
          <w:rFonts w:hint="eastAsia" w:ascii="楷体_GB2312" w:hAnsi="Times New Roman" w:eastAsia="楷体_GB2312"/>
          <w:color w:val="000000"/>
          <w:sz w:val="32"/>
          <w:szCs w:val="32"/>
        </w:rPr>
        <w:t>（责任单位：市行政审批局、市住建局、市资源规划局、市公安局、市发改委）</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优化小型社会投资简易低风险项目审批服务，进一步简化流程环节，免除部分强制性评估评价，减免部分费用，优化公共服务。针对产业项目，探索工程建设项目咨询辅导制度，采用双信模式，实现“成交即发证”“交地即开工”“竣工即登记”。</w:t>
      </w:r>
      <w:r>
        <w:rPr>
          <w:rFonts w:hint="eastAsia" w:ascii="楷体_GB2312" w:hAnsi="Times New Roman" w:eastAsia="楷体_GB2312"/>
          <w:color w:val="000000"/>
          <w:sz w:val="32"/>
          <w:szCs w:val="32"/>
        </w:rPr>
        <w:t>（责任单位：市行政审批局、市住建局、市资源规划局、市发改委）</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用户燃气接入办理环节不超过3个，受理材料1份，在线申请即可获得服务实现“0”跑腿。供水报装申请材料精简至1份（不含申请人身份材料）以内，办理环节精简至2个（含）以下。3个工作日以内办结的报件与所有报件占比力争达到90%以上。全面推行供水接入免费实施外线工程政策，同时免除工商业用户支付实施外线工程所需的绿化迁移、占用（挖掘）道路费用。</w:t>
      </w:r>
      <w:r>
        <w:rPr>
          <w:rFonts w:hint="eastAsia" w:ascii="楷体_GB2312" w:hAnsi="Times New Roman" w:eastAsia="楷体_GB2312"/>
          <w:color w:val="000000"/>
          <w:sz w:val="32"/>
          <w:szCs w:val="32"/>
        </w:rPr>
        <w:t>（责任单位：市水务局、市发改委、市住建局、市资源规划局、水务集团）</w:t>
      </w:r>
    </w:p>
    <w:p>
      <w:pPr>
        <w:spacing w:line="560" w:lineRule="exact"/>
        <w:ind w:firstLine="630"/>
        <w:rPr>
          <w:rFonts w:ascii="Times New Roman" w:hAnsi="Times New Roman" w:eastAsia="仿宋_GB2312"/>
          <w:color w:val="000000"/>
          <w:sz w:val="32"/>
          <w:szCs w:val="32"/>
        </w:rPr>
      </w:pPr>
      <w:r>
        <w:rPr>
          <w:rFonts w:ascii="Times New Roman" w:hAnsi="Times New Roman" w:eastAsia="楷体_GB2312"/>
          <w:color w:val="000000"/>
          <w:sz w:val="32"/>
          <w:szCs w:val="32"/>
        </w:rPr>
        <w:t>（三）优化“互联网+不动产登记”。</w:t>
      </w:r>
      <w:r>
        <w:rPr>
          <w:rFonts w:ascii="Times New Roman" w:hAnsi="Times New Roman" w:eastAsia="仿宋_GB2312"/>
          <w:color w:val="000000"/>
          <w:sz w:val="32"/>
          <w:szCs w:val="32"/>
        </w:rPr>
        <w:t>探索登记服务电子化改革，无需通过第三方（快递）即可实现交易纳税登记以及抵押登记全流程“无纸化”“不见面”。加强不动产抵押贷款和登记业务协同，在银行等金融机构全面深化不动产登记电子证明应用，便利企业和群众融资。全市不动产抵押登记全程网上办、1个工作日办结。</w:t>
      </w:r>
      <w:r>
        <w:rPr>
          <w:rFonts w:hint="eastAsia" w:ascii="楷体_GB2312" w:hAnsi="Times New Roman" w:eastAsia="楷体_GB2312"/>
          <w:color w:val="000000"/>
          <w:sz w:val="32"/>
          <w:szCs w:val="32"/>
        </w:rPr>
        <w:t>（责任单位：市资源规划局、市住建局、市税务局、苏州银保监分局太仓监管组）</w:t>
      </w:r>
    </w:p>
    <w:p>
      <w:pPr>
        <w:spacing w:line="560" w:lineRule="exact"/>
        <w:ind w:firstLine="630"/>
        <w:rPr>
          <w:rFonts w:ascii="Times New Roman" w:hAnsi="Times New Roman" w:eastAsia="仿宋_GB2312"/>
          <w:color w:val="000000"/>
          <w:sz w:val="32"/>
          <w:szCs w:val="32"/>
        </w:rPr>
      </w:pPr>
      <w:r>
        <w:rPr>
          <w:rFonts w:hint="eastAsia" w:ascii="楷体_GB2312" w:hAnsi="Times New Roman" w:eastAsia="楷体_GB2312"/>
          <w:color w:val="000000"/>
          <w:sz w:val="32"/>
          <w:szCs w:val="32"/>
        </w:rPr>
        <w:t>（四）提升纳税便利度</w:t>
      </w:r>
      <w:r>
        <w:rPr>
          <w:rFonts w:ascii="楷体_GB2312" w:hAnsi="Times New Roman" w:eastAsia="楷体_GB2312"/>
          <w:color w:val="000000"/>
          <w:sz w:val="32"/>
          <w:szCs w:val="32"/>
        </w:rPr>
        <w:t>。</w:t>
      </w:r>
      <w:r>
        <w:rPr>
          <w:rFonts w:ascii="Times New Roman" w:hAnsi="Times New Roman" w:eastAsia="仿宋_GB2312"/>
          <w:color w:val="000000"/>
          <w:sz w:val="32"/>
          <w:szCs w:val="32"/>
        </w:rPr>
        <w:t>推行集成办理，拓展“非接触式”办税服务范围，加大数字纳税应用服务建设，进一步减少纳税次数。依托苏州税务微信小程序等软件，为纳税人提供更多移动办税渠道，进一步压缩纳税时间，年平均纳税时间减少到90小时以内。持续推进专用发票电子化等重点项目，推行精准性引导服务，进一步降低办税成本。完善“新办综合套餐”智能化审核功能，整合“发票调版增量”智能化审核规则，实现发票申请到领用智能处理全覆盖。线下探索开展智能办税厅建设，突破传统办税的地域限制，实现</w:t>
      </w:r>
      <w:r>
        <w:rPr>
          <w:rFonts w:hint="eastAsia" w:ascii="Times New Roman" w:hAnsi="Times New Roman" w:eastAsia="仿宋_GB2312"/>
          <w:color w:val="000000"/>
          <w:sz w:val="32"/>
          <w:szCs w:val="32"/>
        </w:rPr>
        <w:t>入厅</w:t>
      </w:r>
      <w:r>
        <w:rPr>
          <w:rFonts w:ascii="Times New Roman" w:hAnsi="Times New Roman" w:eastAsia="仿宋_GB2312"/>
          <w:color w:val="000000"/>
          <w:sz w:val="32"/>
          <w:szCs w:val="32"/>
        </w:rPr>
        <w:t>、导税、取号、业务办理、资料存取的全程自助办理。探索现代化管理模式，不断优化税后管理流程，提升报税后流程指数。强化涉税专业服务机构管理和引导，为不同需求的纳税人提供规范化、专业化和个性化服务。</w:t>
      </w:r>
      <w:r>
        <w:rPr>
          <w:rFonts w:hint="eastAsia" w:ascii="楷体_GB2312" w:hAnsi="Times New Roman" w:eastAsia="楷体_GB2312"/>
          <w:color w:val="000000"/>
          <w:sz w:val="32"/>
          <w:szCs w:val="32"/>
        </w:rPr>
        <w:t>（责任单位：市税务局）</w:t>
      </w:r>
    </w:p>
    <w:p>
      <w:pPr>
        <w:spacing w:line="560" w:lineRule="exact"/>
        <w:ind w:firstLine="630"/>
        <w:rPr>
          <w:rFonts w:ascii="Times New Roman" w:hAnsi="Times New Roman" w:eastAsia="楷体_GB2312"/>
          <w:color w:val="000000"/>
          <w:sz w:val="32"/>
          <w:szCs w:val="32"/>
        </w:rPr>
      </w:pPr>
      <w:r>
        <w:rPr>
          <w:rFonts w:ascii="Times New Roman" w:hAnsi="Times New Roman" w:eastAsia="楷体_GB2312"/>
          <w:color w:val="000000"/>
          <w:sz w:val="32"/>
          <w:szCs w:val="32"/>
        </w:rPr>
        <w:t>（五）优化获得电力。</w:t>
      </w:r>
      <w:r>
        <w:rPr>
          <w:rFonts w:ascii="Times New Roman" w:hAnsi="Times New Roman" w:eastAsia="仿宋_GB2312"/>
          <w:color w:val="000000"/>
          <w:sz w:val="32"/>
          <w:szCs w:val="32"/>
        </w:rPr>
        <w:t>持续压减办电时间，对符合电力直接接入条件且无工程的小微企业推出“一日业扩”极速报装服务；对重点园区的大中型企业推出“开门接电”省心报装服务，建成“中德产业园开门接电示范区”。持续压降接电成本，对</w:t>
      </w:r>
      <w:r>
        <w:rPr>
          <w:rFonts w:hint="eastAsia" w:ascii="Times New Roman" w:hAnsi="Times New Roman" w:eastAsia="仿宋_GB2312"/>
          <w:color w:val="000000"/>
          <w:sz w:val="32"/>
          <w:szCs w:val="32"/>
        </w:rPr>
        <w:t>省、苏州和太仓三级</w:t>
      </w:r>
      <w:r>
        <w:rPr>
          <w:rFonts w:ascii="Times New Roman" w:hAnsi="Times New Roman" w:eastAsia="仿宋_GB2312"/>
          <w:color w:val="000000"/>
          <w:sz w:val="32"/>
          <w:szCs w:val="32"/>
        </w:rPr>
        <w:t>重点项目或招商引资优质项目的业扩外线土建工程由政府负责投资建设、电气工程由供电公司负责投资建设，实现项目接电零成本。持续清理规范转供电加价行为，降低企业用电成本。</w:t>
      </w:r>
      <w:r>
        <w:rPr>
          <w:rFonts w:hint="eastAsia" w:ascii="楷体_GB2312" w:hAnsi="Times New Roman" w:eastAsia="楷体_GB2312"/>
          <w:color w:val="000000"/>
          <w:sz w:val="32"/>
          <w:szCs w:val="32"/>
        </w:rPr>
        <w:t>（责任单位：国网太仓公司、市资源规划局、市发改委、市市场监管局）</w:t>
      </w:r>
    </w:p>
    <w:p>
      <w:pPr>
        <w:spacing w:line="560" w:lineRule="exact"/>
        <w:ind w:firstLine="630"/>
        <w:rPr>
          <w:rFonts w:ascii="楷体_GB2312" w:hAnsi="Times New Roman" w:eastAsia="楷体_GB2312"/>
          <w:color w:val="000000"/>
          <w:sz w:val="32"/>
          <w:szCs w:val="32"/>
        </w:rPr>
      </w:pPr>
      <w:r>
        <w:rPr>
          <w:rFonts w:ascii="Times New Roman" w:hAnsi="Times New Roman" w:eastAsia="仿宋_GB2312"/>
          <w:color w:val="000000"/>
          <w:sz w:val="32"/>
          <w:szCs w:val="32"/>
        </w:rPr>
        <w:t>持续优化配套电力工程审批，对长度600米内（</w:t>
      </w:r>
      <w:r>
        <w:rPr>
          <w:rFonts w:hint="eastAsia" w:ascii="Times New Roman" w:hAnsi="Times New Roman" w:eastAsia="仿宋_GB2312"/>
          <w:color w:val="000000"/>
          <w:sz w:val="32"/>
          <w:szCs w:val="32"/>
        </w:rPr>
        <w:t>不穿越</w:t>
      </w:r>
      <w:r>
        <w:rPr>
          <w:rFonts w:ascii="Times New Roman" w:hAnsi="Times New Roman" w:eastAsia="仿宋_GB2312"/>
          <w:color w:val="000000"/>
          <w:sz w:val="32"/>
          <w:szCs w:val="32"/>
        </w:rPr>
        <w:t>于城市主次干道、重要基础设施</w:t>
      </w:r>
      <w:r>
        <w:rPr>
          <w:rFonts w:hint="eastAsia" w:ascii="Times New Roman" w:hAnsi="Times New Roman" w:eastAsia="仿宋_GB2312"/>
          <w:color w:val="000000"/>
          <w:sz w:val="32"/>
          <w:szCs w:val="32"/>
        </w:rPr>
        <w:t>、不影响交通安全</w:t>
      </w:r>
      <w:r>
        <w:rPr>
          <w:rFonts w:ascii="Times New Roman" w:hAnsi="Times New Roman" w:eastAsia="仿宋_GB2312"/>
          <w:color w:val="000000"/>
          <w:sz w:val="32"/>
          <w:szCs w:val="32"/>
        </w:rPr>
        <w:t>的除外）的电力工程落实授权备案管理，备案完成即施工；</w:t>
      </w:r>
      <w:r>
        <w:rPr>
          <w:rFonts w:hint="eastAsia" w:ascii="Times New Roman" w:hAnsi="Times New Roman" w:eastAsia="仿宋_GB2312"/>
          <w:color w:val="000000"/>
          <w:sz w:val="32"/>
          <w:szCs w:val="32"/>
        </w:rPr>
        <w:t>对6</w:t>
      </w:r>
      <w:r>
        <w:rPr>
          <w:rFonts w:ascii="Times New Roman" w:hAnsi="Times New Roman" w:eastAsia="仿宋_GB2312"/>
          <w:color w:val="000000"/>
          <w:sz w:val="32"/>
          <w:szCs w:val="32"/>
        </w:rPr>
        <w:t>00</w:t>
      </w:r>
      <w:r>
        <w:rPr>
          <w:rFonts w:hint="eastAsia" w:ascii="Times New Roman" w:hAnsi="Times New Roman" w:eastAsia="仿宋_GB2312"/>
          <w:color w:val="000000"/>
          <w:sz w:val="32"/>
          <w:szCs w:val="32"/>
        </w:rPr>
        <w:t>米及以上、2</w:t>
      </w:r>
      <w:r>
        <w:rPr>
          <w:rFonts w:ascii="Times New Roman" w:hAnsi="Times New Roman" w:eastAsia="仿宋_GB2312"/>
          <w:color w:val="000000"/>
          <w:sz w:val="32"/>
          <w:szCs w:val="32"/>
        </w:rPr>
        <w:t>000</w:t>
      </w:r>
      <w:r>
        <w:rPr>
          <w:rFonts w:hint="eastAsia" w:ascii="Times New Roman" w:hAnsi="Times New Roman" w:eastAsia="仿宋_GB2312"/>
          <w:color w:val="000000"/>
          <w:sz w:val="32"/>
          <w:szCs w:val="32"/>
        </w:rPr>
        <w:t>米以下的配套电力工程，直接办理规划许可证，并与占路、掘路、绿化许可并联办理。</w:t>
      </w:r>
      <w:r>
        <w:rPr>
          <w:rFonts w:ascii="Times New Roman" w:hAnsi="Times New Roman" w:eastAsia="仿宋_GB2312"/>
          <w:color w:val="000000"/>
          <w:sz w:val="32"/>
          <w:szCs w:val="32"/>
        </w:rPr>
        <w:t>探索建立居住区电力工程审批模式，明确审批主体及道路、绿化修复标准，审批时限不超过2个工作日；推行电力审批“保姆式”一对一帮办代办服务，减少企业跑腿次数。</w:t>
      </w:r>
      <w:r>
        <w:rPr>
          <w:rFonts w:hint="eastAsia" w:ascii="楷体_GB2312" w:hAnsi="Times New Roman" w:eastAsia="楷体_GB2312"/>
          <w:color w:val="000000"/>
          <w:sz w:val="32"/>
          <w:szCs w:val="32"/>
        </w:rPr>
        <w:t>（责任单位：市行政审批局、市资源规划局、市住建局、市城管局、市交运局、市公安局、国网太仓公司）</w:t>
      </w:r>
    </w:p>
    <w:p>
      <w:pPr>
        <w:spacing w:line="560" w:lineRule="exact"/>
        <w:ind w:firstLine="630"/>
        <w:rPr>
          <w:rFonts w:ascii="楷体_GB2312" w:hAnsi="Times New Roman" w:eastAsia="楷体_GB2312"/>
          <w:color w:val="000000"/>
          <w:sz w:val="32"/>
          <w:szCs w:val="32"/>
        </w:rPr>
      </w:pPr>
      <w:r>
        <w:rPr>
          <w:rFonts w:ascii="Times New Roman" w:hAnsi="Times New Roman" w:eastAsia="仿宋_GB2312"/>
          <w:color w:val="000000"/>
          <w:sz w:val="32"/>
          <w:szCs w:val="32"/>
        </w:rPr>
        <w:t>推进全市充电桩建设，打通充电桩接入“最后100米”。低压充电设施接入工程由供电公司投资至计量箱，实现接电零成本。出台“太仓市居民充电桩报装一件事”主题服务实施方案，明确居住区内充电桩配套工程审批主体，及道路、绿化修复标准，审批时限不超过2个工作日。推行居民充电</w:t>
      </w:r>
      <w:r>
        <w:rPr>
          <w:rFonts w:hint="eastAsia" w:ascii="Times New Roman" w:hAnsi="Times New Roman" w:eastAsia="仿宋_GB2312"/>
          <w:color w:val="000000"/>
          <w:sz w:val="32"/>
          <w:szCs w:val="32"/>
        </w:rPr>
        <w:t>桩</w:t>
      </w:r>
      <w:r>
        <w:rPr>
          <w:rFonts w:ascii="Times New Roman" w:hAnsi="Times New Roman" w:eastAsia="仿宋_GB2312"/>
          <w:color w:val="000000"/>
          <w:sz w:val="32"/>
          <w:szCs w:val="32"/>
        </w:rPr>
        <w:t>报装线上审批，实现居民充电桩审批“一次都不跑”。探索建立老旧小区充电设施整体方案设计，结合老旧小区改造进一步完善供配电设施建设，推广老旧小区居民电桩有序充电管理，提升配电容量利用率。</w:t>
      </w:r>
      <w:r>
        <w:rPr>
          <w:rFonts w:hint="eastAsia" w:ascii="楷体_GB2312" w:hAnsi="Times New Roman" w:eastAsia="楷体_GB2312"/>
          <w:color w:val="000000"/>
          <w:sz w:val="32"/>
          <w:szCs w:val="32"/>
        </w:rPr>
        <w:t>（责任单位：市行政审批局、市发改委、市工信局、市住建局、市城管局、国网太仓公司）</w:t>
      </w:r>
    </w:p>
    <w:p>
      <w:pPr>
        <w:spacing w:line="560" w:lineRule="exact"/>
        <w:ind w:firstLine="630"/>
        <w:rPr>
          <w:rFonts w:ascii="楷体_GB2312" w:hAnsi="Times New Roman" w:eastAsia="楷体_GB2312"/>
          <w:color w:val="000000"/>
          <w:sz w:val="32"/>
          <w:szCs w:val="32"/>
        </w:rPr>
      </w:pPr>
      <w:r>
        <w:rPr>
          <w:rFonts w:hint="eastAsia" w:ascii="楷体_GB2312" w:hAnsi="Times New Roman" w:eastAsia="楷体_GB2312"/>
          <w:color w:val="000000"/>
          <w:sz w:val="32"/>
          <w:szCs w:val="32"/>
        </w:rPr>
        <w:t>（六）提高跨境贸易服务水平。</w:t>
      </w:r>
      <w:r>
        <w:rPr>
          <w:rFonts w:ascii="Times New Roman" w:hAnsi="Times New Roman" w:eastAsia="仿宋_GB2312"/>
          <w:color w:val="000000"/>
          <w:sz w:val="32"/>
          <w:szCs w:val="32"/>
        </w:rPr>
        <w:t>推进全面深化服务贸易创新发展试点和跨境电商综合试验区建设，用好离岸贸易、数字贸易、服务贸易、跨境电商等新型贸易方式。积极拓展与“一带一路”沿线国家和地区的多层次多元化交流合作。</w:t>
      </w:r>
      <w:r>
        <w:rPr>
          <w:rFonts w:hint="eastAsia" w:ascii="楷体_GB2312" w:hAnsi="Times New Roman" w:eastAsia="楷体_GB2312"/>
          <w:color w:val="000000"/>
          <w:sz w:val="32"/>
          <w:szCs w:val="32"/>
        </w:rPr>
        <w:t>（责任单位：市商务局、太仓海关）</w:t>
      </w:r>
    </w:p>
    <w:p>
      <w:pPr>
        <w:spacing w:line="560" w:lineRule="exact"/>
        <w:ind w:firstLine="630"/>
        <w:rPr>
          <w:rFonts w:ascii="楷体_GB2312" w:hAnsi="Times New Roman" w:eastAsia="楷体_GB2312"/>
          <w:color w:val="000000"/>
          <w:sz w:val="32"/>
          <w:szCs w:val="32"/>
        </w:rPr>
      </w:pPr>
      <w:r>
        <w:rPr>
          <w:rFonts w:hint="eastAsia" w:ascii="Times New Roman" w:hAnsi="Times New Roman" w:eastAsia="仿宋_GB2312"/>
          <w:color w:val="000000"/>
          <w:sz w:val="32"/>
          <w:szCs w:val="32"/>
        </w:rPr>
        <w:t>全面推进国际贸易</w:t>
      </w:r>
      <w:r>
        <w:rPr>
          <w:rFonts w:ascii="Times New Roman" w:hAnsi="Times New Roman" w:eastAsia="仿宋_GB2312"/>
          <w:color w:val="000000"/>
          <w:sz w:val="32"/>
          <w:szCs w:val="32"/>
        </w:rPr>
        <w:t>“单一窗口”功能由口岸通关执法向口岸物流、贸易服务等全链条拓展，实现港口、船代、理货等收费标准线上公开、在线查询。进出口环节涉及的监管证件原则上均应通过“单一窗口”一口受理，由相关部门在后台分别办理并实施监管，推动实现企业在线缴费、自主打印证件。全面推进国际贸易“单一窗口”标准版应用，货物申报、运输工具申报、舱单申报等主要业务的应用率保持100%。</w:t>
      </w:r>
      <w:r>
        <w:rPr>
          <w:rFonts w:hint="eastAsia" w:ascii="楷体_GB2312" w:hAnsi="Times New Roman" w:eastAsia="楷体_GB2312"/>
          <w:color w:val="000000"/>
          <w:sz w:val="32"/>
          <w:szCs w:val="32"/>
        </w:rPr>
        <w:t>（责任单位：太仓海关、市商务局、市市场监管局、市发改委、市交运局、太仓港口管委会）</w:t>
      </w:r>
    </w:p>
    <w:p>
      <w:pPr>
        <w:spacing w:line="560" w:lineRule="exact"/>
        <w:ind w:firstLine="630"/>
        <w:rPr>
          <w:rFonts w:ascii="楷体_GB2312" w:hAnsi="Times New Roman" w:eastAsia="楷体_GB2312"/>
          <w:color w:val="000000"/>
          <w:sz w:val="32"/>
          <w:szCs w:val="32"/>
        </w:rPr>
      </w:pPr>
      <w:r>
        <w:rPr>
          <w:rFonts w:ascii="Times New Roman" w:hAnsi="Times New Roman" w:eastAsia="仿宋_GB2312"/>
          <w:color w:val="000000"/>
          <w:sz w:val="32"/>
          <w:szCs w:val="32"/>
        </w:rPr>
        <w:t>积极推进口岸物流信息电子化，推动集装箱设备交接单、装箱单、提货单、换单委托书等进出口环节物流类单证的无纸化，提升全流程电子化程度。简化强制性产品认证（CCC认证）免办条件和手续，推广机检集中审像作业模式，拓展智能审图作业覆盖范围，扩大进口大宗矿产品“先验放、后检测”适用范围。推广新冠肺炎疫情期间海关查验货物时进口货物收货人可免于到场相关工作。在全市范围内复制推广“关助融”项目。</w:t>
      </w:r>
      <w:r>
        <w:rPr>
          <w:rFonts w:hint="eastAsia" w:ascii="楷体_GB2312" w:hAnsi="Times New Roman" w:eastAsia="楷体_GB2312"/>
          <w:color w:val="000000"/>
          <w:sz w:val="32"/>
          <w:szCs w:val="32"/>
        </w:rPr>
        <w:t>（责任单位：市商务局、市市场监管局、市金融监管局、太仓海关、人行太仓支行、太仓港口管委会）</w:t>
      </w:r>
    </w:p>
    <w:p>
      <w:pPr>
        <w:spacing w:line="560" w:lineRule="exact"/>
        <w:ind w:firstLine="630"/>
        <w:rPr>
          <w:rFonts w:ascii="黑体" w:hAnsi="黑体" w:eastAsia="黑体"/>
          <w:color w:val="000000"/>
          <w:sz w:val="32"/>
          <w:szCs w:val="32"/>
        </w:rPr>
      </w:pPr>
      <w:r>
        <w:rPr>
          <w:rFonts w:hint="eastAsia" w:ascii="黑体" w:hAnsi="黑体" w:eastAsia="黑体"/>
          <w:color w:val="000000"/>
          <w:sz w:val="32"/>
          <w:szCs w:val="32"/>
        </w:rPr>
        <w:t>三、</w:t>
      </w:r>
      <w:r>
        <w:rPr>
          <w:rFonts w:hint="eastAsia" w:ascii="黑体" w:hAnsi="黑体" w:eastAsia="黑体"/>
          <w:bCs/>
          <w:color w:val="000000"/>
          <w:sz w:val="32"/>
          <w:szCs w:val="32"/>
        </w:rPr>
        <w:t>加快市场开放步伐</w:t>
      </w:r>
      <w:r>
        <w:rPr>
          <w:rFonts w:ascii="黑体" w:hAnsi="黑体" w:eastAsia="黑体"/>
          <w:color w:val="000000"/>
          <w:sz w:val="32"/>
          <w:szCs w:val="32"/>
        </w:rPr>
        <w:t>，</w:t>
      </w:r>
      <w:r>
        <w:rPr>
          <w:rFonts w:hint="eastAsia" w:ascii="黑体" w:hAnsi="黑体" w:eastAsia="黑体"/>
          <w:color w:val="000000"/>
          <w:sz w:val="32"/>
          <w:szCs w:val="32"/>
        </w:rPr>
        <w:t>营造</w:t>
      </w:r>
      <w:r>
        <w:rPr>
          <w:rFonts w:ascii="黑体" w:hAnsi="黑体" w:eastAsia="黑体"/>
          <w:color w:val="000000"/>
          <w:sz w:val="32"/>
          <w:szCs w:val="32"/>
        </w:rPr>
        <w:t>最高效</w:t>
      </w:r>
      <w:r>
        <w:rPr>
          <w:rFonts w:hint="eastAsia" w:ascii="黑体" w:hAnsi="黑体" w:eastAsia="黑体"/>
          <w:color w:val="000000"/>
          <w:sz w:val="32"/>
          <w:szCs w:val="32"/>
        </w:rPr>
        <w:t>的营商环境</w:t>
      </w:r>
    </w:p>
    <w:p>
      <w:pPr>
        <w:spacing w:line="560" w:lineRule="exact"/>
        <w:ind w:firstLine="630"/>
        <w:rPr>
          <w:rFonts w:ascii="Times New Roman" w:hAnsi="Times New Roman" w:eastAsia="楷体_GB2312"/>
          <w:color w:val="000000"/>
          <w:sz w:val="32"/>
          <w:szCs w:val="32"/>
        </w:rPr>
      </w:pPr>
      <w:r>
        <w:rPr>
          <w:rFonts w:hint="eastAsia" w:ascii="楷体_GB2312" w:hAnsi="Times New Roman" w:eastAsia="楷体_GB2312"/>
          <w:color w:val="000000"/>
          <w:sz w:val="32"/>
          <w:szCs w:val="32"/>
        </w:rPr>
        <w:t>（七）落实市场准入最新标准。</w:t>
      </w:r>
      <w:r>
        <w:rPr>
          <w:rFonts w:ascii="Times New Roman" w:hAnsi="Times New Roman" w:eastAsia="仿宋_GB2312"/>
          <w:color w:val="000000"/>
          <w:sz w:val="32"/>
          <w:szCs w:val="32"/>
        </w:rPr>
        <w:t>全面落实最新市场准入负面清单和外商投资准入负面清单，研究贯彻区域全面经济伙伴关系协定（RCEP）、中欧投资协定（CAI）、全面与进步跨太平洋伙伴关系协定（CPTPP）等国际经贸新规则，不断完善与国际更高标准规则相适应的制度体系，确保相关约束性义务执行到位和程序合规。充分发挥中德合作平台优势，促进开放合作更加便利化，推动开发区体制机制创新，积极谋划布局高能级、功能性开放载体，在高水平制度型开放方面形成新优势。</w:t>
      </w:r>
      <w:r>
        <w:rPr>
          <w:rFonts w:hint="eastAsia" w:ascii="楷体_GB2312" w:hAnsi="Times New Roman" w:eastAsia="楷体_GB2312"/>
          <w:color w:val="000000"/>
          <w:sz w:val="32"/>
          <w:szCs w:val="32"/>
        </w:rPr>
        <w:t>（责任单位：市发改委、市行政审批局、市市场监管局、市商务局）</w:t>
      </w:r>
    </w:p>
    <w:p>
      <w:pPr>
        <w:spacing w:line="560" w:lineRule="exact"/>
        <w:ind w:firstLine="630"/>
        <w:rPr>
          <w:rFonts w:ascii="楷体_GB2312" w:hAnsi="Times New Roman" w:eastAsia="楷体_GB2312"/>
          <w:color w:val="000000"/>
          <w:sz w:val="32"/>
          <w:szCs w:val="32"/>
        </w:rPr>
      </w:pPr>
      <w:r>
        <w:rPr>
          <w:rFonts w:ascii="Times New Roman" w:hAnsi="Times New Roman" w:eastAsia="仿宋_GB2312"/>
          <w:color w:val="000000"/>
          <w:sz w:val="32"/>
          <w:szCs w:val="32"/>
        </w:rPr>
        <w:t>在研发与设计服务、交通运输、工程建设、金融、教育、医疗卫生、体育、信息服务、电力服务等领域实现突破，在市场准入方面对企业资质、资金、股比、人员、场所等设置的不合理条件，列出清单限时清理。</w:t>
      </w:r>
      <w:r>
        <w:rPr>
          <w:rFonts w:hint="eastAsia" w:ascii="楷体_GB2312" w:hAnsi="Times New Roman" w:eastAsia="楷体_GB2312"/>
          <w:color w:val="000000"/>
          <w:sz w:val="32"/>
          <w:szCs w:val="32"/>
        </w:rPr>
        <w:t>（责任单位：市行政审批局、市科技局、市交运局、市商务局、市住建局、市金融监管局、市文体广旅局、市教育局、市卫健委、市工信局、市发改委、市司法局）</w:t>
      </w:r>
    </w:p>
    <w:p>
      <w:pPr>
        <w:spacing w:line="560" w:lineRule="exact"/>
        <w:ind w:firstLine="630"/>
        <w:rPr>
          <w:rFonts w:ascii="楷体_GB2312" w:hAnsi="Times New Roman" w:eastAsia="楷体_GB2312"/>
          <w:color w:val="000000"/>
          <w:sz w:val="32"/>
          <w:szCs w:val="32"/>
        </w:rPr>
      </w:pPr>
      <w:r>
        <w:rPr>
          <w:rFonts w:ascii="Times New Roman" w:hAnsi="Times New Roman" w:eastAsia="仿宋_GB2312"/>
          <w:color w:val="000000"/>
          <w:sz w:val="32"/>
          <w:szCs w:val="32"/>
        </w:rPr>
        <w:t>探索“一业一证”改革试点，在与群众生活和消费息息相关的便利店、小餐馆、健身房、书店、影院等行业，将多项准营行政许可整合成行业综合许可，实现“一证准营”。</w:t>
      </w:r>
      <w:r>
        <w:rPr>
          <w:rFonts w:hint="eastAsia" w:ascii="楷体_GB2312" w:hAnsi="Times New Roman" w:eastAsia="楷体_GB2312"/>
          <w:color w:val="000000"/>
          <w:sz w:val="32"/>
          <w:szCs w:val="32"/>
        </w:rPr>
        <w:t>（责任单位：市行政审批局、市市场监管局）</w:t>
      </w:r>
    </w:p>
    <w:p>
      <w:pPr>
        <w:spacing w:line="560" w:lineRule="exact"/>
        <w:ind w:firstLine="630"/>
        <w:rPr>
          <w:rFonts w:ascii="楷体_GB2312" w:hAnsi="Times New Roman" w:eastAsia="楷体_GB2312"/>
          <w:color w:val="000000"/>
          <w:sz w:val="32"/>
          <w:szCs w:val="32"/>
        </w:rPr>
      </w:pPr>
      <w:r>
        <w:rPr>
          <w:rFonts w:hint="eastAsia" w:ascii="楷体_GB2312" w:hAnsi="Times New Roman" w:eastAsia="楷体_GB2312"/>
          <w:color w:val="000000"/>
          <w:sz w:val="32"/>
          <w:szCs w:val="32"/>
        </w:rPr>
        <w:t>（八）提高中小企业融资服务便利度。</w:t>
      </w:r>
      <w:r>
        <w:rPr>
          <w:rFonts w:ascii="Times New Roman" w:hAnsi="Times New Roman" w:eastAsia="仿宋_GB2312"/>
          <w:color w:val="000000"/>
          <w:sz w:val="32"/>
          <w:szCs w:val="32"/>
        </w:rPr>
        <w:t>建设多层次、广覆盖的征信体系，充分运用综合金融服务体系创新成果，更加高效服务中小企业融资发展。</w:t>
      </w:r>
      <w:r>
        <w:rPr>
          <w:rFonts w:hint="eastAsia" w:ascii="楷体_GB2312" w:hAnsi="Times New Roman" w:eastAsia="楷体_GB2312"/>
          <w:color w:val="000000"/>
          <w:sz w:val="32"/>
          <w:szCs w:val="32"/>
        </w:rPr>
        <w:t>（责任单位：人行太仓支行、市金融监管局）</w:t>
      </w:r>
    </w:p>
    <w:p>
      <w:pPr>
        <w:spacing w:line="560" w:lineRule="exact"/>
        <w:ind w:firstLine="630"/>
        <w:rPr>
          <w:rFonts w:ascii="楷体_GB2312" w:hAnsi="Times New Roman" w:eastAsia="楷体_GB2312"/>
          <w:color w:val="000000"/>
          <w:sz w:val="32"/>
          <w:szCs w:val="32"/>
        </w:rPr>
      </w:pPr>
      <w:r>
        <w:rPr>
          <w:rFonts w:ascii="Times New Roman" w:hAnsi="Times New Roman" w:eastAsia="仿宋_GB2312"/>
          <w:color w:val="000000"/>
          <w:sz w:val="32"/>
          <w:szCs w:val="32"/>
        </w:rPr>
        <w:t>落实普惠金融政策，完善各类政策性信贷产品，进一步促进产品联动和资源共享。加快推进政府性融资担保体系建设，引导更多金融资源流向小微企业和“三农”等普惠领域。</w:t>
      </w:r>
      <w:r>
        <w:rPr>
          <w:rFonts w:hint="eastAsia" w:ascii="楷体_GB2312" w:hAnsi="Times New Roman" w:eastAsia="楷体_GB2312"/>
          <w:color w:val="000000"/>
          <w:sz w:val="32"/>
          <w:szCs w:val="32"/>
        </w:rPr>
        <w:t>（责任单位：市金融监管局、市财政局）</w:t>
      </w:r>
    </w:p>
    <w:p>
      <w:pPr>
        <w:spacing w:line="560" w:lineRule="exact"/>
        <w:ind w:firstLine="630"/>
        <w:rPr>
          <w:rFonts w:ascii="楷体_GB2312" w:hAnsi="Times New Roman" w:eastAsia="楷体_GB2312"/>
          <w:color w:val="000000"/>
          <w:sz w:val="32"/>
          <w:szCs w:val="32"/>
        </w:rPr>
      </w:pPr>
      <w:r>
        <w:rPr>
          <w:rFonts w:ascii="Times New Roman" w:hAnsi="Times New Roman" w:eastAsia="仿宋_GB2312"/>
          <w:color w:val="000000"/>
          <w:sz w:val="32"/>
          <w:szCs w:val="32"/>
        </w:rPr>
        <w:t>发挥太仓市产业引导基金效用，规范基金的管理与运营，吸引社会资本对重点领域创新型初创期企业实施股权投资。</w:t>
      </w:r>
      <w:r>
        <w:rPr>
          <w:rFonts w:hint="eastAsia" w:ascii="Times New Roman" w:hAnsi="Times New Roman" w:eastAsia="仿宋_GB2312"/>
          <w:color w:val="000000"/>
          <w:sz w:val="32"/>
          <w:szCs w:val="32"/>
        </w:rPr>
        <w:t>设立银行业金融贡献奖、地方金融机构普惠贡献奖、股权投资贡献奖、服务企业上市贡献奖等，</w:t>
      </w:r>
      <w:r>
        <w:rPr>
          <w:rFonts w:ascii="Times New Roman" w:hAnsi="Times New Roman" w:eastAsia="仿宋_GB2312"/>
          <w:color w:val="000000"/>
          <w:sz w:val="32"/>
          <w:szCs w:val="32"/>
        </w:rPr>
        <w:t>提升金融服务能级。</w:t>
      </w:r>
      <w:r>
        <w:rPr>
          <w:rFonts w:hint="eastAsia" w:ascii="楷体_GB2312" w:hAnsi="Times New Roman" w:eastAsia="楷体_GB2312"/>
          <w:color w:val="000000"/>
          <w:sz w:val="32"/>
          <w:szCs w:val="32"/>
        </w:rPr>
        <w:t>（责任单位：市金融监管局、市财政局、市科技局、市发改委、市工信局）</w:t>
      </w:r>
    </w:p>
    <w:p>
      <w:pPr>
        <w:spacing w:line="560" w:lineRule="exact"/>
        <w:ind w:firstLine="630"/>
        <w:rPr>
          <w:rFonts w:ascii="Times New Roman" w:hAnsi="Times New Roman" w:eastAsia="楷体_GB2312"/>
          <w:color w:val="000000"/>
          <w:sz w:val="32"/>
          <w:szCs w:val="32"/>
        </w:rPr>
      </w:pPr>
      <w:r>
        <w:rPr>
          <w:rFonts w:hint="eastAsia" w:ascii="楷体_GB2312" w:hAnsi="Times New Roman" w:eastAsia="楷体_GB2312"/>
          <w:color w:val="000000"/>
          <w:sz w:val="32"/>
          <w:szCs w:val="32"/>
        </w:rPr>
        <w:t>（九）提升涉审中介服务质效。</w:t>
      </w:r>
      <w:r>
        <w:rPr>
          <w:rFonts w:ascii="Times New Roman" w:hAnsi="Times New Roman" w:eastAsia="仿宋_GB2312"/>
          <w:color w:val="000000"/>
          <w:sz w:val="32"/>
          <w:szCs w:val="32"/>
        </w:rPr>
        <w:t>实行涉审中介服务事项清单动态管理，发布涉审中介服务事项清单，方便申请人查询，主动接受社会监督。依托各行业主管部门积极推动涉审中介机构入驻涉审中介超市，制定完善中介服务规范、标准和信用评价办法，并集中对外公布。</w:t>
      </w:r>
      <w:r>
        <w:rPr>
          <w:rFonts w:hint="eastAsia" w:ascii="楷体_GB2312" w:hAnsi="Times New Roman" w:eastAsia="楷体_GB2312"/>
          <w:color w:val="000000"/>
          <w:sz w:val="32"/>
          <w:szCs w:val="32"/>
        </w:rPr>
        <w:t>（责任单位：市行政审批局）</w:t>
      </w:r>
    </w:p>
    <w:p>
      <w:pPr>
        <w:spacing w:line="560" w:lineRule="exact"/>
        <w:ind w:firstLine="630"/>
        <w:rPr>
          <w:rFonts w:ascii="楷体_GB2312" w:hAnsi="Times New Roman" w:eastAsia="楷体_GB2312"/>
          <w:color w:val="000000"/>
          <w:sz w:val="32"/>
          <w:szCs w:val="32"/>
        </w:rPr>
      </w:pPr>
      <w:r>
        <w:rPr>
          <w:rFonts w:ascii="Times New Roman" w:hAnsi="Times New Roman" w:eastAsia="仿宋_GB2312"/>
          <w:color w:val="000000"/>
          <w:sz w:val="32"/>
          <w:szCs w:val="32"/>
        </w:rPr>
        <w:t>规范行政审批中介服务收费行为，加强中介服务收费监管。对于市场发育成熟、价格形成机制健全、竞争充分规范的中介服务事项，一律通过市场调节价格；对于垄断性较强，短期内无法形成充分竞争的，实行政府定价管理。行政机关在行政审批过程中需要委托中介服务机构开展技术性服务的，应当通过竞争性方式选择中介服务机构，并自行承担服务费用，不得转嫁给市场主体承担。中介服务机构应当明确办理法定行政审批中介服务的条件、流程、时限、收费标准，并向社会公开。</w:t>
      </w:r>
      <w:r>
        <w:rPr>
          <w:rFonts w:hint="eastAsia" w:ascii="楷体_GB2312" w:hAnsi="Times New Roman" w:eastAsia="楷体_GB2312"/>
          <w:color w:val="000000"/>
          <w:sz w:val="32"/>
          <w:szCs w:val="32"/>
        </w:rPr>
        <w:t>（责任单位：市发改委、市市场监管局、市行政审批局）</w:t>
      </w:r>
    </w:p>
    <w:p>
      <w:pPr>
        <w:spacing w:line="560" w:lineRule="exact"/>
        <w:ind w:firstLine="630"/>
        <w:rPr>
          <w:rFonts w:ascii="楷体_GB2312" w:hAnsi="Times New Roman" w:eastAsia="楷体_GB2312"/>
          <w:color w:val="000000"/>
          <w:sz w:val="32"/>
          <w:szCs w:val="32"/>
        </w:rPr>
      </w:pPr>
      <w:r>
        <w:rPr>
          <w:rFonts w:ascii="Times New Roman" w:hAnsi="Times New Roman" w:eastAsia="仿宋_GB2312"/>
          <w:color w:val="000000"/>
          <w:sz w:val="32"/>
          <w:szCs w:val="32"/>
        </w:rPr>
        <w:t>在依法设立的开发区、高新区，对建设用地、企业投资项目涉及的评估评价事项等开展区域评估，稳妥有序将更多评估事项纳入区域评估范围，加快推动新项目共享区域评估成果。</w:t>
      </w:r>
      <w:r>
        <w:rPr>
          <w:rFonts w:hint="eastAsia" w:ascii="楷体_GB2312" w:hAnsi="Times New Roman" w:eastAsia="楷体_GB2312"/>
          <w:color w:val="000000"/>
          <w:sz w:val="32"/>
          <w:szCs w:val="32"/>
        </w:rPr>
        <w:t>（责任单位：市商务局、市</w:t>
      </w:r>
      <w:r>
        <w:rPr>
          <w:rFonts w:hint="eastAsia" w:ascii="楷体_GB2312" w:eastAsia="楷体_GB2312"/>
          <w:color w:val="000000"/>
          <w:sz w:val="32"/>
          <w:szCs w:val="32"/>
        </w:rPr>
        <w:t>财政局、</w:t>
      </w:r>
      <w:r>
        <w:rPr>
          <w:rFonts w:hint="eastAsia" w:ascii="楷体_GB2312" w:hAnsi="Times New Roman" w:eastAsia="楷体_GB2312"/>
          <w:color w:val="000000"/>
          <w:sz w:val="32"/>
          <w:szCs w:val="32"/>
        </w:rPr>
        <w:t>市</w:t>
      </w:r>
      <w:r>
        <w:rPr>
          <w:rFonts w:hint="eastAsia" w:ascii="楷体_GB2312" w:eastAsia="楷体_GB2312"/>
          <w:color w:val="000000"/>
          <w:sz w:val="32"/>
          <w:szCs w:val="32"/>
        </w:rPr>
        <w:t>资源规划局、</w:t>
      </w:r>
      <w:r>
        <w:rPr>
          <w:rFonts w:hint="eastAsia" w:ascii="楷体_GB2312" w:hAnsi="Times New Roman" w:eastAsia="楷体_GB2312"/>
          <w:color w:val="000000"/>
          <w:sz w:val="32"/>
          <w:szCs w:val="32"/>
        </w:rPr>
        <w:t>市</w:t>
      </w:r>
      <w:r>
        <w:rPr>
          <w:rFonts w:hint="eastAsia" w:ascii="楷体_GB2312" w:eastAsia="楷体_GB2312"/>
          <w:color w:val="000000"/>
          <w:sz w:val="32"/>
          <w:szCs w:val="32"/>
        </w:rPr>
        <w:t>住建局、</w:t>
      </w:r>
      <w:r>
        <w:rPr>
          <w:rFonts w:hint="eastAsia" w:ascii="楷体_GB2312" w:hAnsi="Times New Roman" w:eastAsia="楷体_GB2312"/>
          <w:color w:val="000000"/>
          <w:sz w:val="32"/>
          <w:szCs w:val="32"/>
        </w:rPr>
        <w:t>市</w:t>
      </w:r>
      <w:r>
        <w:rPr>
          <w:rFonts w:hint="eastAsia" w:ascii="楷体_GB2312" w:eastAsia="楷体_GB2312"/>
          <w:color w:val="000000"/>
          <w:sz w:val="32"/>
          <w:szCs w:val="32"/>
        </w:rPr>
        <w:t>水务局、</w:t>
      </w:r>
      <w:r>
        <w:rPr>
          <w:rFonts w:hint="eastAsia" w:ascii="楷体_GB2312" w:hAnsi="Times New Roman" w:eastAsia="楷体_GB2312"/>
          <w:color w:val="000000"/>
          <w:sz w:val="32"/>
          <w:szCs w:val="32"/>
        </w:rPr>
        <w:t>市</w:t>
      </w:r>
      <w:r>
        <w:rPr>
          <w:rFonts w:hint="eastAsia" w:ascii="楷体_GB2312" w:eastAsia="楷体_GB2312"/>
          <w:color w:val="000000"/>
          <w:sz w:val="32"/>
          <w:szCs w:val="32"/>
        </w:rPr>
        <w:t>发改委、</w:t>
      </w:r>
      <w:r>
        <w:rPr>
          <w:rFonts w:hint="eastAsia" w:ascii="楷体_GB2312" w:hAnsi="Times New Roman" w:eastAsia="楷体_GB2312"/>
          <w:color w:val="000000"/>
          <w:sz w:val="32"/>
          <w:szCs w:val="32"/>
        </w:rPr>
        <w:t>市</w:t>
      </w:r>
      <w:r>
        <w:rPr>
          <w:rFonts w:hint="eastAsia" w:ascii="楷体_GB2312" w:eastAsia="楷体_GB2312"/>
          <w:color w:val="000000"/>
          <w:sz w:val="32"/>
          <w:szCs w:val="32"/>
        </w:rPr>
        <w:t>行政审批局、</w:t>
      </w:r>
      <w:r>
        <w:rPr>
          <w:rFonts w:hint="eastAsia" w:ascii="楷体_GB2312" w:hAnsi="Times New Roman" w:eastAsia="楷体_GB2312"/>
          <w:color w:val="000000"/>
          <w:sz w:val="32"/>
          <w:szCs w:val="32"/>
        </w:rPr>
        <w:t>市</w:t>
      </w:r>
      <w:r>
        <w:rPr>
          <w:rFonts w:hint="eastAsia" w:ascii="楷体_GB2312" w:eastAsia="楷体_GB2312"/>
          <w:color w:val="000000"/>
          <w:sz w:val="32"/>
          <w:szCs w:val="32"/>
        </w:rPr>
        <w:t>应急局、</w:t>
      </w:r>
      <w:r>
        <w:rPr>
          <w:rFonts w:hint="eastAsia" w:ascii="楷体_GB2312" w:hAnsi="Times New Roman" w:eastAsia="楷体_GB2312"/>
          <w:color w:val="000000"/>
          <w:sz w:val="32"/>
          <w:szCs w:val="32"/>
        </w:rPr>
        <w:t>市</w:t>
      </w:r>
      <w:r>
        <w:rPr>
          <w:rFonts w:hint="eastAsia" w:ascii="楷体_GB2312" w:eastAsia="楷体_GB2312"/>
          <w:color w:val="000000"/>
          <w:sz w:val="32"/>
          <w:szCs w:val="32"/>
        </w:rPr>
        <w:t>文体广旅局、</w:t>
      </w:r>
      <w:r>
        <w:rPr>
          <w:rFonts w:hint="eastAsia" w:ascii="楷体_GB2312" w:hAnsi="Times New Roman" w:eastAsia="楷体_GB2312"/>
          <w:color w:val="000000"/>
          <w:sz w:val="32"/>
          <w:szCs w:val="32"/>
        </w:rPr>
        <w:t>市</w:t>
      </w:r>
      <w:r>
        <w:rPr>
          <w:rFonts w:hint="eastAsia" w:ascii="楷体_GB2312" w:eastAsia="楷体_GB2312"/>
          <w:color w:val="000000"/>
          <w:sz w:val="32"/>
          <w:szCs w:val="32"/>
        </w:rPr>
        <w:t>生态环境局、</w:t>
      </w:r>
      <w:r>
        <w:rPr>
          <w:rFonts w:hint="eastAsia" w:ascii="楷体_GB2312" w:hAnsi="Times New Roman" w:eastAsia="楷体_GB2312"/>
          <w:color w:val="000000"/>
          <w:sz w:val="32"/>
          <w:szCs w:val="32"/>
        </w:rPr>
        <w:t>市</w:t>
      </w:r>
      <w:r>
        <w:rPr>
          <w:rFonts w:hint="eastAsia" w:ascii="楷体_GB2312" w:eastAsia="楷体_GB2312"/>
          <w:color w:val="000000"/>
          <w:sz w:val="32"/>
          <w:szCs w:val="32"/>
        </w:rPr>
        <w:t>气象局、港区、高新区</w:t>
      </w:r>
      <w:r>
        <w:rPr>
          <w:rFonts w:hint="eastAsia" w:ascii="楷体_GB2312" w:hAnsi="Times New Roman" w:eastAsia="楷体_GB2312"/>
          <w:color w:val="000000"/>
          <w:sz w:val="32"/>
          <w:szCs w:val="32"/>
        </w:rPr>
        <w:t>）</w:t>
      </w:r>
    </w:p>
    <w:p>
      <w:pPr>
        <w:spacing w:line="560" w:lineRule="exact"/>
        <w:ind w:firstLine="630"/>
        <w:rPr>
          <w:rFonts w:ascii="Times New Roman" w:hAnsi="Times New Roman" w:eastAsia="楷体_GB2312"/>
          <w:color w:val="000000"/>
          <w:sz w:val="32"/>
          <w:szCs w:val="32"/>
        </w:rPr>
      </w:pPr>
      <w:r>
        <w:rPr>
          <w:rFonts w:hint="eastAsia" w:ascii="楷体_GB2312" w:hAnsi="Times New Roman" w:eastAsia="楷体_GB2312"/>
          <w:color w:val="000000"/>
          <w:sz w:val="32"/>
          <w:szCs w:val="32"/>
        </w:rPr>
        <w:t>（十）优化劳动力市场服务供给。</w:t>
      </w:r>
      <w:r>
        <w:rPr>
          <w:rFonts w:ascii="Times New Roman" w:hAnsi="Times New Roman" w:eastAsia="仿宋_GB2312"/>
          <w:color w:val="000000"/>
          <w:sz w:val="32"/>
          <w:szCs w:val="32"/>
        </w:rPr>
        <w:t>高效链接人力资源服务机构等社会服务资源，拓宽企业用工渠道，帮助企业获得“全链条”人力资源服务。</w:t>
      </w:r>
      <w:r>
        <w:rPr>
          <w:rFonts w:hint="eastAsia" w:ascii="楷体_GB2312" w:hAnsi="Times New Roman" w:eastAsia="楷体_GB2312"/>
          <w:color w:val="000000"/>
          <w:sz w:val="32"/>
          <w:szCs w:val="32"/>
        </w:rPr>
        <w:t>（责任单位：市人社局、市市场监管局）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打造“金蓝领”培育工程，实施“紧缺劳动者引入计划”。拓宽灵活就业医保参保范围。纵深推进技能人才和专技人才评价的双向贯通，积极布局职业技能等级认定第三方评价机构。</w:t>
      </w:r>
      <w:r>
        <w:rPr>
          <w:rFonts w:hint="eastAsia" w:ascii="Times New Roman" w:hAnsi="Times New Roman" w:eastAsia="仿宋_GB2312"/>
          <w:color w:val="000000"/>
          <w:sz w:val="32"/>
          <w:szCs w:val="32"/>
        </w:rPr>
        <w:t>参与</w:t>
      </w:r>
      <w:r>
        <w:rPr>
          <w:rFonts w:ascii="Times New Roman" w:hAnsi="Times New Roman" w:eastAsia="仿宋_GB2312"/>
          <w:color w:val="000000"/>
          <w:sz w:val="32"/>
          <w:szCs w:val="32"/>
        </w:rPr>
        <w:t>技能英才周、时代工匠寻访、最美劳动者遴选等活动。</w:t>
      </w:r>
      <w:r>
        <w:rPr>
          <w:rFonts w:hint="eastAsia" w:ascii="楷体_GB2312" w:hAnsi="Times New Roman" w:eastAsia="楷体_GB2312"/>
          <w:color w:val="000000"/>
          <w:sz w:val="32"/>
          <w:szCs w:val="32"/>
        </w:rPr>
        <w:t>（责任单位：市人社局、市医保局、市总工会）</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建立健全劳务派遣单位劳动保障信用等级评价制度，通过信用监管持续加大对劳务派遣行业管理，引导劳务派遣单位规范运行，规范人力资源市场。持续开展整治扰乱人力资源市场秩序违法违规行为专项行动，更好服务企业用工需求。</w:t>
      </w:r>
      <w:r>
        <w:rPr>
          <w:rFonts w:hint="eastAsia" w:ascii="楷体_GB2312" w:hAnsi="Times New Roman" w:eastAsia="楷体_GB2312"/>
          <w:color w:val="000000"/>
          <w:sz w:val="32"/>
          <w:szCs w:val="32"/>
        </w:rPr>
        <w:t>（责任单位：市人社局、市发改委、市公安局、市市场监管局）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落实和谐劳动关系企业正向激励政策，推广应用电子劳动合同签署平台，试点为优秀市级劳动关系和谐企业免费提供电子劳动合同。</w:t>
      </w:r>
      <w:r>
        <w:rPr>
          <w:rFonts w:hint="eastAsia" w:ascii="楷体_GB2312" w:hAnsi="Times New Roman" w:eastAsia="楷体_GB2312"/>
          <w:color w:val="000000"/>
          <w:sz w:val="32"/>
          <w:szCs w:val="32"/>
        </w:rPr>
        <w:t>（责任单位：市人社局）</w:t>
      </w:r>
    </w:p>
    <w:p>
      <w:pPr>
        <w:spacing w:line="560" w:lineRule="exact"/>
        <w:ind w:firstLine="630"/>
        <w:rPr>
          <w:rFonts w:ascii="Times New Roman" w:hAnsi="Times New Roman" w:eastAsia="仿宋_GB2312"/>
          <w:color w:val="000000"/>
          <w:sz w:val="32"/>
          <w:szCs w:val="32"/>
        </w:rPr>
      </w:pPr>
      <w:r>
        <w:rPr>
          <w:rFonts w:hint="eastAsia" w:ascii="楷体_GB2312" w:hAnsi="Times New Roman" w:eastAsia="楷体_GB2312"/>
          <w:color w:val="000000"/>
          <w:sz w:val="32"/>
          <w:szCs w:val="32"/>
        </w:rPr>
        <w:t>（十一）做优高层次人才服务。</w:t>
      </w:r>
      <w:r>
        <w:rPr>
          <w:rFonts w:ascii="Times New Roman" w:hAnsi="Times New Roman" w:eastAsia="仿宋_GB2312"/>
          <w:color w:val="000000"/>
          <w:sz w:val="32"/>
          <w:szCs w:val="32"/>
        </w:rPr>
        <w:t>推动招才引智全链“上云”，为人才创新创业搭设广阔舞台。发挥苏州国际精英创业周太仓分会场、沪上高校院所“太仓日”聚才效应，擦亮“创赢太仓”全球创业大赛品牌，持续优化高层次人才“一站式”服务体系，切实保障人才在子女教育、医疗保健、交通出行、住房保障、金融服务等方面的需求，提高人才服务便捷度。围绕高端装备制造、新材料、生物医药、航空等产业领域，引进具有引领性、原创性、标志性的顶尖人才团队，“一事一议”给予量身定制、上不封顶的特殊支持。落实高端人才奖励专项，培养我市先导产业、前沿科技领域的高端人才和急需紧缺人才。</w:t>
      </w:r>
      <w:r>
        <w:rPr>
          <w:rFonts w:hint="eastAsia" w:ascii="楷体_GB2312" w:hAnsi="Times New Roman" w:eastAsia="楷体_GB2312"/>
          <w:color w:val="000000"/>
          <w:sz w:val="32"/>
          <w:szCs w:val="32"/>
        </w:rPr>
        <w:t>（责任单位：市委组织部、市人社局、市公安局、市科技局、市教育局、市住建局、市交运局、市卫健委、市金融监管局）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做好“快捷通道”、外国人来华邀请和APEC商务旅行卡工作。健全与外国驻华使领馆和外国商会动态沟通机制。优化我市境外人士荣誉称号</w:t>
      </w:r>
      <w:r>
        <w:rPr>
          <w:rFonts w:hint="eastAsia" w:ascii="Times New Roman" w:hAnsi="Times New Roman" w:eastAsia="仿宋_GB2312"/>
          <w:color w:val="000000"/>
          <w:sz w:val="32"/>
          <w:szCs w:val="32"/>
        </w:rPr>
        <w:t>评选</w:t>
      </w:r>
      <w:r>
        <w:rPr>
          <w:rFonts w:ascii="Times New Roman" w:hAnsi="Times New Roman" w:eastAsia="仿宋_GB2312"/>
          <w:color w:val="000000"/>
          <w:sz w:val="32"/>
          <w:szCs w:val="32"/>
        </w:rPr>
        <w:t>体系。</w:t>
      </w:r>
      <w:r>
        <w:rPr>
          <w:rFonts w:hint="eastAsia" w:ascii="楷体_GB2312" w:hAnsi="Times New Roman" w:eastAsia="楷体_GB2312"/>
          <w:color w:val="000000"/>
          <w:sz w:val="32"/>
          <w:szCs w:val="32"/>
        </w:rPr>
        <w:t>（责任单位：市外办）</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放宽外国人才在太工作年龄、学历、工作经历要求，延长工作许可时间，简化办理流程。试行外国高端人才工作许可证、居留证件办理专窗服务。对外国高端人才不作年龄要求，对符合条件的外国专业人才年龄放宽至70周岁。对符合条件的外国高端人才给予最长3至5年的工作时间。</w:t>
      </w:r>
      <w:r>
        <w:rPr>
          <w:rFonts w:hint="eastAsia" w:ascii="楷体_GB2312" w:hAnsi="Times New Roman" w:eastAsia="楷体_GB2312"/>
          <w:color w:val="000000"/>
          <w:sz w:val="32"/>
          <w:szCs w:val="32"/>
        </w:rPr>
        <w:t>（责任单位：市科技局、市公安局）</w:t>
      </w:r>
    </w:p>
    <w:p>
      <w:pPr>
        <w:spacing w:line="560" w:lineRule="exact"/>
        <w:ind w:firstLine="630"/>
        <w:rPr>
          <w:rFonts w:ascii="黑体" w:hAnsi="黑体" w:eastAsia="黑体"/>
          <w:color w:val="000000"/>
          <w:sz w:val="32"/>
          <w:szCs w:val="32"/>
        </w:rPr>
      </w:pPr>
      <w:r>
        <w:rPr>
          <w:rFonts w:hint="eastAsia" w:ascii="黑体" w:hAnsi="黑体" w:eastAsia="黑体"/>
          <w:color w:val="000000"/>
          <w:sz w:val="32"/>
          <w:szCs w:val="32"/>
        </w:rPr>
        <w:t>四、</w:t>
      </w:r>
      <w:r>
        <w:rPr>
          <w:rFonts w:ascii="黑体" w:hAnsi="黑体" w:eastAsia="黑体"/>
          <w:color w:val="000000"/>
          <w:sz w:val="32"/>
          <w:szCs w:val="32"/>
        </w:rPr>
        <w:t>加强法治诚信建设，</w:t>
      </w:r>
      <w:r>
        <w:rPr>
          <w:rFonts w:hint="eastAsia" w:ascii="黑体" w:hAnsi="黑体" w:eastAsia="黑体"/>
          <w:color w:val="000000"/>
          <w:sz w:val="32"/>
          <w:szCs w:val="32"/>
        </w:rPr>
        <w:t>营造</w:t>
      </w:r>
      <w:r>
        <w:rPr>
          <w:rFonts w:ascii="黑体" w:hAnsi="黑体" w:eastAsia="黑体"/>
          <w:color w:val="000000"/>
          <w:sz w:val="32"/>
          <w:szCs w:val="32"/>
        </w:rPr>
        <w:t>最公平</w:t>
      </w:r>
      <w:r>
        <w:rPr>
          <w:rFonts w:hint="eastAsia" w:ascii="黑体" w:hAnsi="黑体" w:eastAsia="黑体"/>
          <w:color w:val="000000"/>
          <w:sz w:val="32"/>
          <w:szCs w:val="32"/>
        </w:rPr>
        <w:t>的营商环境</w:t>
      </w:r>
    </w:p>
    <w:p>
      <w:pPr>
        <w:spacing w:line="560" w:lineRule="exact"/>
        <w:ind w:firstLine="630"/>
        <w:rPr>
          <w:rFonts w:ascii="Times New Roman" w:hAnsi="Times New Roman" w:eastAsia="楷体_GB2312"/>
          <w:color w:val="000000"/>
          <w:sz w:val="32"/>
          <w:szCs w:val="32"/>
        </w:rPr>
      </w:pPr>
      <w:r>
        <w:rPr>
          <w:rFonts w:hint="eastAsia" w:ascii="楷体_GB2312" w:hAnsi="Times New Roman" w:eastAsia="楷体_GB2312"/>
          <w:color w:val="000000"/>
          <w:sz w:val="32"/>
          <w:szCs w:val="32"/>
        </w:rPr>
        <w:t>（十二）全面提升法治保障供给水平。</w:t>
      </w:r>
      <w:r>
        <w:rPr>
          <w:rFonts w:ascii="Times New Roman" w:hAnsi="Times New Roman" w:eastAsia="仿宋_GB2312"/>
          <w:color w:val="000000"/>
          <w:sz w:val="32"/>
          <w:szCs w:val="32"/>
        </w:rPr>
        <w:t>深入贯彻落实《优化营商环境条例》《江苏省优化营商环境条例》《苏州市优化营商环境条例》。健全法治化营商环境指标体系，探索建立涉企政策制定前评估制度。</w:t>
      </w:r>
      <w:r>
        <w:rPr>
          <w:rFonts w:hint="eastAsia" w:ascii="楷体_GB2312" w:hAnsi="Times New Roman" w:eastAsia="楷体_GB2312"/>
          <w:color w:val="000000"/>
          <w:sz w:val="32"/>
          <w:szCs w:val="32"/>
        </w:rPr>
        <w:t>（责任单位：市发改委、市司法局)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探索设立功能更全、服务更广的公共法律服务中心，提供创新实用、可推广的企业全生命周期法律服务产品。加快推进“区块链+公证”在行政执法全过程记录中应用。</w:t>
      </w:r>
      <w:r>
        <w:rPr>
          <w:rFonts w:hint="eastAsia" w:ascii="楷体_GB2312" w:hAnsi="Times New Roman" w:eastAsia="楷体_GB2312"/>
          <w:color w:val="000000"/>
          <w:sz w:val="32"/>
          <w:szCs w:val="32"/>
        </w:rPr>
        <w:t>（责任单位：市司法局、市法院、市商务局）</w:t>
      </w:r>
    </w:p>
    <w:p>
      <w:pPr>
        <w:spacing w:line="560" w:lineRule="exact"/>
        <w:ind w:firstLine="63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配合上级市场监管部门加大对公用事业、金融、互联网领域等重要行业和重点领域的反垄断执法力度，形成执法威慑。加大反不正当竞争案件查处力度，突出平台经济领域竞争执法，严厉查处虚假宣传、违规促销等行为。规范公平竞争审查内部程序，完善全市公平竞争审查抽查机制，加强对公平竞争审查工作执行情况的督促指导。探索完善第三方评估机制，发挥公平竞争审查第三方评估机制作用。</w:t>
      </w:r>
      <w:r>
        <w:rPr>
          <w:rFonts w:hint="eastAsia" w:ascii="楷体_GB2312" w:hAnsi="Times New Roman" w:eastAsia="楷体_GB2312"/>
          <w:color w:val="000000"/>
          <w:sz w:val="32"/>
          <w:szCs w:val="32"/>
        </w:rPr>
        <w:t>（责任单位：市市场监管局）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完善多元化纠纷解决机制，着力打造线上线下衔接的实体、网络、热线三体联动非诉讼纠纷解决综合平台，充分发挥非诉讼服务</w:t>
      </w:r>
      <w:r>
        <w:rPr>
          <w:rFonts w:hint="eastAsia" w:ascii="Times New Roman" w:hAnsi="Times New Roman" w:eastAsia="仿宋_GB2312"/>
          <w:color w:val="000000"/>
          <w:sz w:val="32"/>
          <w:szCs w:val="32"/>
        </w:rPr>
        <w:t>分</w:t>
      </w:r>
      <w:r>
        <w:rPr>
          <w:rFonts w:ascii="Times New Roman" w:hAnsi="Times New Roman" w:eastAsia="仿宋_GB2312"/>
          <w:color w:val="000000"/>
          <w:sz w:val="32"/>
          <w:szCs w:val="32"/>
        </w:rPr>
        <w:t>中心功能。</w:t>
      </w:r>
      <w:r>
        <w:rPr>
          <w:rFonts w:hint="eastAsia" w:ascii="楷体_GB2312" w:hAnsi="Times New Roman" w:eastAsia="楷体_GB2312"/>
          <w:color w:val="000000"/>
          <w:sz w:val="32"/>
          <w:szCs w:val="32"/>
        </w:rPr>
        <w:t>（责任单位：市法院）</w:t>
      </w:r>
    </w:p>
    <w:p>
      <w:pPr>
        <w:spacing w:line="560" w:lineRule="exact"/>
        <w:ind w:firstLine="630"/>
        <w:rPr>
          <w:rFonts w:ascii="Times New Roman" w:hAnsi="Times New Roman" w:eastAsia="楷体_GB2312"/>
          <w:color w:val="000000"/>
          <w:sz w:val="32"/>
          <w:szCs w:val="32"/>
        </w:rPr>
      </w:pPr>
      <w:r>
        <w:rPr>
          <w:rFonts w:hint="eastAsia" w:ascii="楷体_GB2312" w:hAnsi="Times New Roman" w:eastAsia="楷体_GB2312"/>
          <w:color w:val="000000"/>
          <w:sz w:val="32"/>
          <w:szCs w:val="32"/>
        </w:rPr>
        <w:t>（十三）全面加强知识产权保护与运用。</w:t>
      </w:r>
      <w:r>
        <w:rPr>
          <w:rFonts w:ascii="Times New Roman" w:hAnsi="Times New Roman" w:eastAsia="仿宋_GB2312"/>
          <w:color w:val="000000"/>
          <w:sz w:val="32"/>
          <w:szCs w:val="32"/>
        </w:rPr>
        <w:t>深入开展知识产权强省建设区域示范工作</w:t>
      </w:r>
      <w:r>
        <w:rPr>
          <w:rFonts w:ascii="Times New Roman" w:hAnsi="Times New Roman" w:eastAsia="仿宋_GB2312"/>
          <w:color w:val="000000"/>
          <w:sz w:val="32"/>
          <w:szCs w:val="32"/>
          <w:lang w:val="zh-CN"/>
        </w:rPr>
        <w:t>。</w:t>
      </w:r>
      <w:r>
        <w:rPr>
          <w:rFonts w:ascii="Times New Roman" w:hAnsi="Times New Roman" w:eastAsia="仿宋_GB2312"/>
          <w:color w:val="000000"/>
          <w:sz w:val="32"/>
          <w:szCs w:val="32"/>
        </w:rPr>
        <w:t>围绕新材料、生物医药等重点产业，根据市场主体需求，持续精准开展专利导航，逐步构建太仓产业专利地图。推进产业知识产权联盟和产业专利池建设，深入推动专利协同运用。推广知识产权质押、投贷联动、证券化等融资模式，打造贯穿创新企业全生命周期的知识产权金融支持全链条，实现企业知识产权资产价值。</w:t>
      </w:r>
      <w:r>
        <w:rPr>
          <w:rFonts w:hint="eastAsia" w:ascii="楷体_GB2312" w:hAnsi="Times New Roman" w:eastAsia="楷体_GB2312"/>
          <w:color w:val="000000"/>
          <w:sz w:val="32"/>
          <w:szCs w:val="32"/>
        </w:rPr>
        <w:t>（责任单位：市市场监管局、市财政局、市金融监管局）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积极探索新模式下电商知识产权保护工作，为发展“互联网+新经济”提供有力支撑。建立知识产权重点企业保护名录，建立完善跨部门、跨区域知识产权保护协同机制，搭建涵盖知识产权快速审查、快速确权、快速维权、司法衔接的“一站式全链条”知识产权协同保护平台。</w:t>
      </w:r>
      <w:r>
        <w:rPr>
          <w:rFonts w:hint="eastAsia" w:ascii="楷体_GB2312" w:hAnsi="Times New Roman" w:eastAsia="楷体_GB2312"/>
          <w:color w:val="000000"/>
          <w:sz w:val="32"/>
          <w:szCs w:val="32"/>
        </w:rPr>
        <w:t>（责任单位：市市场监管局、市发改委、市科技局、市工信局）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加强检察机关知识产权刑事案件机制建设，全面推广知识产权刑事案件权利人诉讼权利义务告知制度，研究制定侵犯知识产权刑事案件证据审查指引。健全知识产权领域“两法衔接”制度，建立行刑案件查办衔接机制。探索推动我市知识产权公益诉讼工作。</w:t>
      </w:r>
      <w:r>
        <w:rPr>
          <w:rFonts w:hint="eastAsia" w:ascii="楷体_GB2312" w:hAnsi="Times New Roman" w:eastAsia="楷体_GB2312"/>
          <w:color w:val="000000"/>
          <w:sz w:val="32"/>
          <w:szCs w:val="32"/>
        </w:rPr>
        <w:t>（责任单位：市检察院）</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健全知识产权行政执法与司法审判联动协作机制，严厉打击涉及新技术、新业态、新模式、新产业及民生领域的知识产权侵权假冒行为，加大对严重恶意侵权、群体侵权、反复侵权等知识产权违法行为的制裁力度。</w:t>
      </w:r>
      <w:r>
        <w:rPr>
          <w:rFonts w:hint="eastAsia" w:ascii="楷体_GB2312" w:hAnsi="Times New Roman" w:eastAsia="楷体_GB2312"/>
          <w:color w:val="000000"/>
          <w:sz w:val="32"/>
          <w:szCs w:val="32"/>
        </w:rPr>
        <w:t>（责任单位：市法院）</w:t>
      </w:r>
    </w:p>
    <w:p>
      <w:pPr>
        <w:spacing w:line="560" w:lineRule="exact"/>
        <w:ind w:firstLine="630"/>
        <w:rPr>
          <w:rFonts w:ascii="Times New Roman" w:hAnsi="Times New Roman" w:eastAsia="楷体_GB2312"/>
          <w:color w:val="000000"/>
          <w:sz w:val="32"/>
          <w:szCs w:val="32"/>
        </w:rPr>
      </w:pPr>
      <w:r>
        <w:rPr>
          <w:rFonts w:hint="eastAsia" w:ascii="楷体_GB2312" w:hAnsi="Times New Roman" w:eastAsia="楷体_GB2312"/>
          <w:color w:val="000000"/>
          <w:sz w:val="32"/>
          <w:szCs w:val="32"/>
        </w:rPr>
        <w:t>（十四）全面加强中小投资者保护。</w:t>
      </w:r>
      <w:r>
        <w:rPr>
          <w:rFonts w:ascii="Times New Roman" w:hAnsi="Times New Roman" w:eastAsia="仿宋_GB2312"/>
          <w:color w:val="000000"/>
          <w:sz w:val="32"/>
          <w:szCs w:val="32"/>
        </w:rPr>
        <w:t>强化平等保护理念，坚持中小投资者与其他各类投资者诉讼主体地位平等，法律适用平等；妥善审理公司决议、公司解散、股东代表诉讼、股东分红、企业改制等各类案件，促进公司治理结构与内部控制规范化、法治化，加强对知情权等手段性权利的保护，促使公司依法尊重股东特别是中小股东的权利，纠正股东或董事、监事、高级管理人员对公司不当损害行为。</w:t>
      </w:r>
      <w:r>
        <w:rPr>
          <w:rFonts w:hint="eastAsia" w:ascii="楷体_GB2312" w:hAnsi="Times New Roman" w:eastAsia="楷体_GB2312"/>
          <w:color w:val="000000"/>
          <w:sz w:val="32"/>
          <w:szCs w:val="32"/>
        </w:rPr>
        <w:t>（责任单位：市法院）</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完善股东分歧解决机制，在审理涉及有限责任公司股东重大分歧案件时，通过收购股份、公司减资、公司分立等方式，在公司得以继续存续的情形下，切实保障投资主体退出公司的权益。支持中证中小投资者服务中心等投资者保护机构开展工作。</w:t>
      </w:r>
      <w:r>
        <w:rPr>
          <w:rFonts w:hint="eastAsia" w:ascii="楷体_GB2312" w:hAnsi="Times New Roman" w:eastAsia="楷体_GB2312"/>
          <w:color w:val="000000"/>
          <w:sz w:val="32"/>
          <w:szCs w:val="32"/>
        </w:rPr>
        <w:t>（责任单位：市法院）</w:t>
      </w:r>
    </w:p>
    <w:p>
      <w:pPr>
        <w:spacing w:line="560" w:lineRule="exact"/>
        <w:ind w:firstLine="630"/>
        <w:rPr>
          <w:rFonts w:ascii="Times New Roman" w:hAnsi="Times New Roman" w:eastAsia="楷体_GB2312"/>
          <w:color w:val="000000"/>
          <w:sz w:val="32"/>
          <w:szCs w:val="32"/>
        </w:rPr>
      </w:pPr>
      <w:r>
        <w:rPr>
          <w:rFonts w:hint="eastAsia" w:ascii="楷体_GB2312" w:hAnsi="Times New Roman" w:eastAsia="楷体_GB2312"/>
          <w:color w:val="000000"/>
          <w:sz w:val="32"/>
          <w:szCs w:val="32"/>
        </w:rPr>
        <w:t>（十五）全面优化执行合同。</w:t>
      </w:r>
      <w:r>
        <w:rPr>
          <w:rFonts w:ascii="Times New Roman" w:hAnsi="Times New Roman" w:eastAsia="仿宋_GB2312"/>
          <w:color w:val="000000"/>
          <w:sz w:val="32"/>
          <w:szCs w:val="32"/>
        </w:rPr>
        <w:t>发挥小额诉讼程序、简易程序和独任制审理的制度优势，扩大普通程序独任制的适用范围；建立健全繁简分流智能识别分案系统，综合考量案由类型、诉讼标的、诉讼主体、案件平均审理时间等因素，推进商事案件繁简分流、轻重分离、快慢分道，全面提升企业诉讼效率。</w:t>
      </w:r>
      <w:r>
        <w:rPr>
          <w:rFonts w:hint="eastAsia" w:ascii="楷体_GB2312" w:hAnsi="Times New Roman" w:eastAsia="楷体_GB2312"/>
          <w:color w:val="000000"/>
          <w:sz w:val="32"/>
          <w:szCs w:val="32"/>
        </w:rPr>
        <w:t>（责任单位：市法院）</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完善多元化纠纷解决机制建设，将专业化的调解力量引入法院特邀调解平台。积极引导涉诉企业通过特邀调解、行业调解等方式化解纠纷，</w:t>
      </w:r>
      <w:r>
        <w:rPr>
          <w:rFonts w:hint="eastAsia" w:ascii="Times New Roman" w:hAnsi="Times New Roman" w:eastAsia="仿宋_GB2312"/>
          <w:color w:val="000000"/>
          <w:sz w:val="32"/>
          <w:szCs w:val="32"/>
        </w:rPr>
        <w:t>建立健全诉调对接机制，优化司法确认程序，司法确认案件一律依法免收诉讼费</w:t>
      </w:r>
      <w:r>
        <w:rPr>
          <w:rFonts w:ascii="Times New Roman" w:hAnsi="Times New Roman" w:eastAsia="仿宋_GB2312"/>
          <w:color w:val="000000"/>
          <w:sz w:val="32"/>
          <w:szCs w:val="32"/>
        </w:rPr>
        <w:t>。全面落实企业送达地址告知承诺制度</w:t>
      </w:r>
      <w:r>
        <w:rPr>
          <w:rFonts w:hint="eastAsia" w:ascii="Times New Roman" w:hAnsi="Times New Roman" w:eastAsia="仿宋_GB2312"/>
          <w:color w:val="000000"/>
          <w:sz w:val="32"/>
          <w:szCs w:val="32"/>
        </w:rPr>
        <w:t>和同意电子送达制度</w:t>
      </w:r>
      <w:r>
        <w:rPr>
          <w:rFonts w:ascii="Times New Roman" w:hAnsi="Times New Roman" w:eastAsia="仿宋_GB2312"/>
          <w:color w:val="000000"/>
          <w:sz w:val="32"/>
          <w:szCs w:val="32"/>
        </w:rPr>
        <w:t>，丰富送达地址库建设，开展集约送达</w:t>
      </w:r>
      <w:r>
        <w:rPr>
          <w:rFonts w:hint="eastAsia" w:ascii="Times New Roman" w:hAnsi="Times New Roman" w:eastAsia="仿宋_GB2312"/>
          <w:color w:val="000000"/>
          <w:sz w:val="32"/>
          <w:szCs w:val="32"/>
        </w:rPr>
        <w:t>、线上送达</w:t>
      </w:r>
      <w:r>
        <w:rPr>
          <w:rFonts w:ascii="Times New Roman" w:hAnsi="Times New Roman" w:eastAsia="仿宋_GB2312"/>
          <w:color w:val="000000"/>
          <w:sz w:val="32"/>
          <w:szCs w:val="32"/>
        </w:rPr>
        <w:t>。</w:t>
      </w:r>
      <w:r>
        <w:rPr>
          <w:rFonts w:hint="eastAsia" w:ascii="楷体_GB2312" w:hAnsi="Times New Roman" w:eastAsia="楷体_GB2312"/>
          <w:color w:val="000000"/>
          <w:sz w:val="32"/>
          <w:szCs w:val="32"/>
        </w:rPr>
        <w:t>（责任单位：市法院）</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推动执行数字化转型，实现执行案件流程标准化、事务集约化、监管可视化。优化现代诉讼服务体系，一站式提供立案流程指引、文书样式查询、网上缴费、案件查询、材料提交、送达、保全、鉴定、卷宗借阅等诉讼服务。</w:t>
      </w:r>
      <w:r>
        <w:rPr>
          <w:rFonts w:hint="eastAsia" w:ascii="楷体_GB2312" w:hAnsi="Times New Roman" w:eastAsia="楷体_GB2312"/>
          <w:color w:val="000000"/>
          <w:sz w:val="32"/>
          <w:szCs w:val="32"/>
        </w:rPr>
        <w:t>（责任单位：市法院）</w:t>
      </w:r>
    </w:p>
    <w:p>
      <w:pPr>
        <w:spacing w:line="560" w:lineRule="exact"/>
        <w:ind w:firstLine="630"/>
        <w:rPr>
          <w:rFonts w:ascii="Times New Roman" w:hAnsi="Times New Roman" w:eastAsia="仿宋_GB2312"/>
          <w:color w:val="000000"/>
          <w:sz w:val="32"/>
          <w:szCs w:val="32"/>
        </w:rPr>
      </w:pPr>
      <w:r>
        <w:rPr>
          <w:rFonts w:hint="eastAsia" w:ascii="楷体_GB2312" w:hAnsi="Times New Roman" w:eastAsia="楷体_GB2312"/>
          <w:color w:val="000000"/>
          <w:sz w:val="32"/>
          <w:szCs w:val="32"/>
        </w:rPr>
        <w:t>（十六）全面提升办理破产质效。</w:t>
      </w:r>
      <w:r>
        <w:rPr>
          <w:rFonts w:ascii="Times New Roman" w:hAnsi="Times New Roman" w:eastAsia="仿宋_GB2312"/>
          <w:color w:val="000000"/>
          <w:sz w:val="32"/>
          <w:szCs w:val="32"/>
        </w:rPr>
        <w:t>持续推进破产案件繁简分流，压缩审理期限。加大2年以上未结案件的清结力度，强化流程节点管控，做到“应清尽清、应结尽结”。</w:t>
      </w:r>
      <w:r>
        <w:rPr>
          <w:rFonts w:hint="eastAsia" w:ascii="楷体_GB2312" w:hAnsi="Times New Roman" w:eastAsia="楷体_GB2312"/>
          <w:color w:val="000000"/>
          <w:sz w:val="32"/>
          <w:szCs w:val="32"/>
        </w:rPr>
        <w:t>（责任单位：市法院）</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建立常态化的信息共享和联动协调机制，统筹协调解决企业破产处置中职工安置、企业救治、社会稳定、企业注销等问题。推进建设破产资产信息库</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丰富多元化资产处置途径，提升破产资产处置效率。</w:t>
      </w:r>
      <w:r>
        <w:rPr>
          <w:rFonts w:hint="eastAsia" w:ascii="楷体_GB2312" w:hAnsi="Times New Roman" w:eastAsia="楷体_GB2312"/>
          <w:color w:val="000000"/>
          <w:sz w:val="32"/>
          <w:szCs w:val="32"/>
        </w:rPr>
        <w:t>（责任单位：市法院、市发改委、市人社局、市工信局、市商务局、市公安局、市行政审批局、市市场监管局、市总工会）</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探索破产案件中刑民交叉实体和程序问题的处理，推进建立破产程序涉刑事协调机制。加大市场化破产重整工作力度，充分释放破产重整在市场资源配置中的程序价值。积极构建破产企业重整价值识别机制。探索完善庭外重组与庭内重整的衔接机制。</w:t>
      </w:r>
      <w:r>
        <w:rPr>
          <w:rFonts w:hint="eastAsia" w:ascii="楷体_GB2312" w:hAnsi="Times New Roman" w:eastAsia="楷体_GB2312"/>
          <w:color w:val="000000"/>
          <w:sz w:val="32"/>
          <w:szCs w:val="32"/>
        </w:rPr>
        <w:t>（责任单位：市法院、市司法局）</w:t>
      </w:r>
    </w:p>
    <w:p>
      <w:pPr>
        <w:spacing w:line="560" w:lineRule="exact"/>
        <w:ind w:firstLine="630"/>
        <w:rPr>
          <w:rFonts w:ascii="Times New Roman" w:hAnsi="Times New Roman" w:eastAsia="楷体_GB2312"/>
          <w:color w:val="000000"/>
          <w:sz w:val="32"/>
          <w:szCs w:val="32"/>
        </w:rPr>
      </w:pPr>
      <w:r>
        <w:rPr>
          <w:rFonts w:hint="eastAsia" w:ascii="楷体_GB2312" w:hAnsi="Times New Roman" w:eastAsia="楷体_GB2312"/>
          <w:color w:val="000000"/>
          <w:sz w:val="32"/>
          <w:szCs w:val="32"/>
        </w:rPr>
        <w:t>（十七）积极探索分类分级监管。</w:t>
      </w:r>
      <w:r>
        <w:rPr>
          <w:rFonts w:ascii="Times New Roman" w:hAnsi="Times New Roman" w:eastAsia="仿宋_GB2312"/>
          <w:color w:val="000000"/>
          <w:sz w:val="32"/>
          <w:szCs w:val="32"/>
        </w:rPr>
        <w:t>优化“双随机、一公开”监管工作机制，积极推动部门联合“双随机、一公开”监管常态化，依法精准确定“双随机、一公开”监管覆盖面和抽查比例、频次，并将更多事项纳入联合抽查范围，实现“进一次门、查多项事”。推进包容审慎监管，动态调整涉企“免罚轻罚”清单，对涉企轻微违法行为和一般违法行为不予行政处罚或者从轻减轻行政处罚，引导和督促企业守法经营。</w:t>
      </w:r>
      <w:r>
        <w:rPr>
          <w:rFonts w:hint="eastAsia" w:ascii="楷体_GB2312" w:hAnsi="Times New Roman" w:eastAsia="楷体_GB2312"/>
          <w:color w:val="000000"/>
          <w:sz w:val="32"/>
          <w:szCs w:val="32"/>
        </w:rPr>
        <w:t>（责任单位：市市场监管局、市司法局、各市级行政执法部门）</w:t>
      </w:r>
    </w:p>
    <w:p>
      <w:pPr>
        <w:spacing w:line="560" w:lineRule="exact"/>
        <w:ind w:firstLine="630"/>
        <w:rPr>
          <w:rFonts w:ascii="Times New Roman" w:hAnsi="Times New Roman" w:eastAsia="楷体_GB2312"/>
          <w:color w:val="000000"/>
          <w:sz w:val="32"/>
          <w:szCs w:val="32"/>
        </w:rPr>
      </w:pPr>
      <w:r>
        <w:rPr>
          <w:rFonts w:hint="eastAsia" w:ascii="楷体_GB2312" w:hAnsi="Times New Roman" w:eastAsia="楷体_GB2312"/>
          <w:color w:val="000000"/>
          <w:sz w:val="32"/>
          <w:szCs w:val="32"/>
        </w:rPr>
        <w:t>（十八）持续推进信用体系建设。</w:t>
      </w:r>
      <w:r>
        <w:rPr>
          <w:rFonts w:ascii="Times New Roman" w:hAnsi="Times New Roman" w:eastAsia="仿宋_GB2312"/>
          <w:color w:val="000000"/>
          <w:sz w:val="32"/>
          <w:szCs w:val="32"/>
        </w:rPr>
        <w:t>深入推进信用法治建设，严格以法律法规为依据，实行信用信息目录管理。坚持合法必要原则规范信用信息公开范围和程序，对失信主体的惩戒措施轻重适度，确保过惩相当。</w:t>
      </w:r>
      <w:r>
        <w:rPr>
          <w:rFonts w:hint="eastAsia" w:ascii="楷体_GB2312" w:hAnsi="Times New Roman" w:eastAsia="楷体_GB2312"/>
          <w:color w:val="000000"/>
          <w:sz w:val="32"/>
          <w:szCs w:val="32"/>
        </w:rPr>
        <w:t>（责任单位：市发改委）</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全面推广主动信用承诺制度，基于信用承诺场景分类，明确信用承诺标准规范和流程，加强信用承诺信息共享。大力推进信用分级分类监管，根据市场主体信用状况实施差异化监管措施。探索完善衔接事前、事中、事后全监管环节的新型监管机制。</w:t>
      </w:r>
      <w:r>
        <w:rPr>
          <w:rFonts w:hint="eastAsia" w:ascii="楷体_GB2312" w:hAnsi="Times New Roman" w:eastAsia="楷体_GB2312"/>
          <w:color w:val="000000"/>
          <w:sz w:val="32"/>
          <w:szCs w:val="32"/>
        </w:rPr>
        <w:t>（责任单位：市发改委、市行政审批局、市市场监管局）</w:t>
      </w:r>
    </w:p>
    <w:p>
      <w:pPr>
        <w:spacing w:line="560" w:lineRule="exact"/>
        <w:ind w:firstLine="630"/>
        <w:rPr>
          <w:rFonts w:ascii="楷体_GB2312" w:hAnsi="Times New Roman" w:eastAsia="楷体_GB2312"/>
          <w:color w:val="000000"/>
          <w:sz w:val="32"/>
          <w:szCs w:val="32"/>
        </w:rPr>
      </w:pPr>
      <w:r>
        <w:rPr>
          <w:rFonts w:ascii="Times New Roman" w:hAnsi="Times New Roman" w:eastAsia="仿宋_GB2312"/>
          <w:color w:val="000000"/>
          <w:sz w:val="32"/>
          <w:szCs w:val="32"/>
        </w:rPr>
        <w:t>完善信用修复机制，及时指导失信主体依法开展信用修复，建立健全有利主体自我纠错、主动自新的社会鼓励与关爱机制，促进失信主体履行法定义务，提升信用等级。</w:t>
      </w:r>
      <w:r>
        <w:rPr>
          <w:rFonts w:hint="eastAsia" w:ascii="楷体_GB2312" w:hAnsi="Times New Roman" w:eastAsia="楷体_GB2312"/>
          <w:color w:val="000000"/>
          <w:sz w:val="32"/>
          <w:szCs w:val="32"/>
        </w:rPr>
        <w:t>（责任单位：市发改委）</w:t>
      </w:r>
    </w:p>
    <w:p>
      <w:pPr>
        <w:spacing w:line="560" w:lineRule="exact"/>
        <w:ind w:firstLine="630"/>
        <w:rPr>
          <w:rFonts w:ascii="楷体_GB2312" w:hAnsi="Times New Roman" w:eastAsia="楷体_GB2312"/>
          <w:sz w:val="32"/>
          <w:szCs w:val="32"/>
        </w:rPr>
      </w:pPr>
      <w:r>
        <w:rPr>
          <w:rFonts w:hint="eastAsia" w:ascii="楷体_GB2312" w:hAnsi="Times New Roman" w:eastAsia="楷体_GB2312"/>
          <w:sz w:val="32"/>
          <w:szCs w:val="32"/>
        </w:rPr>
        <w:t>（十九）</w:t>
      </w:r>
      <w:r>
        <w:rPr>
          <w:rFonts w:hint="eastAsia" w:ascii="楷体" w:hAnsi="楷体" w:eastAsia="楷体"/>
          <w:sz w:val="32"/>
          <w:szCs w:val="32"/>
        </w:rPr>
        <w:t>构建积极健康的亲清新型政商关系。</w:t>
      </w:r>
      <w:r>
        <w:rPr>
          <w:rStyle w:val="13"/>
          <w:rFonts w:hint="eastAsia" w:ascii="Times New Roman" w:hAnsi="Times New Roman" w:eastAsia="仿宋_GB2312"/>
          <w:spacing w:val="-4"/>
          <w:sz w:val="32"/>
          <w:szCs w:val="32"/>
        </w:rPr>
        <w:t>坚持正面引导和负面约束结合，促进党员干部亲而有度、清而有为，推动政商关系良性互动。发挥“监督一点通—苏州市营商环境监督平台”作用，积极推动解决企业诉求。聚焦投资密集、资源集中等领域，坚决查处权钱交易、商业贿赂、为官不为等损害政商关系和营商环境问题。</w:t>
      </w:r>
      <w:r>
        <w:rPr>
          <w:rFonts w:hint="eastAsia" w:ascii="楷体_GB2312" w:hAnsi="Times New Roman" w:eastAsia="楷体_GB2312"/>
          <w:sz w:val="32"/>
          <w:szCs w:val="32"/>
        </w:rPr>
        <w:t>（责任单位：市纪委监委）</w:t>
      </w:r>
    </w:p>
    <w:p>
      <w:pPr>
        <w:spacing w:line="560" w:lineRule="exact"/>
        <w:ind w:firstLine="630"/>
        <w:rPr>
          <w:rFonts w:ascii="黑体" w:hAnsi="黑体" w:eastAsia="黑体"/>
          <w:color w:val="000000"/>
          <w:sz w:val="32"/>
          <w:szCs w:val="32"/>
        </w:rPr>
      </w:pPr>
      <w:r>
        <w:rPr>
          <w:rFonts w:hint="eastAsia" w:ascii="黑体" w:hAnsi="黑体" w:eastAsia="黑体"/>
          <w:color w:val="000000"/>
          <w:sz w:val="32"/>
          <w:szCs w:val="32"/>
        </w:rPr>
        <w:t>五、</w:t>
      </w:r>
      <w:r>
        <w:rPr>
          <w:rFonts w:ascii="黑体" w:hAnsi="黑体" w:eastAsia="黑体"/>
          <w:color w:val="000000"/>
          <w:sz w:val="32"/>
          <w:szCs w:val="32"/>
        </w:rPr>
        <w:t>聚焦数字化赋能，</w:t>
      </w:r>
      <w:r>
        <w:rPr>
          <w:rFonts w:hint="eastAsia" w:ascii="黑体" w:hAnsi="黑体" w:eastAsia="黑体"/>
          <w:color w:val="000000"/>
          <w:sz w:val="32"/>
          <w:szCs w:val="32"/>
        </w:rPr>
        <w:t>营造</w:t>
      </w:r>
      <w:r>
        <w:rPr>
          <w:rFonts w:ascii="黑体" w:hAnsi="黑体" w:eastAsia="黑体"/>
          <w:color w:val="000000"/>
          <w:sz w:val="32"/>
          <w:szCs w:val="32"/>
        </w:rPr>
        <w:t>最电子化</w:t>
      </w:r>
      <w:r>
        <w:rPr>
          <w:rFonts w:hint="eastAsia" w:ascii="黑体" w:hAnsi="黑体" w:eastAsia="黑体"/>
          <w:color w:val="000000"/>
          <w:sz w:val="32"/>
          <w:szCs w:val="32"/>
        </w:rPr>
        <w:t>的营商环境</w:t>
      </w:r>
    </w:p>
    <w:p>
      <w:pPr>
        <w:spacing w:line="560" w:lineRule="exact"/>
        <w:ind w:firstLine="630"/>
        <w:rPr>
          <w:rFonts w:ascii="Times New Roman" w:hAnsi="Times New Roman" w:eastAsia="仿宋_GB2312"/>
          <w:color w:val="000000"/>
          <w:sz w:val="32"/>
          <w:szCs w:val="32"/>
        </w:rPr>
      </w:pPr>
      <w:r>
        <w:rPr>
          <w:rFonts w:ascii="Times New Roman" w:hAnsi="Times New Roman" w:eastAsia="楷体_GB2312"/>
          <w:color w:val="000000"/>
          <w:sz w:val="32"/>
          <w:szCs w:val="32"/>
        </w:rPr>
        <w:t>（</w:t>
      </w:r>
      <w:r>
        <w:rPr>
          <w:rFonts w:hint="eastAsia" w:ascii="Times New Roman" w:hAnsi="Times New Roman" w:eastAsia="楷体_GB2312"/>
          <w:color w:val="000000"/>
          <w:sz w:val="32"/>
          <w:szCs w:val="32"/>
        </w:rPr>
        <w:t>二十</w:t>
      </w:r>
      <w:r>
        <w:rPr>
          <w:rFonts w:ascii="Times New Roman" w:hAnsi="Times New Roman" w:eastAsia="楷体_GB2312"/>
          <w:color w:val="000000"/>
          <w:sz w:val="32"/>
          <w:szCs w:val="32"/>
        </w:rPr>
        <w:t>）构建“一网通用”数字服务体系。</w:t>
      </w:r>
      <w:r>
        <w:rPr>
          <w:rFonts w:ascii="Times New Roman" w:hAnsi="Times New Roman" w:eastAsia="仿宋_GB2312"/>
          <w:color w:val="000000"/>
          <w:sz w:val="32"/>
          <w:szCs w:val="32"/>
        </w:rPr>
        <w:t>加快政务云数据中心建设。围绕一体化发展理念、一体化架构体系、一体化平台能力、一体化应用感知、一体化产业生态、一体化应用示范“六个一体化”的目标任务，全面构建“横向多维协同、纵向五级联动、深向垂直贯通”的数字政府发展体系。以“一网通用”为共性支撑和能力供给，以“一网通办”“一网统管”为需求牵引和业务驱动，推动数字政府协同发展。</w:t>
      </w:r>
      <w:r>
        <w:rPr>
          <w:rFonts w:hint="eastAsia" w:ascii="楷体_GB2312" w:hAnsi="Times New Roman" w:eastAsia="楷体_GB2312"/>
          <w:color w:val="000000"/>
          <w:sz w:val="32"/>
          <w:szCs w:val="32"/>
        </w:rPr>
        <w:t>（责任单位：市大数据管理局）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推进“数字市监监管”，建立“云端市场”，依托监管数据中心，推动各部门监管业务系统互联互通，加强监管信息归集共享和应用，推行远程监管、移动监管、预警防控等非现场监管。</w:t>
      </w:r>
      <w:r>
        <w:rPr>
          <w:rFonts w:hint="eastAsia" w:ascii="楷体_GB2312" w:hAnsi="Times New Roman" w:eastAsia="楷体_GB2312"/>
          <w:color w:val="000000"/>
          <w:sz w:val="32"/>
          <w:szCs w:val="32"/>
        </w:rPr>
        <w:t>（责任单位：市大数据管理局、市市场监管局）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优化“太仓市企业服务总入口”，着力打造“政策精算器”，实现惠企政策“一键直达”，提供全规模、全所有制、全生命周期的涉企便利化服务。</w:t>
      </w:r>
      <w:r>
        <w:rPr>
          <w:rFonts w:ascii="Times New Roman" w:hAnsi="Times New Roman" w:eastAsia="楷体_GB2312"/>
          <w:color w:val="000000"/>
          <w:sz w:val="32"/>
          <w:szCs w:val="32"/>
        </w:rPr>
        <w:t>（责任单位：市工信局、市大数据管理局、市行政审批局）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应用5G、人工智能、大数据等先进技术，打通汇聚各部门信息系统数据，建设“精准掌握城市运行质态、预先洞察城市运行风险、提级会办城市治理难题、创新提升城市治理效能”的“一网统管”机制。</w:t>
      </w:r>
      <w:r>
        <w:rPr>
          <w:rFonts w:hint="eastAsia" w:ascii="楷体_GB2312" w:hAnsi="Times New Roman" w:eastAsia="楷体_GB2312"/>
          <w:color w:val="000000"/>
          <w:sz w:val="32"/>
          <w:szCs w:val="32"/>
        </w:rPr>
        <w:t>（责任单位：市公安局）</w:t>
      </w:r>
    </w:p>
    <w:p>
      <w:pPr>
        <w:pStyle w:val="11"/>
        <w:snapToGrid w:val="0"/>
        <w:spacing w:line="560" w:lineRule="exact"/>
        <w:ind w:firstLine="640" w:firstLineChars="200"/>
        <w:rPr>
          <w:rFonts w:eastAsia="仿宋_GB2312"/>
          <w:spacing w:val="-4"/>
          <w:kern w:val="2"/>
          <w:sz w:val="32"/>
          <w:szCs w:val="32"/>
          <w:lang w:eastAsia="zh-CN"/>
        </w:rPr>
      </w:pPr>
      <w:r>
        <w:rPr>
          <w:rFonts w:eastAsia="楷体_GB2312"/>
          <w:sz w:val="32"/>
          <w:szCs w:val="32"/>
          <w:lang w:eastAsia="zh-CN"/>
        </w:rPr>
        <w:t>（二十</w:t>
      </w:r>
      <w:r>
        <w:rPr>
          <w:rFonts w:hint="eastAsia" w:eastAsia="楷体_GB2312"/>
          <w:sz w:val="32"/>
          <w:szCs w:val="32"/>
          <w:lang w:eastAsia="zh-CN"/>
        </w:rPr>
        <w:t>一</w:t>
      </w:r>
      <w:r>
        <w:rPr>
          <w:rFonts w:eastAsia="楷体_GB2312"/>
          <w:sz w:val="32"/>
          <w:szCs w:val="32"/>
          <w:lang w:eastAsia="zh-CN"/>
        </w:rPr>
        <w:t>）升级</w:t>
      </w:r>
      <w:r>
        <w:rPr>
          <w:rFonts w:eastAsia="楷体_GB2312"/>
          <w:sz w:val="32"/>
          <w:szCs w:val="32"/>
        </w:rPr>
        <w:t>“一网通办”政务服务。</w:t>
      </w:r>
      <w:r>
        <w:rPr>
          <w:rFonts w:eastAsia="仿宋_GB2312"/>
          <w:spacing w:val="-4"/>
          <w:kern w:val="2"/>
          <w:sz w:val="32"/>
          <w:szCs w:val="32"/>
          <w:lang w:eastAsia="zh-CN"/>
        </w:rPr>
        <w:t>升级“太e办”平台，建成“太仓一网通办”总门户，对面向企业和群众的所有线上线下政务服务事项，逐步做到一网受理、一次办成；做亮市镇村“全城通办”、长三角“跨省通办”等特色工作，优化“太仓办事容易”政务服务生态。</w:t>
      </w:r>
      <w:r>
        <w:rPr>
          <w:rFonts w:hint="eastAsia" w:ascii="楷体_GB2312" w:eastAsia="楷体_GB2312"/>
          <w:sz w:val="32"/>
          <w:szCs w:val="32"/>
        </w:rPr>
        <w:t>（责任单位：市行政审批局</w:t>
      </w:r>
      <w:r>
        <w:rPr>
          <w:rFonts w:hint="eastAsia" w:ascii="楷体_GB2312" w:eastAsia="楷体_GB2312"/>
          <w:sz w:val="32"/>
          <w:szCs w:val="32"/>
          <w:lang w:eastAsia="zh-CN"/>
        </w:rPr>
        <w:t>）</w:t>
      </w:r>
    </w:p>
    <w:p>
      <w:pPr>
        <w:spacing w:line="560" w:lineRule="exact"/>
        <w:ind w:firstLine="630"/>
        <w:rPr>
          <w:rFonts w:ascii="Times New Roman" w:hAnsi="Times New Roman" w:eastAsia="仿宋_GB2312"/>
          <w:b/>
          <w:color w:val="000000"/>
          <w:sz w:val="32"/>
          <w:szCs w:val="32"/>
        </w:rPr>
      </w:pPr>
      <w:r>
        <w:rPr>
          <w:rFonts w:ascii="Times New Roman" w:hAnsi="Times New Roman" w:eastAsia="仿宋_GB2312"/>
          <w:color w:val="000000"/>
          <w:sz w:val="32"/>
          <w:szCs w:val="32"/>
        </w:rPr>
        <w:t>全心优化“一件事”改革，以企业市民“一件事”最优掌上办为目标，推动“一件事”从“线下一次办”向“掌上轻松办”升级。继续做好“一件事”主题事项梳理，再推出10项高频“一件事”。持续推动多部门协同联动，再造办事流程、完善线上平台、优化窗口布局，2021年年底前实现10项高频“一件事”“线上一个平台为主，线下一个窗口为辅”的办理模式。</w:t>
      </w:r>
      <w:r>
        <w:rPr>
          <w:rFonts w:hint="eastAsia" w:ascii="楷体_GB2312" w:hAnsi="Times New Roman" w:eastAsia="楷体_GB2312"/>
          <w:color w:val="000000"/>
          <w:sz w:val="32"/>
          <w:szCs w:val="32"/>
        </w:rPr>
        <w:t>（责任单位：市行政审批局）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绘制政务服务数字地图，方便群众查找最近的实体政务大厅，实现服务资源扁平化管理、精准化服务。广泛应用人脸核验、苏服码识别等信息技术，提供统一身份认证、电子印章、电子证照、公共支付、电子档案、热线服务支撑，分批推出100个事项材料“两个免于提交”（凡是本级政府部门核发的材料，原则上一律免于提交；凡是能够提供电子证照的，原则上一律免于提交实体证照）。</w:t>
      </w:r>
      <w:r>
        <w:rPr>
          <w:rFonts w:hint="eastAsia" w:ascii="楷体_GB2312" w:hAnsi="Times New Roman" w:eastAsia="楷体_GB2312"/>
          <w:color w:val="000000"/>
          <w:sz w:val="32"/>
          <w:szCs w:val="32"/>
        </w:rPr>
        <w:t>（责任单位：市行政审批局、市大数据管理局）</w:t>
      </w:r>
    </w:p>
    <w:p>
      <w:pPr>
        <w:spacing w:line="560" w:lineRule="exact"/>
        <w:ind w:firstLine="630"/>
        <w:rPr>
          <w:rFonts w:ascii="Times New Roman" w:hAnsi="Times New Roman" w:eastAsia="仿宋_GB2312"/>
          <w:color w:val="000000"/>
          <w:sz w:val="32"/>
          <w:szCs w:val="32"/>
        </w:rPr>
      </w:pPr>
      <w:r>
        <w:rPr>
          <w:rFonts w:hint="eastAsia" w:ascii="楷体_GB2312" w:hAnsi="Times New Roman" w:eastAsia="楷体_GB2312"/>
          <w:color w:val="000000"/>
          <w:sz w:val="32"/>
          <w:szCs w:val="32"/>
        </w:rPr>
        <w:t>（二十二）优化涉企政策直达机制。</w:t>
      </w:r>
      <w:r>
        <w:rPr>
          <w:rFonts w:ascii="Times New Roman" w:hAnsi="Times New Roman" w:eastAsia="仿宋_GB2312"/>
          <w:color w:val="000000"/>
          <w:sz w:val="32"/>
          <w:szCs w:val="32"/>
        </w:rPr>
        <w:t>推广“免填单、免申请”经办新模式。依托大数据平台，通过系统筛选比对符合政策享受的企业，推动政策“一出台就落地、对标准即享受”，让惠企利民的政策直达企业，充分释放政策红利。</w:t>
      </w:r>
      <w:r>
        <w:rPr>
          <w:rFonts w:hint="eastAsia" w:ascii="楷体_GB2312" w:hAnsi="Times New Roman" w:eastAsia="楷体_GB2312"/>
          <w:color w:val="000000"/>
          <w:sz w:val="32"/>
          <w:szCs w:val="32"/>
        </w:rPr>
        <w:t>（责任单位：市人社局、市大数据管理局）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完善创新公共就业创业服务平台，提升信息平台整合能力和匹配能力。建立惠企清单，为各类企业提供具体援企政策内容和点单式服务，关联匹配服务窗口和线上办事平台。</w:t>
      </w:r>
      <w:r>
        <w:rPr>
          <w:rFonts w:hint="eastAsia" w:ascii="楷体_GB2312" w:hAnsi="Times New Roman" w:eastAsia="楷体_GB2312"/>
          <w:color w:val="000000"/>
          <w:sz w:val="32"/>
          <w:szCs w:val="32"/>
        </w:rPr>
        <w:t>（责任单位：市人社局）</w:t>
      </w:r>
    </w:p>
    <w:p>
      <w:pPr>
        <w:spacing w:line="560" w:lineRule="exact"/>
        <w:ind w:firstLine="630"/>
        <w:rPr>
          <w:rFonts w:ascii="Times New Roman" w:hAnsi="Times New Roman" w:eastAsia="楷体_GB2312"/>
          <w:color w:val="000000"/>
          <w:sz w:val="32"/>
          <w:szCs w:val="32"/>
        </w:rPr>
      </w:pPr>
      <w:r>
        <w:rPr>
          <w:rFonts w:ascii="Times New Roman" w:hAnsi="Times New Roman" w:eastAsia="楷体_GB2312"/>
          <w:color w:val="000000"/>
          <w:sz w:val="32"/>
          <w:szCs w:val="32"/>
        </w:rPr>
        <w:t>（二十</w:t>
      </w:r>
      <w:r>
        <w:rPr>
          <w:rFonts w:hint="eastAsia" w:ascii="Times New Roman" w:hAnsi="Times New Roman" w:eastAsia="楷体_GB2312"/>
          <w:color w:val="000000"/>
          <w:sz w:val="32"/>
          <w:szCs w:val="32"/>
        </w:rPr>
        <w:t>三</w:t>
      </w:r>
      <w:r>
        <w:rPr>
          <w:rFonts w:ascii="Times New Roman" w:hAnsi="Times New Roman" w:eastAsia="楷体_GB2312"/>
          <w:color w:val="000000"/>
          <w:sz w:val="32"/>
          <w:szCs w:val="32"/>
        </w:rPr>
        <w:t>）优化提升“云招商”工作平台功能。</w:t>
      </w:r>
      <w:r>
        <w:rPr>
          <w:rFonts w:ascii="Times New Roman" w:hAnsi="Times New Roman" w:eastAsia="仿宋_GB2312"/>
          <w:color w:val="000000"/>
          <w:sz w:val="32"/>
          <w:szCs w:val="32"/>
        </w:rPr>
        <w:t>加强对全市招商引资的统筹引导，发挥“太仓云招商服务平台”的作用，多种形式推进“不见面”招商工作，大力推动功能性总部落户，引进一批投资规模大、产业层次高、创新能力强、带动潜力足的旗舰型、地标型项目。加快制造业智能化改造和数字化转型，推动一批中小企业上云用平台，选树一批工业互联网典型应用案例。</w:t>
      </w:r>
      <w:r>
        <w:rPr>
          <w:rFonts w:hint="eastAsia" w:ascii="楷体_GB2312" w:hAnsi="Times New Roman" w:eastAsia="楷体_GB2312"/>
          <w:color w:val="000000"/>
          <w:sz w:val="32"/>
          <w:szCs w:val="32"/>
        </w:rPr>
        <w:t>（责任单位：市招商局、市委组织部、市发改委、市工信局、市资源规划局、市商务局、市农业农村局）</w:t>
      </w:r>
    </w:p>
    <w:p>
      <w:pPr>
        <w:spacing w:line="560" w:lineRule="exact"/>
        <w:ind w:firstLine="630"/>
        <w:rPr>
          <w:rFonts w:ascii="Times New Roman" w:hAnsi="Times New Roman" w:eastAsia="楷体_GB2312"/>
          <w:color w:val="000000"/>
          <w:sz w:val="32"/>
          <w:szCs w:val="32"/>
        </w:rPr>
      </w:pPr>
      <w:r>
        <w:rPr>
          <w:rFonts w:hint="eastAsia" w:ascii="楷体_GB2312" w:hAnsi="Times New Roman" w:eastAsia="楷体_GB2312"/>
          <w:color w:val="000000"/>
          <w:sz w:val="32"/>
          <w:szCs w:val="32"/>
        </w:rPr>
        <w:t>（二十四）推进政府采购电子化。</w:t>
      </w:r>
      <w:r>
        <w:rPr>
          <w:rFonts w:ascii="Times New Roman" w:hAnsi="Times New Roman" w:eastAsia="仿宋_GB2312"/>
          <w:color w:val="000000"/>
          <w:sz w:val="32"/>
          <w:szCs w:val="32"/>
        </w:rPr>
        <w:t>完善政府采购电子化平台，优化政府采购交易全流程电子化、无纸化，拓展“不见面”开标。开展采购意向公开，提升政府采购透明度。</w:t>
      </w:r>
      <w:r>
        <w:rPr>
          <w:rFonts w:hint="eastAsia" w:ascii="楷体_GB2312" w:hAnsi="Times New Roman" w:eastAsia="楷体_GB2312"/>
          <w:color w:val="000000"/>
          <w:sz w:val="32"/>
          <w:szCs w:val="32"/>
        </w:rPr>
        <w:t>（责任单位：市财政局、市行政审批局）</w:t>
      </w:r>
    </w:p>
    <w:p>
      <w:pPr>
        <w:spacing w:line="560" w:lineRule="exact"/>
        <w:ind w:firstLine="630"/>
        <w:rPr>
          <w:rFonts w:ascii="Times New Roman" w:hAnsi="Times New Roman" w:eastAsia="楷体_GB2312"/>
          <w:color w:val="000000"/>
          <w:sz w:val="32"/>
          <w:szCs w:val="32"/>
        </w:rPr>
      </w:pPr>
      <w:r>
        <w:rPr>
          <w:rFonts w:hint="eastAsia" w:ascii="楷体_GB2312" w:hAnsi="Times New Roman" w:eastAsia="楷体_GB2312"/>
          <w:color w:val="000000"/>
          <w:sz w:val="32"/>
          <w:szCs w:val="32"/>
        </w:rPr>
        <w:t>（二十五）提升数字化获得感安全感。</w:t>
      </w:r>
      <w:r>
        <w:rPr>
          <w:rFonts w:ascii="Times New Roman" w:hAnsi="Times New Roman" w:eastAsia="仿宋_GB2312"/>
          <w:color w:val="000000"/>
          <w:sz w:val="32"/>
          <w:szCs w:val="32"/>
        </w:rPr>
        <w:t>探索建立数据分级分类开放制度，创新数据开放应用模式，加强开放数据监管，在保证数据安全和依法依规使用的前提下，有序推进公共数据开放。推进公共数据开放和开发利用，推动“政产学研用”协同创新发展，营造良好的大数据生态。</w:t>
      </w:r>
      <w:r>
        <w:rPr>
          <w:rFonts w:hint="eastAsia" w:ascii="楷体_GB2312" w:hAnsi="Times New Roman" w:eastAsia="楷体_GB2312"/>
          <w:color w:val="000000"/>
          <w:sz w:val="32"/>
          <w:szCs w:val="32"/>
        </w:rPr>
        <w:t>（责任单位：市大数据管理局）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坚持传统服务方式与智能化服务创新并行，在各类生活场景中必须适度保留群众熟悉的线下服务方式，避免“数字鸿沟”。规范智能化产品和服务中的个人信息收集、使用等活动，综合运用多种安全防护手段和风险控制措施，加强技术监测和监督检查，严肃查处、严厉打击违法获取、泄露、买卖个人信息的行为。</w:t>
      </w:r>
      <w:r>
        <w:rPr>
          <w:rFonts w:hint="eastAsia" w:ascii="楷体_GB2312" w:hAnsi="Times New Roman" w:eastAsia="楷体_GB2312"/>
          <w:color w:val="000000"/>
          <w:sz w:val="32"/>
          <w:szCs w:val="32"/>
        </w:rPr>
        <w:t>（责任单位：市委网信办、市大数据管理局、市发改委、市工信局、市公安局、市民政局、市人社局、市住建局、市交运局、市卫健委、市行政审批局）</w:t>
      </w:r>
    </w:p>
    <w:p>
      <w:pPr>
        <w:spacing w:line="560" w:lineRule="exact"/>
        <w:ind w:firstLine="624" w:firstLineChars="200"/>
        <w:rPr>
          <w:rFonts w:ascii="黑体" w:hAnsi="黑体" w:eastAsia="黑体"/>
          <w:color w:val="000000"/>
          <w:spacing w:val="-4"/>
          <w:sz w:val="32"/>
          <w:szCs w:val="32"/>
        </w:rPr>
      </w:pPr>
      <w:r>
        <w:rPr>
          <w:rFonts w:hint="eastAsia" w:ascii="黑体" w:hAnsi="黑体" w:eastAsia="黑体"/>
          <w:color w:val="000000"/>
          <w:spacing w:val="-4"/>
          <w:sz w:val="32"/>
          <w:szCs w:val="32"/>
        </w:rPr>
        <w:t>六、</w:t>
      </w:r>
      <w:r>
        <w:rPr>
          <w:rFonts w:ascii="黑体" w:hAnsi="黑体" w:eastAsia="黑体"/>
          <w:color w:val="000000"/>
          <w:spacing w:val="-4"/>
          <w:sz w:val="32"/>
          <w:szCs w:val="32"/>
        </w:rPr>
        <w:t>深入推进一体化，</w:t>
      </w:r>
      <w:r>
        <w:rPr>
          <w:rFonts w:hint="eastAsia" w:ascii="黑体" w:hAnsi="黑体" w:eastAsia="黑体"/>
          <w:color w:val="000000"/>
          <w:spacing w:val="-4"/>
          <w:sz w:val="32"/>
          <w:szCs w:val="32"/>
        </w:rPr>
        <w:t>营造</w:t>
      </w:r>
      <w:r>
        <w:rPr>
          <w:rFonts w:ascii="黑体" w:hAnsi="黑体" w:eastAsia="黑体"/>
          <w:color w:val="000000"/>
          <w:spacing w:val="-4"/>
          <w:sz w:val="32"/>
          <w:szCs w:val="32"/>
        </w:rPr>
        <w:t>最具活力</w:t>
      </w:r>
      <w:r>
        <w:rPr>
          <w:rFonts w:hint="eastAsia" w:ascii="黑体" w:hAnsi="黑体" w:eastAsia="黑体"/>
          <w:color w:val="000000"/>
          <w:spacing w:val="-4"/>
          <w:sz w:val="32"/>
          <w:szCs w:val="32"/>
        </w:rPr>
        <w:t>的营商环境</w:t>
      </w:r>
    </w:p>
    <w:p>
      <w:pPr>
        <w:spacing w:line="560" w:lineRule="exact"/>
        <w:ind w:firstLine="640"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（二十六）主动融入长三角区域营商环境建设。</w:t>
      </w:r>
      <w:r>
        <w:rPr>
          <w:rFonts w:ascii="Times New Roman" w:hAnsi="Times New Roman" w:eastAsia="仿宋_GB2312"/>
          <w:color w:val="000000"/>
          <w:sz w:val="32"/>
          <w:szCs w:val="32"/>
        </w:rPr>
        <w:t>推进“长三角一网通办”自助服务“互联互通”，扩大“长三角一网通办”专窗受理事项数和“跨省即办”事项数，进一步提升长三角地区企业和群众的办事体验。加快梳理高频电子证照在政务服务、特定监管执法、社会化生活领域的应用场景，重点推进身份证、驾驶证、行驶证、营业执照、出生医学证明、道路运输从业人员资格证等互认共享。</w:t>
      </w:r>
      <w:r>
        <w:rPr>
          <w:rFonts w:hint="eastAsia" w:ascii="楷体_GB2312" w:hAnsi="Times New Roman" w:eastAsia="楷体_GB2312"/>
          <w:color w:val="000000"/>
          <w:sz w:val="32"/>
          <w:szCs w:val="32"/>
        </w:rPr>
        <w:t>（责任单位：市行政审批局、市大数据管理局、市公安局、市市场监管局）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围绕食品安全、药品安全、产品质量、全域旅游等重点领域，合力建立长三角区域重点领域严重失信黑名单互认机制，实行失信行为标准互认、信息共享互通、惩戒措施路径互通的跨区域信用惩戒制度。</w:t>
      </w:r>
      <w:r>
        <w:rPr>
          <w:rFonts w:hint="eastAsia" w:ascii="楷体_GB2312" w:hAnsi="Times New Roman" w:eastAsia="楷体_GB2312"/>
          <w:color w:val="000000"/>
          <w:sz w:val="32"/>
          <w:szCs w:val="32"/>
        </w:rPr>
        <w:t>（责任单位：市发改委、市市场监管局、市文体广旅局）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深化与长三角城市医保战略合作，简化经办手续，实现信息互通共享，升级异地就医和自主转诊医保实时划卡结算服务功能，门诊由长三角扩展至全国范围实时划卡结算。加强专业公共卫生机构现代化建设，建立毗邻地区突发公共卫生事件风险评估机制。</w:t>
      </w:r>
      <w:r>
        <w:rPr>
          <w:rFonts w:hint="eastAsia" w:ascii="楷体_GB2312" w:hAnsi="Times New Roman" w:eastAsia="楷体_GB2312"/>
          <w:color w:val="000000"/>
          <w:sz w:val="32"/>
          <w:szCs w:val="32"/>
        </w:rPr>
        <w:t>（责任单位：市医保局、市卫健委）</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推进长三角地区法院一站式服务一体化建设，完善长三角地区矛盾纠纷诉源治理协作、无争议事实确认互认、常态化开展跨域立案、电子送达地址信息库的共建共用、深化委托送达工作机制。</w:t>
      </w:r>
      <w:r>
        <w:rPr>
          <w:rFonts w:hint="eastAsia" w:ascii="楷体_GB2312" w:hAnsi="Times New Roman" w:eastAsia="楷体_GB2312"/>
          <w:color w:val="000000"/>
          <w:sz w:val="32"/>
          <w:szCs w:val="32"/>
        </w:rPr>
        <w:t>（责任单位：市法院）</w:t>
      </w:r>
    </w:p>
    <w:p>
      <w:pPr>
        <w:spacing w:line="560" w:lineRule="exact"/>
        <w:ind w:firstLine="630"/>
        <w:rPr>
          <w:rFonts w:ascii="Times New Roman" w:hAnsi="Times New Roman" w:eastAsia="楷体_GB2312"/>
          <w:bCs/>
          <w:color w:val="000000"/>
          <w:sz w:val="32"/>
          <w:szCs w:val="32"/>
        </w:rPr>
      </w:pPr>
      <w:r>
        <w:rPr>
          <w:rFonts w:ascii="Times New Roman" w:hAnsi="Times New Roman" w:eastAsia="楷体_GB2312"/>
          <w:color w:val="000000"/>
          <w:sz w:val="32"/>
          <w:szCs w:val="32"/>
        </w:rPr>
        <w:t>（二十</w:t>
      </w:r>
      <w:r>
        <w:rPr>
          <w:rFonts w:hint="eastAsia" w:ascii="Times New Roman" w:hAnsi="Times New Roman" w:eastAsia="楷体_GB2312"/>
          <w:color w:val="000000"/>
          <w:sz w:val="32"/>
          <w:szCs w:val="32"/>
        </w:rPr>
        <w:t>七</w:t>
      </w:r>
      <w:r>
        <w:rPr>
          <w:rFonts w:ascii="Times New Roman" w:hAnsi="Times New Roman" w:eastAsia="楷体_GB2312"/>
          <w:color w:val="000000"/>
          <w:sz w:val="32"/>
          <w:szCs w:val="32"/>
        </w:rPr>
        <w:t>）积极促进沪太营商环境“同城化”。</w:t>
      </w:r>
      <w:r>
        <w:rPr>
          <w:rFonts w:ascii="Times New Roman" w:hAnsi="Times New Roman" w:eastAsia="仿宋_GB2312"/>
          <w:bCs/>
          <w:color w:val="000000"/>
          <w:sz w:val="32"/>
          <w:szCs w:val="32"/>
        </w:rPr>
        <w:t>推进苏州（太仓）港口型国家物流枢纽建设，</w:t>
      </w:r>
      <w:r>
        <w:rPr>
          <w:rFonts w:hint="eastAsia" w:ascii="Times New Roman" w:hAnsi="Times New Roman" w:eastAsia="仿宋_GB2312"/>
          <w:bCs/>
          <w:color w:val="000000"/>
          <w:sz w:val="32"/>
          <w:szCs w:val="32"/>
        </w:rPr>
        <w:t>争取</w:t>
      </w:r>
      <w:r>
        <w:rPr>
          <w:rFonts w:ascii="Times New Roman" w:hAnsi="Times New Roman" w:eastAsia="仿宋_GB2312"/>
          <w:bCs/>
          <w:color w:val="000000"/>
          <w:sz w:val="32"/>
          <w:szCs w:val="32"/>
        </w:rPr>
        <w:t>将太仓港纳入上海自由贸易</w:t>
      </w:r>
      <w:r>
        <w:rPr>
          <w:rFonts w:hint="eastAsia" w:ascii="Times New Roman" w:hAnsi="Times New Roman" w:eastAsia="仿宋_GB2312"/>
          <w:bCs/>
          <w:color w:val="000000"/>
          <w:sz w:val="32"/>
          <w:szCs w:val="32"/>
        </w:rPr>
        <w:t>区</w:t>
      </w:r>
      <w:r>
        <w:rPr>
          <w:rFonts w:ascii="Times New Roman" w:hAnsi="Times New Roman" w:eastAsia="仿宋_GB2312"/>
          <w:bCs/>
          <w:color w:val="000000"/>
          <w:sz w:val="32"/>
          <w:szCs w:val="32"/>
        </w:rPr>
        <w:t>建设。</w:t>
      </w:r>
      <w:r>
        <w:rPr>
          <w:rFonts w:ascii="Times New Roman" w:hAnsi="Times New Roman" w:eastAsia="仿宋_GB2312"/>
          <w:color w:val="000000"/>
          <w:sz w:val="32"/>
          <w:szCs w:val="32"/>
        </w:rPr>
        <w:t>主动融入虹桥国际开放枢纽建设，</w:t>
      </w:r>
      <w:r>
        <w:rPr>
          <w:rFonts w:ascii="Times New Roman" w:hAnsi="Times New Roman" w:eastAsia="仿宋_GB2312"/>
          <w:bCs/>
          <w:color w:val="000000"/>
          <w:sz w:val="32"/>
          <w:szCs w:val="32"/>
        </w:rPr>
        <w:t>实现太仓国土空间总体规划与上海城市总体规划的“融合”。</w:t>
      </w:r>
      <w:r>
        <w:rPr>
          <w:rFonts w:ascii="Times New Roman" w:hAnsi="Times New Roman" w:eastAsia="仿宋_GB2312"/>
          <w:color w:val="000000"/>
          <w:sz w:val="32"/>
          <w:szCs w:val="32"/>
        </w:rPr>
        <w:t>全面对接上海国际航运中心建设，</w:t>
      </w:r>
      <w:r>
        <w:rPr>
          <w:rFonts w:ascii="Times New Roman" w:hAnsi="Times New Roman" w:eastAsia="仿宋_GB2312"/>
          <w:bCs/>
          <w:color w:val="000000"/>
          <w:sz w:val="32"/>
          <w:szCs w:val="32"/>
        </w:rPr>
        <w:t>实施洋山港—太仓港“联动接卸”监管模式，实现两港通关一体化闭环运行，进一步缩短通关时间、降低物流成本。推进“沪太同港化”，提升“太申快航”服务水平，实现太仓港和上海港各港区的无缝对接。</w:t>
      </w:r>
      <w:r>
        <w:rPr>
          <w:rFonts w:ascii="Times New Roman" w:hAnsi="Times New Roman" w:eastAsia="仿宋_GB2312"/>
          <w:color w:val="000000"/>
          <w:sz w:val="32"/>
          <w:szCs w:val="32"/>
        </w:rPr>
        <w:t>加快推进沪苏通铁路二期、南沿江铁路、北沿江铁路、</w:t>
      </w:r>
      <w:r>
        <w:rPr>
          <w:rFonts w:ascii="Times New Roman" w:hAnsi="Times New Roman" w:eastAsia="仿宋_GB2312"/>
          <w:bCs/>
          <w:color w:val="000000"/>
          <w:sz w:val="32"/>
          <w:szCs w:val="32"/>
        </w:rPr>
        <w:t>太仓港疏港铁路专用线、太仓港铁路综合物流枢纽（多式联运）园区建设。争取嘉闵线北延工程年内开工。</w:t>
      </w:r>
      <w:r>
        <w:rPr>
          <w:rFonts w:ascii="Times New Roman" w:hAnsi="Times New Roman" w:eastAsia="楷体_GB2312"/>
          <w:color w:val="000000"/>
          <w:sz w:val="32"/>
          <w:szCs w:val="32"/>
        </w:rPr>
        <w:t>（责任单位：市发改委、市交运局、市商务局、太仓海关、</w:t>
      </w:r>
      <w:r>
        <w:rPr>
          <w:rFonts w:hint="eastAsia" w:ascii="Times New Roman" w:hAnsi="Times New Roman" w:eastAsia="楷体_GB2312"/>
          <w:color w:val="000000"/>
          <w:sz w:val="32"/>
          <w:szCs w:val="32"/>
        </w:rPr>
        <w:t>太仓港口管委会</w:t>
      </w:r>
      <w:r>
        <w:rPr>
          <w:rFonts w:ascii="Times New Roman" w:hAnsi="Times New Roman" w:eastAsia="楷体_GB2312"/>
          <w:color w:val="000000"/>
          <w:sz w:val="32"/>
          <w:szCs w:val="32"/>
        </w:rPr>
        <w:t>）</w:t>
      </w:r>
    </w:p>
    <w:p>
      <w:pPr>
        <w:pStyle w:val="4"/>
        <w:spacing w:line="560" w:lineRule="exact"/>
        <w:ind w:firstLine="624"/>
        <w:rPr>
          <w:rFonts w:ascii="Times New Roman" w:hAnsi="Times New Roman"/>
          <w:color w:val="000000"/>
        </w:rPr>
      </w:pPr>
      <w:r>
        <w:rPr>
          <w:rFonts w:ascii="Times New Roman" w:hAnsi="Times New Roman" w:eastAsia="仿宋_GB2312"/>
          <w:color w:val="000000"/>
          <w:kern w:val="2"/>
        </w:rPr>
        <w:t>打造“中德合作”与“沪苏同城”的最佳典范，加快培育以服务德资企业为特色的商务服务集聚区。积极参与上海世界级汽车产业中心、航空制造产业集群以及生命科学、集成电路等重点产业建设。</w:t>
      </w:r>
      <w:r>
        <w:rPr>
          <w:rFonts w:hint="eastAsia" w:ascii="楷体_GB2312" w:hAnsi="Times New Roman" w:eastAsia="楷体_GB2312"/>
          <w:bCs/>
          <w:color w:val="000000"/>
          <w:spacing w:val="-10"/>
        </w:rPr>
        <w:t>（责任部门：市发改委、市工信局、市商务局、高新区）</w:t>
      </w:r>
    </w:p>
    <w:p>
      <w:pPr>
        <w:spacing w:line="560" w:lineRule="exact"/>
        <w:ind w:firstLine="630"/>
        <w:rPr>
          <w:rFonts w:ascii="Times New Roman" w:hAnsi="Times New Roman" w:eastAsia="楷体_GB2312"/>
          <w:color w:val="000000"/>
          <w:sz w:val="32"/>
          <w:szCs w:val="32"/>
        </w:rPr>
      </w:pPr>
      <w:r>
        <w:rPr>
          <w:rFonts w:ascii="Times New Roman" w:hAnsi="Times New Roman" w:eastAsia="仿宋_GB2312"/>
          <w:color w:val="000000"/>
          <w:sz w:val="32"/>
          <w:szCs w:val="32"/>
        </w:rPr>
        <w:t>加强与上海高端资源的嫁接融合，引入上海优质教育、医疗机构在太办分校和分院。</w:t>
      </w:r>
      <w:r>
        <w:rPr>
          <w:rFonts w:ascii="Times New Roman" w:hAnsi="Times New Roman" w:eastAsia="仿宋_GB2312"/>
          <w:color w:val="000000"/>
          <w:spacing w:val="-4"/>
          <w:sz w:val="32"/>
          <w:szCs w:val="32"/>
        </w:rPr>
        <w:t>加快推进西交利物浦大学附属太仓实验学校建设，启动上海世界外国语学校等高端教育资源项目，</w:t>
      </w:r>
      <w:r>
        <w:rPr>
          <w:rFonts w:ascii="Times New Roman" w:hAnsi="Times New Roman" w:eastAsia="仿宋_GB2312"/>
          <w:color w:val="000000"/>
          <w:spacing w:val="-4"/>
          <w:kern w:val="0"/>
          <w:sz w:val="32"/>
          <w:szCs w:val="32"/>
        </w:rPr>
        <w:t>加快推进瑞金医院太仓分院启动建设。</w:t>
      </w:r>
      <w:r>
        <w:rPr>
          <w:rFonts w:ascii="Times New Roman" w:hAnsi="Times New Roman" w:eastAsia="仿宋_GB2312"/>
          <w:color w:val="000000"/>
          <w:sz w:val="32"/>
          <w:szCs w:val="32"/>
        </w:rPr>
        <w:t>推进“沪太互助帮困人员医保服务”项目落地落实工作，协同实现异地就医结算的全覆盖。</w:t>
      </w:r>
      <w:r>
        <w:rPr>
          <w:rFonts w:hint="eastAsia" w:ascii="楷体_GB2312" w:hAnsi="Times New Roman" w:eastAsia="楷体_GB2312"/>
          <w:color w:val="000000"/>
          <w:sz w:val="32"/>
          <w:szCs w:val="32"/>
        </w:rPr>
        <w:t>（责任单位：市教育局、市卫健委、市医保局）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探索毗邻区域协同发展新机制，强化嘉昆太深度合作，在资源共享、生态共保、产业合作、科技创新等方面取得更多进展。</w:t>
      </w:r>
      <w:r>
        <w:rPr>
          <w:rFonts w:hint="eastAsia" w:ascii="楷体_GB2312" w:hAnsi="Times New Roman" w:eastAsia="楷体_GB2312"/>
          <w:color w:val="000000"/>
          <w:sz w:val="32"/>
          <w:szCs w:val="32"/>
        </w:rPr>
        <w:t>（责任单位：市资源规划局、市生态环境局、市工信局、市科技局、市发改委）</w:t>
      </w:r>
    </w:p>
    <w:p>
      <w:pPr>
        <w:spacing w:line="560" w:lineRule="exact"/>
        <w:ind w:firstLine="630"/>
        <w:rPr>
          <w:rFonts w:ascii="Times New Roman" w:hAnsi="Times New Roman" w:eastAsia="楷体_GB2312"/>
          <w:color w:val="000000"/>
          <w:sz w:val="32"/>
          <w:szCs w:val="32"/>
        </w:rPr>
      </w:pPr>
      <w:r>
        <w:rPr>
          <w:rFonts w:ascii="Times New Roman" w:hAnsi="Times New Roman" w:eastAsia="楷体_GB2312"/>
          <w:color w:val="000000"/>
          <w:sz w:val="32"/>
          <w:szCs w:val="32"/>
        </w:rPr>
        <w:t>（二十</w:t>
      </w:r>
      <w:r>
        <w:rPr>
          <w:rFonts w:hint="eastAsia" w:ascii="Times New Roman" w:hAnsi="Times New Roman" w:eastAsia="楷体_GB2312"/>
          <w:color w:val="000000"/>
          <w:sz w:val="32"/>
          <w:szCs w:val="32"/>
        </w:rPr>
        <w:t>八</w:t>
      </w:r>
      <w:r>
        <w:rPr>
          <w:rFonts w:ascii="Times New Roman" w:hAnsi="Times New Roman" w:eastAsia="楷体_GB2312"/>
          <w:color w:val="000000"/>
          <w:sz w:val="32"/>
          <w:szCs w:val="32"/>
        </w:rPr>
        <w:t>）打造更具影响消费品牌。</w:t>
      </w:r>
      <w:r>
        <w:rPr>
          <w:rFonts w:ascii="Times New Roman" w:hAnsi="Times New Roman" w:eastAsia="仿宋_GB2312"/>
          <w:color w:val="000000"/>
          <w:sz w:val="32"/>
          <w:szCs w:val="32"/>
        </w:rPr>
        <w:t>全面促进消费，提升传统消费，培育新型消费，发展服务消费，将“乐购太仓，畅游娄城——五五购物节”“双12苏州购物节——乐购太仓”打造成为具有</w:t>
      </w:r>
      <w:r>
        <w:rPr>
          <w:rFonts w:hint="eastAsia" w:ascii="Times New Roman" w:hAnsi="Times New Roman" w:eastAsia="仿宋_GB2312"/>
          <w:color w:val="000000"/>
          <w:sz w:val="32"/>
          <w:szCs w:val="32"/>
        </w:rPr>
        <w:t>长久生命力</w:t>
      </w:r>
      <w:r>
        <w:rPr>
          <w:rFonts w:ascii="Times New Roman" w:hAnsi="Times New Roman" w:eastAsia="仿宋_GB2312"/>
          <w:color w:val="000000"/>
          <w:sz w:val="32"/>
          <w:szCs w:val="32"/>
        </w:rPr>
        <w:t>的消费节庆品牌，加快建设国际消费中心城市。更好承接中国国际进口博览会溢出效应，加快集聚全球优质商品和服务，支持鼓励更多国内外名牌、名品、名店在太仓设立首店、旗舰店、体验店。不断完善业态布局，提升消费者购物体验，打造更具知名度和美誉度的标志性商业街区。推动老字号传承保护创新，鼓励老字号企业数字化改造，加快拓展线上业务，扩大老字号品牌影响力。完善出口产品转内销支持体系，推进外贸企业进商超、进渠道、进街区（步行街）、进电商平台、进云上展会。</w:t>
      </w:r>
      <w:r>
        <w:rPr>
          <w:rFonts w:ascii="Times New Roman" w:hAnsi="Times New Roman" w:eastAsia="楷体_GB2312"/>
          <w:color w:val="000000"/>
          <w:sz w:val="32"/>
          <w:szCs w:val="32"/>
        </w:rPr>
        <w:t>（责任单位：市商务局）</w:t>
      </w:r>
    </w:p>
    <w:p>
      <w:pPr>
        <w:spacing w:line="560" w:lineRule="exact"/>
        <w:ind w:firstLine="630"/>
        <w:rPr>
          <w:rFonts w:ascii="楷体_GB2312" w:hAnsi="Times New Roman" w:eastAsia="楷体_GB2312"/>
          <w:color w:val="000000"/>
          <w:sz w:val="32"/>
          <w:szCs w:val="32"/>
        </w:rPr>
      </w:pPr>
      <w:r>
        <w:rPr>
          <w:rFonts w:ascii="Times New Roman" w:hAnsi="Times New Roman" w:eastAsia="仿宋_GB2312"/>
          <w:color w:val="000000"/>
          <w:sz w:val="32"/>
          <w:szCs w:val="32"/>
        </w:rPr>
        <w:t>将“夜太美”打造成为具有长久生命力的文旅品牌，在全域旅游发展上发挥示范引领作用。建设智慧文旅系统建设项目，构建覆盖全区域、互联互通、便捷高效的立体式公共文旅服务网络平台。持续开展消费者满意单位和省市级放心消费先进示范单位创建活动。</w:t>
      </w:r>
      <w:r>
        <w:rPr>
          <w:rFonts w:hint="eastAsia" w:ascii="楷体_GB2312" w:hAnsi="Times New Roman" w:eastAsia="楷体_GB2312"/>
          <w:color w:val="000000"/>
          <w:sz w:val="32"/>
          <w:szCs w:val="32"/>
        </w:rPr>
        <w:t>（责任单位：市文体广旅局、市税务局、市市场监管局）</w:t>
      </w:r>
    </w:p>
    <w:p>
      <w:pPr>
        <w:spacing w:line="560" w:lineRule="exact"/>
        <w:ind w:firstLine="640"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（二十九）优化土地供应保障重大项目落地。</w:t>
      </w:r>
      <w:r>
        <w:rPr>
          <w:rFonts w:ascii="Times New Roman" w:hAnsi="Times New Roman" w:eastAsia="仿宋_GB2312"/>
          <w:color w:val="000000"/>
          <w:sz w:val="32"/>
          <w:szCs w:val="32"/>
        </w:rPr>
        <w:t>加强土地要素供给保障，盘活存量用地，为重大项目落地腾出空间。完善以标准地为基础的“双信地”出让模式。优化“事前”服务，统一进行“双信地”前期收储、整备工作，确保拿地开工的硬件条件最优化。完善“事后”监管，根据市场环境及行业类别设定弹性税收考察期，做到个性化定制、人性化考核，使监管结果更具科学性。</w:t>
      </w:r>
      <w:r>
        <w:rPr>
          <w:rFonts w:hint="eastAsia" w:ascii="楷体_GB2312" w:hAnsi="Times New Roman" w:eastAsia="楷体_GB2312"/>
          <w:color w:val="000000"/>
          <w:sz w:val="32"/>
          <w:szCs w:val="32"/>
        </w:rPr>
        <w:t>（责任单位：市资源规划局）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落实“产业定制地”供应模式，对有意向单位的产业用地，可按规划条件先行开展编制图纸设计、项目咨询辅导、技术辅导等工作，并调整到土地出让前完成。合理布局“工业邻里中心”，集中配置公共配套和服务设施，统筹满足工业区内企业行政办公、商务、生活服务等需求。</w:t>
      </w:r>
      <w:r>
        <w:rPr>
          <w:rFonts w:hint="eastAsia" w:ascii="楷体_GB2312" w:hAnsi="Times New Roman" w:eastAsia="楷体_GB2312"/>
          <w:color w:val="000000"/>
          <w:sz w:val="32"/>
          <w:szCs w:val="32"/>
        </w:rPr>
        <w:t>（责任单位：市资源规划局、市行政审批局）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完善项目筛选机制，建立以投资总额、产出效益、产业门类、能耗水平、研发经费占比等为主要指标的项目综合评价指标体系。实行定制化的供应方式、供地价格、出让年限、转让条件，满足不同发展阶段的企业用地需求。</w:t>
      </w:r>
      <w:r>
        <w:rPr>
          <w:rFonts w:hint="eastAsia" w:ascii="楷体_GB2312" w:hAnsi="Times New Roman" w:eastAsia="楷体_GB2312"/>
          <w:color w:val="000000"/>
          <w:sz w:val="32"/>
          <w:szCs w:val="32"/>
        </w:rPr>
        <w:t>（责任单位：市资源规划局、市发改委、市科技局、市工信局）</w:t>
      </w:r>
    </w:p>
    <w:p>
      <w:pPr>
        <w:spacing w:line="560" w:lineRule="exact"/>
        <w:ind w:firstLine="630"/>
        <w:rPr>
          <w:rFonts w:ascii="Times New Roman" w:hAnsi="Times New Roman" w:eastAsia="仿宋_GB2312"/>
          <w:color w:val="000000"/>
          <w:sz w:val="32"/>
          <w:szCs w:val="32"/>
        </w:rPr>
      </w:pPr>
      <w:r>
        <w:rPr>
          <w:rFonts w:ascii="Times New Roman" w:hAnsi="Times New Roman" w:eastAsia="仿宋_GB2312"/>
          <w:color w:val="000000"/>
          <w:sz w:val="32"/>
          <w:szCs w:val="32"/>
        </w:rPr>
        <w:t>全面实行“合同+协议”管理模式，解决供后监管责任不清的问题；建立开放式的“互联网+供后全链管理平台”，实现产业用地全链条管理。</w:t>
      </w:r>
      <w:r>
        <w:rPr>
          <w:rFonts w:hint="eastAsia" w:ascii="楷体_GB2312" w:hAnsi="Times New Roman" w:eastAsia="楷体_GB2312"/>
          <w:color w:val="000000"/>
          <w:sz w:val="32"/>
          <w:szCs w:val="32"/>
        </w:rPr>
        <w:t>（责任单位：市资源规划局）</w:t>
      </w:r>
    </w:p>
    <w:p>
      <w:pPr>
        <w:spacing w:line="560" w:lineRule="exact"/>
        <w:ind w:firstLine="630"/>
        <w:rPr>
          <w:rFonts w:ascii="Times New Roman" w:hAnsi="Times New Roman" w:eastAsia="黑体"/>
          <w:color w:val="000000"/>
          <w:sz w:val="32"/>
          <w:szCs w:val="32"/>
        </w:rPr>
      </w:pPr>
      <w:r>
        <w:rPr>
          <w:rFonts w:hint="eastAsia" w:ascii="Times New Roman" w:hAnsi="Times New Roman" w:eastAsia="黑体"/>
          <w:color w:val="000000"/>
          <w:sz w:val="32"/>
          <w:szCs w:val="32"/>
        </w:rPr>
        <w:t>七、</w:t>
      </w:r>
      <w:r>
        <w:rPr>
          <w:rFonts w:ascii="Times New Roman" w:hAnsi="Times New Roman" w:eastAsia="黑体"/>
          <w:color w:val="000000"/>
          <w:sz w:val="32"/>
          <w:szCs w:val="32"/>
        </w:rPr>
        <w:t>强化组织保障</w:t>
      </w:r>
    </w:p>
    <w:p>
      <w:pPr>
        <w:spacing w:line="560" w:lineRule="exact"/>
        <w:ind w:firstLine="630"/>
        <w:rPr>
          <w:rFonts w:ascii="楷体_GB2312" w:hAnsi="Times New Roman" w:eastAsia="楷体_GB2312"/>
          <w:sz w:val="32"/>
          <w:szCs w:val="32"/>
        </w:rPr>
      </w:pPr>
      <w:r>
        <w:rPr>
          <w:rFonts w:hint="eastAsia" w:ascii="楷体_GB2312" w:hAnsi="Times New Roman" w:eastAsia="楷体_GB2312"/>
          <w:color w:val="000000"/>
          <w:sz w:val="32"/>
          <w:szCs w:val="32"/>
        </w:rPr>
        <w:t>（三十）加强统筹协同。</w:t>
      </w:r>
      <w:r>
        <w:rPr>
          <w:rFonts w:ascii="Times New Roman" w:hAnsi="Times New Roman" w:eastAsia="仿宋_GB2312"/>
          <w:color w:val="000000"/>
          <w:sz w:val="32"/>
          <w:szCs w:val="32"/>
        </w:rPr>
        <w:t>充分发挥市优化营商环境工作领导小组及办公室作用，加大对全市优化营商环境工作的组织领导和统筹协调。完善市营商环境责任部门定期会议协调机制，及时开展指导督导和压茬跟进工作。构建亲清政商关系，倾听企业反映的困难问题和意见建议，主动让企业家参与到政策制定过程中。探索建立营商环境观察员制度。</w:t>
      </w:r>
      <w:r>
        <w:rPr>
          <w:rFonts w:hint="eastAsia" w:ascii="楷体_GB2312" w:hAnsi="Times New Roman" w:eastAsia="楷体_GB2312"/>
          <w:color w:val="000000"/>
          <w:sz w:val="32"/>
          <w:szCs w:val="32"/>
        </w:rPr>
        <w:t>（责任单位：市发改委、市</w:t>
      </w:r>
      <w:r>
        <w:rPr>
          <w:rFonts w:hint="eastAsia" w:ascii="楷体_GB2312" w:hAnsi="Times New Roman" w:eastAsia="楷体_GB2312"/>
          <w:sz w:val="32"/>
          <w:szCs w:val="32"/>
        </w:rPr>
        <w:t>工商联）</w:t>
      </w:r>
    </w:p>
    <w:p>
      <w:pPr>
        <w:spacing w:line="560" w:lineRule="exact"/>
        <w:ind w:firstLine="630"/>
        <w:rPr>
          <w:rFonts w:ascii="楷体_GB2312" w:hAnsi="Times New Roman" w:eastAsia="楷体_GB2312"/>
          <w:sz w:val="32"/>
          <w:szCs w:val="32"/>
        </w:rPr>
      </w:pPr>
      <w:r>
        <w:rPr>
          <w:rFonts w:hint="eastAsia" w:ascii="楷体_GB2312" w:hAnsi="Times New Roman" w:eastAsia="楷体_GB2312"/>
          <w:sz w:val="32"/>
          <w:szCs w:val="32"/>
        </w:rPr>
        <w:t>（三十一）加强宣传推介。</w:t>
      </w:r>
      <w:r>
        <w:rPr>
          <w:rFonts w:ascii="Times New Roman" w:hAnsi="Times New Roman" w:eastAsia="仿宋_GB2312"/>
          <w:sz w:val="32"/>
          <w:szCs w:val="32"/>
        </w:rPr>
        <w:t>将营商环境宣传推介纳入全市宣传重点，让市场主体和社会各界更多知晓和享受营商环境持续优化带来的变化和红利。开展优化营商环境典型案例评选和宣传，加强正向激励和标杆引导，形成互学互鉴、比学赶超的浓厚氛围。把营商环境宣传与收集市场评价结合起来，形成政策推广与政策完善的良性互动。</w:t>
      </w:r>
      <w:r>
        <w:rPr>
          <w:rFonts w:hint="eastAsia" w:ascii="楷体_GB2312" w:hAnsi="Times New Roman" w:eastAsia="楷体_GB2312"/>
          <w:sz w:val="32"/>
          <w:szCs w:val="32"/>
        </w:rPr>
        <w:t>（责任单位：市委宣传部、市发改委、市工信局、市商务局、市外办、市行政审批局）</w:t>
      </w:r>
    </w:p>
    <w:p>
      <w:pPr>
        <w:spacing w:line="560" w:lineRule="exact"/>
        <w:ind w:firstLine="630"/>
        <w:rPr>
          <w:rFonts w:ascii="楷体_GB2312" w:hAnsi="Times New Roman" w:eastAsia="楷体_GB2312"/>
          <w:sz w:val="32"/>
          <w:szCs w:val="32"/>
        </w:rPr>
      </w:pPr>
      <w:r>
        <w:rPr>
          <w:rFonts w:hint="eastAsia" w:ascii="楷体_GB2312" w:hAnsi="Times New Roman" w:eastAsia="楷体_GB2312"/>
          <w:sz w:val="32"/>
          <w:szCs w:val="32"/>
        </w:rPr>
        <w:t>（三十二）加强考核评估。</w:t>
      </w:r>
      <w:r>
        <w:rPr>
          <w:rFonts w:ascii="Times New Roman" w:hAnsi="Times New Roman" w:eastAsia="仿宋_GB2312"/>
          <w:sz w:val="32"/>
          <w:szCs w:val="32"/>
        </w:rPr>
        <w:t>认真做好国家和省营商环境评价考核工作，适时组织开展营商环境自评工作。对已出台的政策组织开展“回头看”，定期检查评估涉企政策的知晓度、覆盖面和到达率。通过年度议题、调研专题等方式，聚焦营商环境重点领域，提高营商环境改革精准度和市场主体获得感。</w:t>
      </w:r>
      <w:r>
        <w:rPr>
          <w:rFonts w:hint="eastAsia" w:ascii="楷体_GB2312" w:hAnsi="Times New Roman" w:eastAsia="楷体_GB2312"/>
          <w:sz w:val="32"/>
          <w:szCs w:val="32"/>
        </w:rPr>
        <w:t>（责任单位：市各有关部门）</w:t>
      </w:r>
    </w:p>
    <w:p>
      <w:pPr>
        <w:spacing w:line="560" w:lineRule="exact"/>
        <w:ind w:firstLine="630"/>
        <w:rPr>
          <w:rFonts w:ascii="Times New Roman" w:hAnsi="Times New Roman" w:eastAsia="楷体_GB2312"/>
          <w:sz w:val="32"/>
          <w:szCs w:val="32"/>
        </w:rPr>
        <w:sectPr>
          <w:footerReference r:id="rId3" w:type="default"/>
          <w:pgSz w:w="11906" w:h="16838"/>
          <w:pgMar w:top="2041" w:right="1474" w:bottom="1928" w:left="1474" w:header="851" w:footer="992" w:gutter="0"/>
          <w:cols w:space="720" w:num="1"/>
          <w:docGrid w:type="lines" w:linePitch="312" w:charSpace="0"/>
        </w:sectPr>
      </w:pPr>
      <w:r>
        <w:rPr>
          <w:rFonts w:ascii="Times New Roman" w:hAnsi="Times New Roman" w:eastAsia="仿宋_GB2312"/>
          <w:sz w:val="32"/>
          <w:szCs w:val="32"/>
        </w:rPr>
        <w:t>附件：太仓市优化营商环境“E.S.T”行动</w:t>
      </w:r>
      <w:r>
        <w:rPr>
          <w:rFonts w:hint="eastAsia" w:ascii="Times New Roman" w:hAnsi="Times New Roman" w:eastAsia="仿宋_GB2312"/>
          <w:sz w:val="32"/>
          <w:szCs w:val="32"/>
        </w:rPr>
        <w:t>创新项目</w:t>
      </w:r>
    </w:p>
    <w:p>
      <w:pPr>
        <w:jc w:val="center"/>
        <w:rPr>
          <w:rFonts w:ascii="Times New Roman" w:hAnsi="Times New Roman" w:eastAsia="方正小标宋简体"/>
          <w:sz w:val="36"/>
          <w:szCs w:val="36"/>
        </w:rPr>
      </w:pPr>
      <w:r>
        <w:rPr>
          <w:rFonts w:ascii="Times New Roman" w:hAnsi="Times New Roman" w:eastAsia="方正小标宋简体"/>
          <w:sz w:val="36"/>
          <w:szCs w:val="36"/>
        </w:rPr>
        <w:t>太仓市优化营商环境“E.S.T”行动</w:t>
      </w:r>
      <w:r>
        <w:rPr>
          <w:rFonts w:hint="eastAsia" w:ascii="Times New Roman" w:hAnsi="Times New Roman" w:eastAsia="方正小标宋简体"/>
          <w:sz w:val="36"/>
          <w:szCs w:val="36"/>
        </w:rPr>
        <w:t>创新项目</w:t>
      </w:r>
    </w:p>
    <w:tbl>
      <w:tblPr>
        <w:tblStyle w:val="5"/>
        <w:tblpPr w:leftFromText="180" w:rightFromText="180" w:vertAnchor="text" w:horzAnchor="margin" w:tblpXSpec="center" w:tblpY="350"/>
        <w:tblW w:w="142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6"/>
        <w:gridCol w:w="7088"/>
        <w:gridCol w:w="1837"/>
        <w:gridCol w:w="1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3516"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项目名称</w:t>
            </w:r>
          </w:p>
        </w:tc>
        <w:tc>
          <w:tcPr>
            <w:tcW w:w="7088"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主要举措</w:t>
            </w:r>
          </w:p>
        </w:tc>
        <w:tc>
          <w:tcPr>
            <w:tcW w:w="1837"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牵头单位</w:t>
            </w:r>
          </w:p>
        </w:tc>
        <w:tc>
          <w:tcPr>
            <w:tcW w:w="1840"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参与单位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1" w:hRule="atLeast"/>
        </w:trPr>
        <w:tc>
          <w:tcPr>
            <w:tcW w:w="3516" w:type="dxa"/>
            <w:vAlign w:val="center"/>
          </w:tcPr>
          <w:p>
            <w:pPr>
              <w:spacing w:line="360" w:lineRule="exact"/>
              <w:jc w:val="left"/>
              <w:rPr>
                <w:rFonts w:hint="eastAsia" w:ascii="Times Roman" w:hAnsi="Times Roman"/>
                <w:sz w:val="24"/>
                <w:szCs w:val="24"/>
              </w:rPr>
            </w:pPr>
            <w:r>
              <w:rPr>
                <w:rFonts w:ascii="Times Roman" w:hAnsi="Times New Roman"/>
                <w:sz w:val="24"/>
                <w:szCs w:val="24"/>
              </w:rPr>
              <w:t>（一）</w:t>
            </w:r>
            <w:r>
              <w:rPr>
                <w:rFonts w:ascii="Times Roman" w:hAnsi="Times Roman"/>
                <w:sz w:val="24"/>
                <w:szCs w:val="24"/>
              </w:rPr>
              <w:t>“</w:t>
            </w:r>
            <w:r>
              <w:rPr>
                <w:rFonts w:ascii="Times Roman" w:hAnsi="Times New Roman"/>
                <w:sz w:val="24"/>
                <w:szCs w:val="24"/>
              </w:rPr>
              <w:t>易企办</w:t>
            </w:r>
            <w:r>
              <w:rPr>
                <w:rFonts w:ascii="Times Roman" w:hAnsi="Times Roman"/>
                <w:sz w:val="24"/>
                <w:szCs w:val="24"/>
              </w:rPr>
              <w:t>”</w:t>
            </w:r>
            <w:r>
              <w:rPr>
                <w:rFonts w:ascii="Times Roman" w:hAnsi="Times New Roman"/>
                <w:sz w:val="24"/>
                <w:szCs w:val="24"/>
              </w:rPr>
              <w:t>商事登记便利服务优化行动</w:t>
            </w:r>
          </w:p>
        </w:tc>
        <w:tc>
          <w:tcPr>
            <w:tcW w:w="7088" w:type="dxa"/>
            <w:vAlign w:val="center"/>
          </w:tcPr>
          <w:p>
            <w:pPr>
              <w:spacing w:line="360" w:lineRule="exact"/>
              <w:ind w:firstLine="480" w:firstLineChars="200"/>
              <w:jc w:val="left"/>
              <w:rPr>
                <w:rFonts w:hint="eastAsia" w:ascii="Times Roman" w:hAnsi="Times Roman"/>
                <w:sz w:val="24"/>
                <w:szCs w:val="24"/>
              </w:rPr>
            </w:pPr>
            <w:r>
              <w:rPr>
                <w:rFonts w:ascii="Times Roman" w:hAnsi="Times Roman"/>
                <w:sz w:val="24"/>
                <w:szCs w:val="24"/>
              </w:rPr>
              <w:t>1.</w:t>
            </w:r>
            <w:r>
              <w:rPr>
                <w:rFonts w:ascii="Times Roman" w:hAnsi="Times New Roman"/>
                <w:sz w:val="24"/>
                <w:szCs w:val="24"/>
              </w:rPr>
              <w:t>推出</w:t>
            </w:r>
            <w:r>
              <w:rPr>
                <w:rFonts w:ascii="Times Roman" w:hAnsi="Times Roman"/>
                <w:sz w:val="24"/>
                <w:szCs w:val="24"/>
              </w:rPr>
              <w:t>“</w:t>
            </w:r>
            <w:r>
              <w:rPr>
                <w:rFonts w:ascii="Times Roman" w:hAnsi="Times New Roman"/>
                <w:sz w:val="24"/>
                <w:szCs w:val="24"/>
              </w:rPr>
              <w:t>易企办</w:t>
            </w:r>
            <w:r>
              <w:rPr>
                <w:rFonts w:ascii="Times Roman" w:hAnsi="Times Roman"/>
                <w:sz w:val="24"/>
                <w:szCs w:val="24"/>
              </w:rPr>
              <w:t>”</w:t>
            </w:r>
            <w:r>
              <w:rPr>
                <w:rFonts w:ascii="Times Roman" w:hAnsi="Times New Roman"/>
                <w:sz w:val="24"/>
                <w:szCs w:val="24"/>
              </w:rPr>
              <w:t>便利化登记服务，全面实现营业执照办理、公章刻制、银行开户、领取发票（获得申领资格）、社保开户、公积金开户、医保开户</w:t>
            </w:r>
            <w:r>
              <w:rPr>
                <w:rFonts w:ascii="Times Roman" w:hAnsi="Times Roman"/>
                <w:sz w:val="24"/>
                <w:szCs w:val="24"/>
              </w:rPr>
              <w:t>“</w:t>
            </w:r>
            <w:r>
              <w:rPr>
                <w:rFonts w:ascii="Times Roman" w:hAnsi="Times New Roman"/>
                <w:sz w:val="24"/>
                <w:szCs w:val="24"/>
              </w:rPr>
              <w:t>一窗办理</w:t>
            </w:r>
            <w:r>
              <w:rPr>
                <w:rFonts w:ascii="Times Roman" w:hAnsi="Times Roman"/>
                <w:sz w:val="24"/>
                <w:szCs w:val="24"/>
              </w:rPr>
              <w:t>”“</w:t>
            </w:r>
            <w:r>
              <w:rPr>
                <w:rFonts w:ascii="Times Roman" w:hAnsi="Times New Roman"/>
                <w:sz w:val="24"/>
                <w:szCs w:val="24"/>
              </w:rPr>
              <w:t>全城通办</w:t>
            </w:r>
            <w:r>
              <w:rPr>
                <w:rFonts w:ascii="Times Roman" w:hAnsi="Times Roman"/>
                <w:sz w:val="24"/>
                <w:szCs w:val="24"/>
              </w:rPr>
              <w:t>”</w:t>
            </w:r>
            <w:r>
              <w:rPr>
                <w:rFonts w:ascii="Times Roman" w:hAnsi="Times New Roman"/>
                <w:sz w:val="24"/>
                <w:szCs w:val="24"/>
              </w:rPr>
              <w:t>，</w:t>
            </w:r>
            <w:r>
              <w:rPr>
                <w:rFonts w:ascii="Times Roman" w:hAnsi="Times Roman"/>
                <w:sz w:val="24"/>
                <w:szCs w:val="24"/>
              </w:rPr>
              <w:t>1</w:t>
            </w:r>
            <w:r>
              <w:rPr>
                <w:rFonts w:ascii="Times Roman" w:hAnsi="Times New Roman"/>
                <w:sz w:val="24"/>
                <w:szCs w:val="24"/>
              </w:rPr>
              <w:t>个工作日办结全流程。</w:t>
            </w:r>
          </w:p>
          <w:p>
            <w:pPr>
              <w:spacing w:line="360" w:lineRule="exact"/>
              <w:ind w:firstLine="480" w:firstLineChars="200"/>
              <w:jc w:val="left"/>
              <w:rPr>
                <w:rFonts w:hint="eastAsia" w:ascii="Times Roman" w:hAnsi="Times Roman"/>
                <w:sz w:val="24"/>
                <w:szCs w:val="24"/>
              </w:rPr>
            </w:pPr>
            <w:r>
              <w:rPr>
                <w:rFonts w:ascii="Times Roman" w:hAnsi="Times Roman"/>
                <w:sz w:val="24"/>
                <w:szCs w:val="24"/>
              </w:rPr>
              <w:t>2.</w:t>
            </w:r>
            <w:r>
              <w:rPr>
                <w:rFonts w:ascii="Times Roman" w:hAnsi="Times New Roman"/>
                <w:sz w:val="24"/>
                <w:szCs w:val="24"/>
              </w:rPr>
              <w:t>推广营业执照智能审批，对经营范围不涉及许可事项、地址通过</w:t>
            </w:r>
            <w:r>
              <w:rPr>
                <w:rFonts w:ascii="Times Roman" w:hAnsi="Times Roman"/>
                <w:sz w:val="24"/>
                <w:szCs w:val="24"/>
              </w:rPr>
              <w:t>“</w:t>
            </w:r>
            <w:r>
              <w:rPr>
                <w:rFonts w:ascii="Times Roman" w:hAnsi="Times New Roman"/>
                <w:sz w:val="24"/>
                <w:szCs w:val="24"/>
              </w:rPr>
              <w:t>在线住所核验</w:t>
            </w:r>
            <w:r>
              <w:rPr>
                <w:rFonts w:ascii="Times Roman" w:hAnsi="Times Roman"/>
                <w:sz w:val="24"/>
                <w:szCs w:val="24"/>
              </w:rPr>
              <w:t>”</w:t>
            </w:r>
            <w:r>
              <w:rPr>
                <w:rFonts w:ascii="Times Roman" w:hAnsi="Times New Roman"/>
                <w:sz w:val="24"/>
                <w:szCs w:val="24"/>
              </w:rPr>
              <w:t>系统的简单登记事项，实现个体工商户开办</w:t>
            </w:r>
            <w:r>
              <w:rPr>
                <w:rFonts w:ascii="Times Roman" w:hAnsi="Times Roman"/>
                <w:sz w:val="24"/>
                <w:szCs w:val="24"/>
              </w:rPr>
              <w:t>“</w:t>
            </w:r>
            <w:r>
              <w:rPr>
                <w:rFonts w:ascii="Times Roman" w:hAnsi="Times New Roman"/>
                <w:sz w:val="24"/>
                <w:szCs w:val="24"/>
              </w:rPr>
              <w:t>智能审批</w:t>
            </w:r>
            <w:r>
              <w:rPr>
                <w:rFonts w:ascii="Times Roman" w:hAnsi="Times Roman"/>
                <w:sz w:val="24"/>
                <w:szCs w:val="24"/>
              </w:rPr>
              <w:t>”</w:t>
            </w:r>
            <w:r>
              <w:rPr>
                <w:rFonts w:ascii="Times Roman" w:hAnsi="Times New Roman"/>
                <w:sz w:val="24"/>
                <w:szCs w:val="24"/>
              </w:rPr>
              <w:t>全覆盖。</w:t>
            </w:r>
          </w:p>
          <w:p>
            <w:pPr>
              <w:spacing w:line="360" w:lineRule="exact"/>
              <w:ind w:firstLine="480" w:firstLineChars="200"/>
              <w:jc w:val="left"/>
              <w:rPr>
                <w:rFonts w:hint="eastAsia" w:ascii="Times Roman" w:hAnsi="Times Roman"/>
                <w:sz w:val="24"/>
                <w:szCs w:val="24"/>
              </w:rPr>
            </w:pPr>
            <w:r>
              <w:rPr>
                <w:rFonts w:ascii="Times Roman" w:hAnsi="Times Roman"/>
                <w:sz w:val="24"/>
                <w:szCs w:val="24"/>
              </w:rPr>
              <w:t>3.</w:t>
            </w:r>
            <w:r>
              <w:rPr>
                <w:rFonts w:ascii="Times Roman" w:hAnsi="Times New Roman"/>
                <w:sz w:val="24"/>
                <w:szCs w:val="24"/>
              </w:rPr>
              <w:t>推行市场准入登记承诺制，实施住所登记申报承诺制改革和一照多址备案改革，推行住所在线核验，推进市场主体司法文书送达地址承诺确认工作。</w:t>
            </w:r>
          </w:p>
        </w:tc>
        <w:tc>
          <w:tcPr>
            <w:tcW w:w="1837" w:type="dxa"/>
            <w:vAlign w:val="center"/>
          </w:tcPr>
          <w:p>
            <w:pPr>
              <w:spacing w:line="360" w:lineRule="exact"/>
              <w:jc w:val="center"/>
              <w:rPr>
                <w:rFonts w:hint="eastAsia" w:ascii="Times Roman" w:hAnsi="Times Roman"/>
                <w:sz w:val="24"/>
                <w:szCs w:val="24"/>
              </w:rPr>
            </w:pPr>
            <w:r>
              <w:rPr>
                <w:rFonts w:ascii="Times Roman" w:hAnsi="Times New Roman"/>
                <w:sz w:val="24"/>
                <w:szCs w:val="24"/>
              </w:rPr>
              <w:t>市行政审批局</w:t>
            </w:r>
          </w:p>
        </w:tc>
        <w:tc>
          <w:tcPr>
            <w:tcW w:w="1840" w:type="dxa"/>
            <w:vAlign w:val="center"/>
          </w:tcPr>
          <w:p>
            <w:pPr>
              <w:spacing w:line="360" w:lineRule="exact"/>
              <w:jc w:val="center"/>
              <w:rPr>
                <w:rFonts w:hint="eastAsia" w:ascii="Times Roman" w:hAnsi="Times Roman"/>
                <w:sz w:val="24"/>
                <w:szCs w:val="24"/>
              </w:rPr>
            </w:pPr>
            <w:r>
              <w:rPr>
                <w:rFonts w:ascii="Times Roman" w:hAnsi="Times New Roman"/>
                <w:sz w:val="24"/>
                <w:szCs w:val="24"/>
              </w:rPr>
              <w:t>市市场监管局、市税务局、市法院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8" w:hRule="atLeast"/>
        </w:trPr>
        <w:tc>
          <w:tcPr>
            <w:tcW w:w="3516" w:type="dxa"/>
            <w:vAlign w:val="center"/>
          </w:tcPr>
          <w:p>
            <w:pPr>
              <w:spacing w:line="360" w:lineRule="exact"/>
              <w:jc w:val="left"/>
              <w:rPr>
                <w:rFonts w:hint="eastAsia" w:ascii="Times Roman" w:hAnsi="Times Roman"/>
                <w:sz w:val="24"/>
                <w:szCs w:val="24"/>
              </w:rPr>
            </w:pPr>
            <w:r>
              <w:rPr>
                <w:rFonts w:ascii="Times Roman" w:hAnsi="Times New Roman"/>
                <w:sz w:val="24"/>
                <w:szCs w:val="24"/>
              </w:rPr>
              <w:t>（二）投资项目</w:t>
            </w:r>
            <w:r>
              <w:rPr>
                <w:rFonts w:ascii="Times Roman" w:hAnsi="Times Roman"/>
                <w:sz w:val="24"/>
                <w:szCs w:val="24"/>
              </w:rPr>
              <w:t>“</w:t>
            </w:r>
            <w:r>
              <w:rPr>
                <w:rFonts w:ascii="Times Roman" w:hAnsi="Times New Roman"/>
                <w:sz w:val="24"/>
                <w:szCs w:val="24"/>
              </w:rPr>
              <w:t>三极</w:t>
            </w:r>
            <w:r>
              <w:rPr>
                <w:rFonts w:ascii="Times Roman" w:hAnsi="Times Roman"/>
                <w:sz w:val="24"/>
                <w:szCs w:val="24"/>
              </w:rPr>
              <w:t>”</w:t>
            </w:r>
            <w:r>
              <w:rPr>
                <w:rFonts w:ascii="Times Roman" w:hAnsi="Times New Roman"/>
                <w:sz w:val="24"/>
                <w:szCs w:val="24"/>
              </w:rPr>
              <w:t>审批优化行动</w:t>
            </w:r>
          </w:p>
        </w:tc>
        <w:tc>
          <w:tcPr>
            <w:tcW w:w="7088" w:type="dxa"/>
            <w:vAlign w:val="center"/>
          </w:tcPr>
          <w:p>
            <w:pPr>
              <w:spacing w:line="360" w:lineRule="exact"/>
              <w:ind w:firstLine="480" w:firstLineChars="200"/>
              <w:jc w:val="left"/>
              <w:rPr>
                <w:rFonts w:hint="eastAsia" w:ascii="Times Roman" w:hAnsi="Times Roman"/>
                <w:sz w:val="24"/>
                <w:szCs w:val="24"/>
              </w:rPr>
            </w:pPr>
            <w:r>
              <w:rPr>
                <w:rFonts w:ascii="Times Roman" w:hAnsi="Times Roman"/>
                <w:sz w:val="24"/>
                <w:szCs w:val="24"/>
              </w:rPr>
              <w:t>1.</w:t>
            </w:r>
            <w:r>
              <w:rPr>
                <w:rFonts w:ascii="Times Roman" w:hAnsi="Times New Roman"/>
                <w:sz w:val="24"/>
                <w:szCs w:val="24"/>
              </w:rPr>
              <w:t>推出</w:t>
            </w:r>
            <w:r>
              <w:rPr>
                <w:rFonts w:ascii="Times Roman" w:hAnsi="Times Roman"/>
                <w:sz w:val="24"/>
                <w:szCs w:val="24"/>
              </w:rPr>
              <w:t>“</w:t>
            </w:r>
            <w:r>
              <w:rPr>
                <w:rFonts w:ascii="Times Roman" w:hAnsi="Times New Roman"/>
                <w:sz w:val="24"/>
                <w:szCs w:val="24"/>
              </w:rPr>
              <w:t>最极限</w:t>
            </w:r>
            <w:r>
              <w:rPr>
                <w:rFonts w:ascii="Times Roman" w:hAnsi="Times Roman"/>
                <w:sz w:val="24"/>
                <w:szCs w:val="24"/>
              </w:rPr>
              <w:t>”</w:t>
            </w:r>
            <w:r>
              <w:rPr>
                <w:rFonts w:ascii="Times Roman" w:hAnsi="Times New Roman"/>
                <w:sz w:val="24"/>
                <w:szCs w:val="24"/>
              </w:rPr>
              <w:t>的</w:t>
            </w:r>
            <w:r>
              <w:rPr>
                <w:rFonts w:ascii="Times Roman" w:hAnsi="Times Roman"/>
                <w:sz w:val="24"/>
                <w:szCs w:val="24"/>
              </w:rPr>
              <w:t>“</w:t>
            </w:r>
            <w:r>
              <w:rPr>
                <w:rFonts w:ascii="Times Roman" w:hAnsi="Times New Roman"/>
                <w:sz w:val="24"/>
                <w:szCs w:val="24"/>
              </w:rPr>
              <w:t>省时间</w:t>
            </w:r>
            <w:r>
              <w:rPr>
                <w:rFonts w:ascii="Times Roman" w:hAnsi="Times Roman"/>
                <w:sz w:val="24"/>
                <w:szCs w:val="24"/>
              </w:rPr>
              <w:t>”</w:t>
            </w:r>
            <w:r>
              <w:rPr>
                <w:rFonts w:ascii="Times Roman" w:hAnsi="Times New Roman"/>
                <w:sz w:val="24"/>
                <w:szCs w:val="24"/>
              </w:rPr>
              <w:t>服务，</w:t>
            </w:r>
            <w:bookmarkStart w:id="0" w:name="_Hlk73020043"/>
            <w:r>
              <w:rPr>
                <w:rFonts w:ascii="Times Roman" w:hAnsi="Times New Roman"/>
                <w:sz w:val="24"/>
                <w:szCs w:val="24"/>
              </w:rPr>
              <w:t>通过将建设用地规划许可证调整为即办</w:t>
            </w:r>
            <w:bookmarkEnd w:id="0"/>
            <w:r>
              <w:rPr>
                <w:rFonts w:ascii="Times Roman" w:hAnsi="Times New Roman"/>
                <w:sz w:val="24"/>
                <w:szCs w:val="24"/>
              </w:rPr>
              <w:t>，合并建筑方案审定意见与建设工程规划许可证等举措进一步减时间。</w:t>
            </w:r>
          </w:p>
          <w:p>
            <w:pPr>
              <w:spacing w:line="360" w:lineRule="exact"/>
              <w:ind w:firstLine="480" w:firstLineChars="200"/>
              <w:jc w:val="left"/>
              <w:rPr>
                <w:rFonts w:hint="eastAsia" w:ascii="Times Roman" w:hAnsi="Times Roman"/>
                <w:sz w:val="24"/>
                <w:szCs w:val="24"/>
              </w:rPr>
            </w:pPr>
            <w:r>
              <w:rPr>
                <w:rFonts w:ascii="Times Roman" w:hAnsi="Times Roman"/>
                <w:sz w:val="24"/>
                <w:szCs w:val="24"/>
              </w:rPr>
              <w:t>2.</w:t>
            </w:r>
            <w:r>
              <w:rPr>
                <w:rFonts w:ascii="Times Roman" w:hAnsi="Times New Roman"/>
                <w:sz w:val="24"/>
                <w:szCs w:val="24"/>
              </w:rPr>
              <w:t>推出</w:t>
            </w:r>
            <w:r>
              <w:rPr>
                <w:rFonts w:ascii="Times Roman" w:hAnsi="Times Roman"/>
                <w:sz w:val="24"/>
                <w:szCs w:val="24"/>
              </w:rPr>
              <w:t>“</w:t>
            </w:r>
            <w:r>
              <w:rPr>
                <w:rFonts w:ascii="Times Roman" w:hAnsi="Times New Roman"/>
                <w:sz w:val="24"/>
                <w:szCs w:val="24"/>
              </w:rPr>
              <w:t>最极智</w:t>
            </w:r>
            <w:r>
              <w:rPr>
                <w:rFonts w:ascii="Times Roman" w:hAnsi="Times Roman"/>
                <w:sz w:val="24"/>
                <w:szCs w:val="24"/>
              </w:rPr>
              <w:t>”</w:t>
            </w:r>
            <w:r>
              <w:rPr>
                <w:rFonts w:ascii="Times Roman" w:hAnsi="Times New Roman"/>
                <w:sz w:val="24"/>
                <w:szCs w:val="24"/>
              </w:rPr>
              <w:t>的</w:t>
            </w:r>
            <w:r>
              <w:rPr>
                <w:rFonts w:ascii="Times Roman" w:hAnsi="Times Roman"/>
                <w:sz w:val="24"/>
                <w:szCs w:val="24"/>
              </w:rPr>
              <w:t>“</w:t>
            </w:r>
            <w:r>
              <w:rPr>
                <w:rFonts w:ascii="Times Roman" w:hAnsi="Times New Roman"/>
                <w:sz w:val="24"/>
                <w:szCs w:val="24"/>
              </w:rPr>
              <w:t>一网通</w:t>
            </w:r>
            <w:r>
              <w:rPr>
                <w:rFonts w:ascii="Times Roman" w:hAnsi="Times Roman"/>
                <w:sz w:val="24"/>
                <w:szCs w:val="24"/>
              </w:rPr>
              <w:t>”</w:t>
            </w:r>
            <w:r>
              <w:rPr>
                <w:rFonts w:ascii="Times Roman" w:hAnsi="Times New Roman"/>
                <w:sz w:val="24"/>
                <w:szCs w:val="24"/>
              </w:rPr>
              <w:t>服务，年内实现投资项目全链审批事项电子报批率</w:t>
            </w:r>
            <w:r>
              <w:rPr>
                <w:rFonts w:ascii="Times Roman" w:hAnsi="Times Roman"/>
                <w:sz w:val="24"/>
                <w:szCs w:val="24"/>
              </w:rPr>
              <w:t>100%</w:t>
            </w:r>
            <w:r>
              <w:rPr>
                <w:rFonts w:ascii="Times Roman" w:hAnsi="Times New Roman"/>
                <w:sz w:val="24"/>
                <w:szCs w:val="24"/>
              </w:rPr>
              <w:t>。</w:t>
            </w:r>
          </w:p>
          <w:p>
            <w:pPr>
              <w:spacing w:line="360" w:lineRule="exact"/>
              <w:ind w:firstLine="480" w:firstLineChars="200"/>
              <w:jc w:val="left"/>
              <w:rPr>
                <w:rFonts w:hint="eastAsia" w:ascii="Times Roman" w:hAnsi="Times Roman"/>
                <w:sz w:val="24"/>
                <w:szCs w:val="24"/>
              </w:rPr>
            </w:pPr>
            <w:r>
              <w:rPr>
                <w:rFonts w:ascii="Times Roman" w:hAnsi="Times Roman"/>
                <w:sz w:val="24"/>
                <w:szCs w:val="24"/>
              </w:rPr>
              <w:t>3.</w:t>
            </w:r>
            <w:r>
              <w:rPr>
                <w:rFonts w:ascii="Times Roman" w:hAnsi="Times New Roman"/>
                <w:sz w:val="24"/>
                <w:szCs w:val="24"/>
              </w:rPr>
              <w:t>推出</w:t>
            </w:r>
            <w:r>
              <w:rPr>
                <w:rFonts w:ascii="Times Roman" w:hAnsi="Times Roman"/>
                <w:sz w:val="24"/>
                <w:szCs w:val="24"/>
              </w:rPr>
              <w:t>“</w:t>
            </w:r>
            <w:r>
              <w:rPr>
                <w:rFonts w:ascii="Times Roman" w:hAnsi="Times New Roman"/>
                <w:sz w:val="24"/>
                <w:szCs w:val="24"/>
              </w:rPr>
              <w:t>最极致</w:t>
            </w:r>
            <w:r>
              <w:rPr>
                <w:rFonts w:ascii="Times Roman" w:hAnsi="Times Roman"/>
                <w:sz w:val="24"/>
                <w:szCs w:val="24"/>
              </w:rPr>
              <w:t>”</w:t>
            </w:r>
            <w:r>
              <w:rPr>
                <w:rFonts w:ascii="Times Roman" w:hAnsi="Times New Roman"/>
                <w:sz w:val="24"/>
                <w:szCs w:val="24"/>
              </w:rPr>
              <w:t>的</w:t>
            </w:r>
            <w:r>
              <w:rPr>
                <w:rFonts w:ascii="Times Roman" w:hAnsi="Times Roman"/>
                <w:sz w:val="24"/>
                <w:szCs w:val="24"/>
              </w:rPr>
              <w:t>“</w:t>
            </w:r>
            <w:r>
              <w:rPr>
                <w:rFonts w:ascii="Times Roman" w:hAnsi="Times New Roman"/>
                <w:sz w:val="24"/>
                <w:szCs w:val="24"/>
              </w:rPr>
              <w:t>微客厅</w:t>
            </w:r>
            <w:r>
              <w:rPr>
                <w:rFonts w:ascii="Times Roman" w:hAnsi="Times Roman"/>
                <w:sz w:val="24"/>
                <w:szCs w:val="24"/>
              </w:rPr>
              <w:t>”</w:t>
            </w:r>
            <w:r>
              <w:rPr>
                <w:rFonts w:ascii="Times Roman" w:hAnsi="Times New Roman"/>
                <w:sz w:val="24"/>
                <w:szCs w:val="24"/>
              </w:rPr>
              <w:t>服务，一个</w:t>
            </w:r>
            <w:r>
              <w:rPr>
                <w:rFonts w:ascii="Times Roman" w:hAnsi="Times Roman"/>
                <w:sz w:val="24"/>
                <w:szCs w:val="24"/>
              </w:rPr>
              <w:t>“</w:t>
            </w:r>
            <w:r>
              <w:rPr>
                <w:rFonts w:ascii="Times Roman" w:hAnsi="Times New Roman"/>
                <w:sz w:val="24"/>
                <w:szCs w:val="24"/>
              </w:rPr>
              <w:t>涉审</w:t>
            </w:r>
            <w:r>
              <w:rPr>
                <w:rFonts w:ascii="Times Roman" w:hAnsi="Times Roman"/>
                <w:sz w:val="24"/>
                <w:szCs w:val="24"/>
              </w:rPr>
              <w:t>7</w:t>
            </w:r>
            <w:r>
              <w:rPr>
                <w:rFonts w:ascii="Times Roman" w:hAnsi="Times New Roman"/>
                <w:sz w:val="24"/>
                <w:szCs w:val="24"/>
              </w:rPr>
              <w:t>方微信群</w:t>
            </w:r>
            <w:r>
              <w:rPr>
                <w:rFonts w:ascii="Times Roman" w:hAnsi="Times Roman"/>
                <w:sz w:val="24"/>
                <w:szCs w:val="24"/>
              </w:rPr>
              <w:t>”</w:t>
            </w:r>
            <w:r>
              <w:rPr>
                <w:rFonts w:ascii="Times Roman" w:hAnsi="Times New Roman"/>
                <w:sz w:val="24"/>
                <w:szCs w:val="24"/>
              </w:rPr>
              <w:t>对应一个重点项目，一张</w:t>
            </w:r>
            <w:r>
              <w:rPr>
                <w:rFonts w:ascii="Times Roman" w:hAnsi="Times Roman"/>
                <w:sz w:val="24"/>
                <w:szCs w:val="24"/>
              </w:rPr>
              <w:t>“</w:t>
            </w:r>
            <w:r>
              <w:rPr>
                <w:rFonts w:ascii="Times Roman" w:hAnsi="Times New Roman"/>
                <w:sz w:val="24"/>
                <w:szCs w:val="24"/>
              </w:rPr>
              <w:t>地铁站运行图</w:t>
            </w:r>
            <w:r>
              <w:rPr>
                <w:rFonts w:ascii="Times Roman" w:hAnsi="Times Roman"/>
                <w:sz w:val="24"/>
                <w:szCs w:val="24"/>
              </w:rPr>
              <w:t>”</w:t>
            </w:r>
            <w:r>
              <w:rPr>
                <w:rFonts w:ascii="Times Roman" w:hAnsi="Times New Roman"/>
                <w:sz w:val="24"/>
                <w:szCs w:val="24"/>
              </w:rPr>
              <w:t>管理时间节点、一套问题协调闭环机制解决企业难题。</w:t>
            </w:r>
          </w:p>
        </w:tc>
        <w:tc>
          <w:tcPr>
            <w:tcW w:w="1837" w:type="dxa"/>
            <w:vAlign w:val="center"/>
          </w:tcPr>
          <w:p>
            <w:pPr>
              <w:spacing w:line="360" w:lineRule="exact"/>
              <w:jc w:val="center"/>
              <w:rPr>
                <w:rFonts w:hint="eastAsia" w:ascii="Times Roman" w:hAnsi="Times Roman"/>
                <w:sz w:val="24"/>
                <w:szCs w:val="24"/>
              </w:rPr>
            </w:pPr>
            <w:r>
              <w:rPr>
                <w:rFonts w:ascii="Times Roman" w:hAnsi="Times New Roman"/>
                <w:sz w:val="24"/>
                <w:szCs w:val="24"/>
              </w:rPr>
              <w:t>市行政审批局</w:t>
            </w:r>
          </w:p>
        </w:tc>
        <w:tc>
          <w:tcPr>
            <w:tcW w:w="1840" w:type="dxa"/>
            <w:vAlign w:val="center"/>
          </w:tcPr>
          <w:p>
            <w:pPr>
              <w:spacing w:line="360" w:lineRule="exact"/>
              <w:jc w:val="center"/>
              <w:rPr>
                <w:rFonts w:hint="eastAsia" w:ascii="Times Roman" w:hAnsi="Times Roman"/>
                <w:sz w:val="24"/>
                <w:szCs w:val="24"/>
              </w:rPr>
            </w:pPr>
            <w:r>
              <w:rPr>
                <w:rFonts w:ascii="Times Roman" w:hAnsi="Times New Roman"/>
                <w:sz w:val="24"/>
                <w:szCs w:val="24"/>
              </w:rPr>
              <w:t>市资源规划局、市住建局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3516"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项目名称</w:t>
            </w:r>
          </w:p>
        </w:tc>
        <w:tc>
          <w:tcPr>
            <w:tcW w:w="7088"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主要举措</w:t>
            </w:r>
          </w:p>
        </w:tc>
        <w:tc>
          <w:tcPr>
            <w:tcW w:w="1837"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牵头单位</w:t>
            </w:r>
          </w:p>
        </w:tc>
        <w:tc>
          <w:tcPr>
            <w:tcW w:w="1840"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参与单位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7" w:hRule="atLeast"/>
        </w:trPr>
        <w:tc>
          <w:tcPr>
            <w:tcW w:w="3516" w:type="dxa"/>
            <w:vAlign w:val="center"/>
          </w:tcPr>
          <w:p>
            <w:pPr>
              <w:spacing w:line="360" w:lineRule="exact"/>
              <w:rPr>
                <w:rFonts w:hint="eastAsia" w:ascii="Times Roman" w:hAnsi="Times Roman"/>
                <w:sz w:val="24"/>
                <w:szCs w:val="24"/>
              </w:rPr>
            </w:pPr>
            <w:r>
              <w:rPr>
                <w:rFonts w:ascii="Times Roman" w:hAnsi="Times New Roman"/>
                <w:sz w:val="24"/>
                <w:szCs w:val="24"/>
              </w:rPr>
              <w:t>（</w:t>
            </w:r>
            <w:r>
              <w:rPr>
                <w:rFonts w:hint="eastAsia" w:ascii="Times Roman" w:hAnsi="Times New Roman"/>
                <w:sz w:val="24"/>
                <w:szCs w:val="24"/>
              </w:rPr>
              <w:t>三</w:t>
            </w:r>
            <w:r>
              <w:rPr>
                <w:rFonts w:ascii="Times Roman" w:hAnsi="Times New Roman"/>
                <w:sz w:val="24"/>
                <w:szCs w:val="24"/>
              </w:rPr>
              <w:t>）高频一件事</w:t>
            </w:r>
            <w:r>
              <w:rPr>
                <w:rFonts w:ascii="Times Roman" w:hAnsi="Times Roman"/>
                <w:sz w:val="24"/>
                <w:szCs w:val="24"/>
              </w:rPr>
              <w:t>“</w:t>
            </w:r>
            <w:r>
              <w:rPr>
                <w:rFonts w:ascii="Times Roman" w:hAnsi="Times New Roman"/>
                <w:sz w:val="24"/>
                <w:szCs w:val="24"/>
              </w:rPr>
              <w:t>一网通办</w:t>
            </w:r>
            <w:r>
              <w:rPr>
                <w:rFonts w:ascii="Times Roman" w:hAnsi="Times Roman"/>
                <w:sz w:val="24"/>
                <w:szCs w:val="24"/>
              </w:rPr>
              <w:t>”</w:t>
            </w:r>
            <w:r>
              <w:rPr>
                <w:rFonts w:ascii="Times Roman" w:hAnsi="Times New Roman"/>
                <w:sz w:val="24"/>
                <w:szCs w:val="24"/>
              </w:rPr>
              <w:t>行动</w:t>
            </w:r>
          </w:p>
        </w:tc>
        <w:tc>
          <w:tcPr>
            <w:tcW w:w="7088" w:type="dxa"/>
            <w:vAlign w:val="center"/>
          </w:tcPr>
          <w:p>
            <w:pPr>
              <w:spacing w:line="360" w:lineRule="exact"/>
              <w:ind w:firstLine="480" w:firstLineChars="200"/>
              <w:rPr>
                <w:rFonts w:hint="eastAsia" w:ascii="Times Roman" w:hAnsi="Times Roman"/>
                <w:sz w:val="24"/>
                <w:szCs w:val="24"/>
              </w:rPr>
            </w:pPr>
            <w:r>
              <w:rPr>
                <w:rFonts w:ascii="Times Roman" w:hAnsi="Times Roman"/>
                <w:sz w:val="24"/>
                <w:szCs w:val="24"/>
              </w:rPr>
              <w:t>1.</w:t>
            </w:r>
            <w:r>
              <w:rPr>
                <w:rFonts w:ascii="Times Roman" w:hAnsi="Times New Roman"/>
                <w:sz w:val="24"/>
                <w:szCs w:val="24"/>
              </w:rPr>
              <w:t>推进</w:t>
            </w:r>
            <w:r>
              <w:rPr>
                <w:rFonts w:ascii="Times Roman" w:hAnsi="Times Roman"/>
                <w:sz w:val="24"/>
                <w:szCs w:val="24"/>
              </w:rPr>
              <w:t>“</w:t>
            </w:r>
            <w:r>
              <w:rPr>
                <w:rFonts w:ascii="Times Roman" w:hAnsi="Times New Roman"/>
                <w:sz w:val="24"/>
                <w:szCs w:val="24"/>
              </w:rPr>
              <w:t>一网通办</w:t>
            </w:r>
            <w:r>
              <w:rPr>
                <w:rFonts w:ascii="Times Roman" w:hAnsi="Times Roman"/>
                <w:sz w:val="24"/>
                <w:szCs w:val="24"/>
              </w:rPr>
              <w:t>”</w:t>
            </w:r>
            <w:r>
              <w:rPr>
                <w:rFonts w:ascii="Times Roman" w:hAnsi="Times New Roman"/>
                <w:sz w:val="24"/>
                <w:szCs w:val="24"/>
              </w:rPr>
              <w:t>建设，升级</w:t>
            </w:r>
            <w:r>
              <w:rPr>
                <w:rFonts w:ascii="Times Roman" w:hAnsi="Times Roman"/>
                <w:sz w:val="24"/>
                <w:szCs w:val="24"/>
              </w:rPr>
              <w:t>“</w:t>
            </w:r>
            <w:r>
              <w:rPr>
                <w:rFonts w:ascii="Times Roman" w:hAnsi="Times New Roman"/>
                <w:sz w:val="24"/>
                <w:szCs w:val="24"/>
              </w:rPr>
              <w:t>太</w:t>
            </w:r>
            <w:r>
              <w:rPr>
                <w:rFonts w:ascii="Times Roman" w:hAnsi="Times Roman"/>
                <w:sz w:val="24"/>
                <w:szCs w:val="24"/>
              </w:rPr>
              <w:t>e</w:t>
            </w:r>
            <w:r>
              <w:rPr>
                <w:rFonts w:ascii="Times Roman" w:hAnsi="Times New Roman"/>
                <w:sz w:val="24"/>
                <w:szCs w:val="24"/>
              </w:rPr>
              <w:t>办</w:t>
            </w:r>
            <w:r>
              <w:rPr>
                <w:rFonts w:ascii="Times Roman" w:hAnsi="Times Roman"/>
                <w:sz w:val="24"/>
                <w:szCs w:val="24"/>
              </w:rPr>
              <w:t>”</w:t>
            </w:r>
            <w:r>
              <w:rPr>
                <w:rFonts w:ascii="Times Roman" w:hAnsi="Times New Roman"/>
                <w:sz w:val="24"/>
                <w:szCs w:val="24"/>
              </w:rPr>
              <w:t>平台，建成</w:t>
            </w:r>
            <w:r>
              <w:rPr>
                <w:rFonts w:ascii="Times Roman" w:hAnsi="Times Roman"/>
                <w:sz w:val="24"/>
                <w:szCs w:val="24"/>
              </w:rPr>
              <w:t>“</w:t>
            </w:r>
            <w:r>
              <w:rPr>
                <w:rFonts w:ascii="Times Roman" w:hAnsi="Times New Roman"/>
                <w:sz w:val="24"/>
                <w:szCs w:val="24"/>
              </w:rPr>
              <w:t>太仓一网通办</w:t>
            </w:r>
            <w:r>
              <w:rPr>
                <w:rFonts w:ascii="Times Roman" w:hAnsi="Times Roman"/>
                <w:sz w:val="24"/>
                <w:szCs w:val="24"/>
              </w:rPr>
              <w:t>”</w:t>
            </w:r>
            <w:r>
              <w:rPr>
                <w:rFonts w:ascii="Times Roman" w:hAnsi="Times New Roman"/>
                <w:sz w:val="24"/>
                <w:szCs w:val="24"/>
              </w:rPr>
              <w:t>总门户，对面向企业和群众的所有线上线下政务服务事项，逐步做到一网受理、一次办成。</w:t>
            </w:r>
          </w:p>
          <w:p>
            <w:pPr>
              <w:spacing w:line="360" w:lineRule="exact"/>
              <w:ind w:firstLine="480" w:firstLineChars="200"/>
              <w:rPr>
                <w:rFonts w:hint="eastAsia" w:ascii="Times Roman" w:hAnsi="Times Roman"/>
                <w:sz w:val="24"/>
                <w:szCs w:val="24"/>
              </w:rPr>
            </w:pPr>
            <w:r>
              <w:rPr>
                <w:rFonts w:ascii="Times Roman" w:hAnsi="Times Roman"/>
                <w:sz w:val="24"/>
                <w:szCs w:val="24"/>
              </w:rPr>
              <w:t>2.</w:t>
            </w:r>
            <w:r>
              <w:rPr>
                <w:rFonts w:ascii="Times Roman" w:hAnsi="Times New Roman"/>
                <w:sz w:val="24"/>
                <w:szCs w:val="24"/>
              </w:rPr>
              <w:t>深化</w:t>
            </w:r>
            <w:r>
              <w:rPr>
                <w:rFonts w:ascii="Times Roman" w:hAnsi="Times Roman"/>
                <w:sz w:val="24"/>
                <w:szCs w:val="24"/>
              </w:rPr>
              <w:t>“</w:t>
            </w:r>
            <w:r>
              <w:rPr>
                <w:rFonts w:ascii="Times Roman" w:hAnsi="Times New Roman"/>
                <w:sz w:val="24"/>
                <w:szCs w:val="24"/>
              </w:rPr>
              <w:t>一件事</w:t>
            </w:r>
            <w:r>
              <w:rPr>
                <w:rFonts w:ascii="Times Roman" w:hAnsi="Times Roman"/>
                <w:sz w:val="24"/>
                <w:szCs w:val="24"/>
              </w:rPr>
              <w:t>”</w:t>
            </w:r>
            <w:r>
              <w:rPr>
                <w:rFonts w:ascii="Times Roman" w:hAnsi="Times New Roman"/>
                <w:sz w:val="24"/>
                <w:szCs w:val="24"/>
              </w:rPr>
              <w:t>改革，</w:t>
            </w:r>
            <w:r>
              <w:rPr>
                <w:rFonts w:ascii="Times Roman" w:hAnsi="Times Roman"/>
                <w:sz w:val="24"/>
                <w:szCs w:val="24"/>
              </w:rPr>
              <w:t>2021</w:t>
            </w:r>
            <w:r>
              <w:rPr>
                <w:rFonts w:ascii="Times Roman" w:hAnsi="Times New Roman"/>
                <w:sz w:val="24"/>
                <w:szCs w:val="24"/>
              </w:rPr>
              <w:t>年再推出</w:t>
            </w:r>
            <w:r>
              <w:rPr>
                <w:rFonts w:ascii="Times Roman" w:hAnsi="Times Roman"/>
                <w:sz w:val="24"/>
                <w:szCs w:val="24"/>
              </w:rPr>
              <w:t>10</w:t>
            </w:r>
            <w:r>
              <w:rPr>
                <w:rFonts w:ascii="Times Roman" w:hAnsi="Times New Roman"/>
                <w:sz w:val="24"/>
                <w:szCs w:val="24"/>
              </w:rPr>
              <w:t>项高频</w:t>
            </w:r>
            <w:r>
              <w:rPr>
                <w:rFonts w:ascii="Times Roman" w:hAnsi="Times Roman"/>
                <w:sz w:val="24"/>
                <w:szCs w:val="24"/>
              </w:rPr>
              <w:t>“</w:t>
            </w:r>
            <w:r>
              <w:rPr>
                <w:rFonts w:ascii="Times Roman" w:hAnsi="Times New Roman"/>
                <w:sz w:val="24"/>
                <w:szCs w:val="24"/>
              </w:rPr>
              <w:t>一件事</w:t>
            </w:r>
            <w:r>
              <w:rPr>
                <w:rFonts w:ascii="Times Roman" w:hAnsi="Times Roman"/>
                <w:sz w:val="24"/>
                <w:szCs w:val="24"/>
              </w:rPr>
              <w:t>”</w:t>
            </w:r>
            <w:r>
              <w:rPr>
                <w:rFonts w:ascii="Times Roman" w:hAnsi="Times New Roman"/>
                <w:sz w:val="24"/>
                <w:szCs w:val="24"/>
              </w:rPr>
              <w:t>，实现</w:t>
            </w:r>
            <w:r>
              <w:rPr>
                <w:rFonts w:ascii="Times Roman" w:hAnsi="Times Roman"/>
                <w:sz w:val="24"/>
                <w:szCs w:val="24"/>
              </w:rPr>
              <w:t xml:space="preserve"> “</w:t>
            </w:r>
            <w:r>
              <w:rPr>
                <w:rFonts w:ascii="Times Roman" w:hAnsi="Times New Roman"/>
                <w:sz w:val="24"/>
                <w:szCs w:val="24"/>
              </w:rPr>
              <w:t>线上一个平台为主，线下一个窗口为辅</w:t>
            </w:r>
            <w:r>
              <w:rPr>
                <w:rFonts w:ascii="Times Roman" w:hAnsi="Times Roman"/>
                <w:sz w:val="24"/>
                <w:szCs w:val="24"/>
              </w:rPr>
              <w:t>”</w:t>
            </w:r>
            <w:r>
              <w:rPr>
                <w:rFonts w:ascii="Times Roman" w:hAnsi="Times New Roman"/>
                <w:sz w:val="24"/>
                <w:szCs w:val="24"/>
              </w:rPr>
              <w:t>的办理模式。</w:t>
            </w:r>
          </w:p>
          <w:p>
            <w:pPr>
              <w:spacing w:line="360" w:lineRule="exact"/>
              <w:ind w:firstLine="480" w:firstLineChars="200"/>
              <w:rPr>
                <w:rFonts w:hint="eastAsia" w:ascii="Times Roman" w:hAnsi="Times Roman"/>
                <w:sz w:val="24"/>
                <w:szCs w:val="24"/>
              </w:rPr>
            </w:pPr>
            <w:r>
              <w:rPr>
                <w:rFonts w:ascii="Times Roman" w:hAnsi="Times Roman"/>
                <w:sz w:val="24"/>
                <w:szCs w:val="24"/>
              </w:rPr>
              <w:t>3.</w:t>
            </w:r>
            <w:r>
              <w:rPr>
                <w:rFonts w:ascii="Times Roman" w:hAnsi="Times New Roman"/>
                <w:sz w:val="24"/>
                <w:szCs w:val="24"/>
              </w:rPr>
              <w:t>推进高频事项</w:t>
            </w:r>
            <w:r>
              <w:rPr>
                <w:rFonts w:ascii="Times Roman" w:hAnsi="Times Roman"/>
                <w:sz w:val="24"/>
                <w:szCs w:val="24"/>
              </w:rPr>
              <w:t>“</w:t>
            </w:r>
            <w:r>
              <w:rPr>
                <w:rFonts w:ascii="Times Roman" w:hAnsi="Times New Roman"/>
                <w:sz w:val="24"/>
                <w:szCs w:val="24"/>
              </w:rPr>
              <w:t>跨省通办</w:t>
            </w:r>
            <w:r>
              <w:rPr>
                <w:rFonts w:ascii="Times Roman" w:hAnsi="Times Roman"/>
                <w:sz w:val="24"/>
                <w:szCs w:val="24"/>
              </w:rPr>
              <w:t>”</w:t>
            </w:r>
            <w:r>
              <w:rPr>
                <w:rFonts w:ascii="Times Roman" w:hAnsi="Times New Roman"/>
                <w:sz w:val="24"/>
                <w:szCs w:val="24"/>
              </w:rPr>
              <w:t>，实现市场主体登记注册、涉企经营许可、企业跨省迁移等高频事项</w:t>
            </w:r>
            <w:r>
              <w:rPr>
                <w:rFonts w:ascii="Times Roman" w:hAnsi="Times Roman"/>
                <w:sz w:val="24"/>
                <w:szCs w:val="24"/>
              </w:rPr>
              <w:t>“</w:t>
            </w:r>
            <w:r>
              <w:rPr>
                <w:rFonts w:ascii="Times Roman" w:hAnsi="Times New Roman"/>
                <w:sz w:val="24"/>
                <w:szCs w:val="24"/>
              </w:rPr>
              <w:t>异地可办</w:t>
            </w:r>
            <w:r>
              <w:rPr>
                <w:rFonts w:ascii="Times Roman" w:hAnsi="Times Roman"/>
                <w:sz w:val="24"/>
                <w:szCs w:val="24"/>
              </w:rPr>
              <w:t>”“</w:t>
            </w:r>
            <w:r>
              <w:rPr>
                <w:rFonts w:ascii="Times Roman" w:hAnsi="Times New Roman"/>
                <w:sz w:val="24"/>
                <w:szCs w:val="24"/>
              </w:rPr>
              <w:t>跨省通办</w:t>
            </w:r>
            <w:r>
              <w:rPr>
                <w:rFonts w:ascii="Times Roman" w:hAnsi="Times Roman"/>
                <w:sz w:val="24"/>
                <w:szCs w:val="24"/>
              </w:rPr>
              <w:t>”</w:t>
            </w:r>
            <w:r>
              <w:rPr>
                <w:rFonts w:ascii="Times Roman" w:hAnsi="Times New Roman"/>
                <w:sz w:val="24"/>
                <w:szCs w:val="24"/>
              </w:rPr>
              <w:t>，推进市场主体全生命周期登记事项长三角业务办理</w:t>
            </w:r>
            <w:r>
              <w:rPr>
                <w:rFonts w:ascii="Times Roman" w:hAnsi="Times Roman"/>
                <w:sz w:val="24"/>
                <w:szCs w:val="24"/>
              </w:rPr>
              <w:t>“</w:t>
            </w:r>
            <w:r>
              <w:rPr>
                <w:rFonts w:ascii="Times Roman" w:hAnsi="Times New Roman"/>
                <w:sz w:val="24"/>
                <w:szCs w:val="24"/>
              </w:rPr>
              <w:t>一体化</w:t>
            </w:r>
            <w:r>
              <w:rPr>
                <w:rFonts w:ascii="Times Roman" w:hAnsi="Times Roman"/>
                <w:sz w:val="24"/>
                <w:szCs w:val="24"/>
              </w:rPr>
              <w:t>”</w:t>
            </w:r>
            <w:r>
              <w:rPr>
                <w:rFonts w:ascii="Times Roman" w:hAnsi="Times New Roman"/>
                <w:sz w:val="24"/>
                <w:szCs w:val="24"/>
              </w:rPr>
              <w:t>协同。</w:t>
            </w:r>
          </w:p>
        </w:tc>
        <w:tc>
          <w:tcPr>
            <w:tcW w:w="1837" w:type="dxa"/>
            <w:vAlign w:val="center"/>
          </w:tcPr>
          <w:p>
            <w:pPr>
              <w:spacing w:line="360" w:lineRule="exact"/>
              <w:jc w:val="center"/>
              <w:rPr>
                <w:rFonts w:hint="eastAsia" w:ascii="Times Roman" w:hAnsi="Times Roman"/>
                <w:sz w:val="24"/>
                <w:szCs w:val="24"/>
              </w:rPr>
            </w:pPr>
            <w:r>
              <w:rPr>
                <w:rFonts w:ascii="Times Roman" w:hAnsi="Times New Roman"/>
                <w:sz w:val="24"/>
                <w:szCs w:val="24"/>
              </w:rPr>
              <w:t>市行政审批局</w:t>
            </w:r>
          </w:p>
        </w:tc>
        <w:tc>
          <w:tcPr>
            <w:tcW w:w="1840" w:type="dxa"/>
            <w:vAlign w:val="center"/>
          </w:tcPr>
          <w:p>
            <w:pPr>
              <w:autoSpaceDE w:val="0"/>
              <w:autoSpaceDN w:val="0"/>
              <w:adjustRightInd w:val="0"/>
              <w:jc w:val="left"/>
              <w:rPr>
                <w:rFonts w:ascii="Times New Roman" w:hAnsi="Times New Roman"/>
                <w:sz w:val="24"/>
                <w:szCs w:val="24"/>
              </w:rPr>
            </w:pPr>
            <w:r>
              <w:rPr>
                <w:rFonts w:ascii="Times New Roman" w:hAnsi="Times New Roman"/>
                <w:sz w:val="24"/>
                <w:szCs w:val="24"/>
              </w:rPr>
              <w:t>10 个高频“一</w:t>
            </w:r>
          </w:p>
          <w:p>
            <w:pPr>
              <w:autoSpaceDE w:val="0"/>
              <w:autoSpaceDN w:val="0"/>
              <w:adjustRightInd w:val="0"/>
              <w:jc w:val="left"/>
              <w:rPr>
                <w:rFonts w:hint="eastAsia" w:ascii="Times New Roman" w:hAnsi="Times New Roman"/>
                <w:sz w:val="24"/>
                <w:szCs w:val="24"/>
              </w:rPr>
            </w:pPr>
            <w:r>
              <w:rPr>
                <w:rFonts w:ascii="Times New Roman" w:hAnsi="Times New Roman"/>
                <w:sz w:val="24"/>
                <w:szCs w:val="24"/>
              </w:rPr>
              <w:t>件事”改革涉及单位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1" w:hRule="atLeast"/>
        </w:trPr>
        <w:tc>
          <w:tcPr>
            <w:tcW w:w="3516" w:type="dxa"/>
            <w:vAlign w:val="center"/>
          </w:tcPr>
          <w:p>
            <w:pPr>
              <w:spacing w:line="360" w:lineRule="exact"/>
              <w:rPr>
                <w:rFonts w:hint="eastAsia" w:ascii="Times Roman" w:hAnsi="Times Roman"/>
                <w:sz w:val="24"/>
                <w:szCs w:val="24"/>
              </w:rPr>
            </w:pPr>
            <w:r>
              <w:rPr>
                <w:rFonts w:ascii="Times Roman" w:hAnsi="Times New Roman"/>
                <w:sz w:val="24"/>
                <w:szCs w:val="24"/>
              </w:rPr>
              <w:t>（</w:t>
            </w:r>
            <w:r>
              <w:rPr>
                <w:rFonts w:hint="eastAsia" w:ascii="Times Roman" w:hAnsi="Times New Roman"/>
                <w:sz w:val="24"/>
                <w:szCs w:val="24"/>
              </w:rPr>
              <w:t>四</w:t>
            </w:r>
            <w:r>
              <w:rPr>
                <w:rFonts w:ascii="Times Roman" w:hAnsi="Times New Roman"/>
                <w:sz w:val="24"/>
                <w:szCs w:val="24"/>
              </w:rPr>
              <w:t>）</w:t>
            </w:r>
            <w:r>
              <w:rPr>
                <w:rFonts w:ascii="Times Roman" w:hAnsi="Times Roman"/>
                <w:sz w:val="24"/>
                <w:szCs w:val="24"/>
              </w:rPr>
              <w:t>“</w:t>
            </w:r>
            <w:r>
              <w:rPr>
                <w:rFonts w:ascii="Times Roman" w:hAnsi="Times New Roman"/>
                <w:sz w:val="24"/>
                <w:szCs w:val="24"/>
              </w:rPr>
              <w:t>互联网</w:t>
            </w:r>
            <w:r>
              <w:rPr>
                <w:rFonts w:ascii="Times Roman" w:hAnsi="Times Roman"/>
                <w:sz w:val="24"/>
                <w:szCs w:val="24"/>
              </w:rPr>
              <w:t>+</w:t>
            </w:r>
            <w:r>
              <w:rPr>
                <w:rFonts w:ascii="Times Roman" w:hAnsi="Times New Roman"/>
                <w:sz w:val="24"/>
                <w:szCs w:val="24"/>
              </w:rPr>
              <w:t>不动产登记</w:t>
            </w:r>
            <w:r>
              <w:rPr>
                <w:rFonts w:ascii="Times Roman" w:hAnsi="Times Roman"/>
                <w:sz w:val="24"/>
                <w:szCs w:val="24"/>
              </w:rPr>
              <w:t>”</w:t>
            </w:r>
            <w:r>
              <w:rPr>
                <w:rFonts w:ascii="Times Roman" w:hAnsi="Times New Roman"/>
                <w:sz w:val="24"/>
                <w:szCs w:val="24"/>
              </w:rPr>
              <w:t>行动</w:t>
            </w:r>
          </w:p>
        </w:tc>
        <w:tc>
          <w:tcPr>
            <w:tcW w:w="7088" w:type="dxa"/>
            <w:vAlign w:val="center"/>
          </w:tcPr>
          <w:p>
            <w:pPr>
              <w:spacing w:line="360" w:lineRule="exact"/>
              <w:ind w:firstLine="480" w:firstLineChars="200"/>
              <w:jc w:val="left"/>
              <w:rPr>
                <w:rFonts w:hint="eastAsia" w:ascii="Times Roman" w:hAnsi="Times Roman" w:cs="宋体"/>
                <w:sz w:val="24"/>
                <w:szCs w:val="24"/>
              </w:rPr>
            </w:pPr>
            <w:r>
              <w:rPr>
                <w:rFonts w:ascii="Times Roman"/>
                <w:sz w:val="24"/>
                <w:szCs w:val="24"/>
              </w:rPr>
              <w:t>深入推进互联网</w:t>
            </w:r>
            <w:r>
              <w:rPr>
                <w:rFonts w:ascii="Times Roman" w:hAnsi="Times Roman"/>
                <w:sz w:val="24"/>
                <w:szCs w:val="24"/>
              </w:rPr>
              <w:t>+</w:t>
            </w:r>
            <w:r>
              <w:rPr>
                <w:rFonts w:ascii="Times Roman"/>
                <w:sz w:val="24"/>
                <w:szCs w:val="24"/>
              </w:rPr>
              <w:t>不动产登记水平，利用苏易登</w:t>
            </w:r>
            <w:r>
              <w:rPr>
                <w:rFonts w:ascii="Times Roman" w:hAnsi="Times Roman"/>
                <w:sz w:val="24"/>
                <w:szCs w:val="24"/>
              </w:rPr>
              <w:t>app</w:t>
            </w:r>
            <w:r>
              <w:rPr>
                <w:rFonts w:ascii="Times Roman"/>
                <w:sz w:val="24"/>
                <w:szCs w:val="24"/>
              </w:rPr>
              <w:t>、互联网</w:t>
            </w:r>
            <w:r>
              <w:rPr>
                <w:rFonts w:ascii="Times Roman" w:hAnsi="Times Roman"/>
                <w:sz w:val="24"/>
                <w:szCs w:val="24"/>
              </w:rPr>
              <w:t>+</w:t>
            </w:r>
            <w:r>
              <w:rPr>
                <w:rFonts w:ascii="Times Roman"/>
                <w:sz w:val="24"/>
                <w:szCs w:val="24"/>
              </w:rPr>
              <w:t>银行、对接税务线上缴税，通过不动产登记全链业务数据整合应用，进一步提升不动产登记便利度与体验感。</w:t>
            </w:r>
          </w:p>
        </w:tc>
        <w:tc>
          <w:tcPr>
            <w:tcW w:w="1837" w:type="dxa"/>
            <w:vAlign w:val="center"/>
          </w:tcPr>
          <w:p>
            <w:pPr>
              <w:spacing w:line="360" w:lineRule="exact"/>
              <w:jc w:val="center"/>
              <w:rPr>
                <w:rFonts w:hint="eastAsia" w:ascii="Times Roman" w:hAnsi="Times Roman"/>
                <w:sz w:val="24"/>
                <w:szCs w:val="24"/>
              </w:rPr>
            </w:pPr>
            <w:r>
              <w:rPr>
                <w:rFonts w:ascii="Times Roman"/>
                <w:sz w:val="24"/>
                <w:szCs w:val="24"/>
              </w:rPr>
              <w:t>市资源规划局</w:t>
            </w:r>
          </w:p>
        </w:tc>
        <w:tc>
          <w:tcPr>
            <w:tcW w:w="1840" w:type="dxa"/>
            <w:vAlign w:val="center"/>
          </w:tcPr>
          <w:p>
            <w:pPr>
              <w:spacing w:line="360" w:lineRule="exact"/>
              <w:jc w:val="center"/>
              <w:rPr>
                <w:rFonts w:hint="eastAsia" w:ascii="Times Roman" w:hAnsi="Times Roman"/>
                <w:sz w:val="24"/>
                <w:szCs w:val="24"/>
              </w:rPr>
            </w:pPr>
            <w:r>
              <w:rPr>
                <w:rFonts w:ascii="Times Roman"/>
                <w:sz w:val="24"/>
                <w:szCs w:val="24"/>
              </w:rPr>
              <w:t>市行政审批局、市住建局、市税务局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trPr>
        <w:tc>
          <w:tcPr>
            <w:tcW w:w="3516" w:type="dxa"/>
            <w:vAlign w:val="center"/>
          </w:tcPr>
          <w:p>
            <w:pPr>
              <w:spacing w:line="360" w:lineRule="exact"/>
              <w:rPr>
                <w:rFonts w:hint="eastAsia" w:ascii="Times Roman" w:hAnsi="Times Roman"/>
                <w:sz w:val="24"/>
                <w:szCs w:val="24"/>
              </w:rPr>
            </w:pPr>
            <w:r>
              <w:rPr>
                <w:rFonts w:ascii="Times Roman" w:hAnsi="Times New Roman"/>
                <w:sz w:val="24"/>
                <w:szCs w:val="24"/>
              </w:rPr>
              <w:t>（</w:t>
            </w:r>
            <w:r>
              <w:rPr>
                <w:rFonts w:hint="eastAsia" w:ascii="Times Roman" w:hAnsi="Times New Roman"/>
                <w:sz w:val="24"/>
                <w:szCs w:val="24"/>
              </w:rPr>
              <w:t>五</w:t>
            </w:r>
            <w:r>
              <w:rPr>
                <w:rFonts w:ascii="Times Roman" w:hAnsi="Times New Roman"/>
                <w:sz w:val="24"/>
                <w:szCs w:val="24"/>
              </w:rPr>
              <w:t>）</w:t>
            </w:r>
            <w:r>
              <w:rPr>
                <w:rFonts w:ascii="Times Roman" w:hAnsi="Times Roman"/>
                <w:sz w:val="24"/>
                <w:szCs w:val="24"/>
              </w:rPr>
              <w:t>“</w:t>
            </w:r>
            <w:r>
              <w:rPr>
                <w:rFonts w:ascii="Times Roman" w:hAnsi="Times New Roman"/>
                <w:sz w:val="24"/>
                <w:szCs w:val="24"/>
              </w:rPr>
              <w:t>双信地</w:t>
            </w:r>
            <w:r>
              <w:rPr>
                <w:rFonts w:ascii="Times Roman" w:hAnsi="Times Roman"/>
                <w:sz w:val="24"/>
                <w:szCs w:val="24"/>
              </w:rPr>
              <w:t>”</w:t>
            </w:r>
            <w:r>
              <w:rPr>
                <w:rFonts w:ascii="Times Roman" w:hAnsi="Times New Roman"/>
                <w:sz w:val="24"/>
                <w:szCs w:val="24"/>
              </w:rPr>
              <w:t>出让模式深化改革</w:t>
            </w:r>
            <w:r>
              <w:rPr>
                <w:rFonts w:hint="eastAsia" w:ascii="Times Roman" w:hAnsi="Times New Roman"/>
                <w:sz w:val="24"/>
                <w:szCs w:val="24"/>
              </w:rPr>
              <w:t>行动</w:t>
            </w:r>
          </w:p>
        </w:tc>
        <w:tc>
          <w:tcPr>
            <w:tcW w:w="7088" w:type="dxa"/>
            <w:vAlign w:val="center"/>
          </w:tcPr>
          <w:p>
            <w:pPr>
              <w:spacing w:line="360" w:lineRule="exact"/>
              <w:ind w:firstLine="480" w:firstLineChars="200"/>
              <w:rPr>
                <w:rFonts w:hint="eastAsia" w:ascii="Times Roman" w:hAnsi="Times Roman"/>
                <w:sz w:val="24"/>
                <w:szCs w:val="24"/>
              </w:rPr>
            </w:pPr>
            <w:r>
              <w:rPr>
                <w:rFonts w:ascii="Times Roman" w:hAnsi="Times New Roman"/>
                <w:sz w:val="24"/>
                <w:szCs w:val="24"/>
              </w:rPr>
              <w:t>完善以标准地为基础的</w:t>
            </w:r>
            <w:r>
              <w:rPr>
                <w:rFonts w:ascii="Times Roman" w:hAnsi="Times Roman"/>
                <w:sz w:val="24"/>
                <w:szCs w:val="24"/>
              </w:rPr>
              <w:t>“</w:t>
            </w:r>
            <w:r>
              <w:rPr>
                <w:rFonts w:ascii="Times Roman" w:hAnsi="Times New Roman"/>
                <w:sz w:val="24"/>
                <w:szCs w:val="24"/>
              </w:rPr>
              <w:t>双信地</w:t>
            </w:r>
            <w:r>
              <w:rPr>
                <w:rFonts w:ascii="Times Roman" w:hAnsi="Times Roman"/>
                <w:sz w:val="24"/>
                <w:szCs w:val="24"/>
              </w:rPr>
              <w:t>”</w:t>
            </w:r>
            <w:r>
              <w:rPr>
                <w:rFonts w:ascii="Times Roman" w:hAnsi="Times New Roman"/>
                <w:sz w:val="24"/>
                <w:szCs w:val="24"/>
              </w:rPr>
              <w:t>出让模式，统一进行</w:t>
            </w:r>
            <w:r>
              <w:rPr>
                <w:rFonts w:ascii="Times Roman" w:hAnsi="Times Roman"/>
                <w:sz w:val="24"/>
                <w:szCs w:val="24"/>
              </w:rPr>
              <w:t>“</w:t>
            </w:r>
            <w:r>
              <w:rPr>
                <w:rFonts w:ascii="Times Roman" w:hAnsi="Times New Roman"/>
                <w:sz w:val="24"/>
                <w:szCs w:val="24"/>
              </w:rPr>
              <w:t>双信地</w:t>
            </w:r>
            <w:r>
              <w:rPr>
                <w:rFonts w:ascii="Times Roman" w:hAnsi="Times Roman"/>
                <w:sz w:val="24"/>
                <w:szCs w:val="24"/>
              </w:rPr>
              <w:t>”</w:t>
            </w:r>
            <w:r>
              <w:rPr>
                <w:rFonts w:ascii="Times Roman" w:hAnsi="Times New Roman"/>
                <w:sz w:val="24"/>
                <w:szCs w:val="24"/>
              </w:rPr>
              <w:t>前期收储、整备工作，做好</w:t>
            </w:r>
            <w:r>
              <w:rPr>
                <w:rFonts w:ascii="Times Roman" w:hAnsi="Times Roman"/>
                <w:sz w:val="24"/>
                <w:szCs w:val="24"/>
              </w:rPr>
              <w:t>“</w:t>
            </w:r>
            <w:r>
              <w:rPr>
                <w:rFonts w:ascii="Times Roman" w:hAnsi="Times New Roman"/>
                <w:sz w:val="24"/>
                <w:szCs w:val="24"/>
              </w:rPr>
              <w:t>七评合一</w:t>
            </w:r>
            <w:r>
              <w:rPr>
                <w:rFonts w:ascii="Times Roman" w:hAnsi="Times Roman"/>
                <w:sz w:val="24"/>
                <w:szCs w:val="24"/>
              </w:rPr>
              <w:t>”</w:t>
            </w:r>
            <w:r>
              <w:rPr>
                <w:rFonts w:ascii="Times Roman" w:hAnsi="Times New Roman"/>
                <w:sz w:val="24"/>
                <w:szCs w:val="24"/>
              </w:rPr>
              <w:t>，确保拿地开工的硬件条件最优化。</w:t>
            </w:r>
          </w:p>
        </w:tc>
        <w:tc>
          <w:tcPr>
            <w:tcW w:w="1837" w:type="dxa"/>
            <w:vAlign w:val="center"/>
          </w:tcPr>
          <w:p>
            <w:pPr>
              <w:spacing w:line="360" w:lineRule="exact"/>
              <w:jc w:val="center"/>
              <w:rPr>
                <w:rFonts w:hint="eastAsia" w:ascii="Times Roman" w:hAnsi="Times Roman"/>
                <w:sz w:val="24"/>
                <w:szCs w:val="24"/>
              </w:rPr>
            </w:pPr>
            <w:r>
              <w:rPr>
                <w:rFonts w:ascii="Times Roman"/>
                <w:sz w:val="24"/>
                <w:szCs w:val="24"/>
              </w:rPr>
              <w:t>市资源规划局</w:t>
            </w:r>
          </w:p>
        </w:tc>
        <w:tc>
          <w:tcPr>
            <w:tcW w:w="1840" w:type="dxa"/>
            <w:vAlign w:val="center"/>
          </w:tcPr>
          <w:p>
            <w:pPr>
              <w:spacing w:line="360" w:lineRule="exact"/>
              <w:jc w:val="center"/>
              <w:rPr>
                <w:rFonts w:hint="eastAsia" w:ascii="Times Roman" w:hAnsi="Times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516"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项目名称</w:t>
            </w:r>
          </w:p>
        </w:tc>
        <w:tc>
          <w:tcPr>
            <w:tcW w:w="7088"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主要举措</w:t>
            </w:r>
          </w:p>
        </w:tc>
        <w:tc>
          <w:tcPr>
            <w:tcW w:w="1837"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牵头单位</w:t>
            </w:r>
          </w:p>
        </w:tc>
        <w:tc>
          <w:tcPr>
            <w:tcW w:w="1840"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参与单位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rPr>
        <w:tc>
          <w:tcPr>
            <w:tcW w:w="3516" w:type="dxa"/>
            <w:vAlign w:val="center"/>
          </w:tcPr>
          <w:p>
            <w:pPr>
              <w:spacing w:line="360" w:lineRule="exact"/>
              <w:rPr>
                <w:rFonts w:hint="eastAsia" w:ascii="Times Roman" w:hAnsi="Times Roman"/>
                <w:sz w:val="24"/>
                <w:szCs w:val="24"/>
              </w:rPr>
            </w:pPr>
            <w:r>
              <w:rPr>
                <w:rFonts w:ascii="Times Roman" w:hAnsi="Times New Roman"/>
                <w:sz w:val="24"/>
                <w:szCs w:val="24"/>
              </w:rPr>
              <w:t>（</w:t>
            </w:r>
            <w:r>
              <w:rPr>
                <w:rFonts w:hint="eastAsia" w:ascii="Times Roman" w:hAnsi="Times New Roman"/>
                <w:sz w:val="24"/>
                <w:szCs w:val="24"/>
              </w:rPr>
              <w:t>六</w:t>
            </w:r>
            <w:r>
              <w:rPr>
                <w:rFonts w:ascii="Times Roman" w:hAnsi="Times New Roman"/>
                <w:sz w:val="24"/>
                <w:szCs w:val="24"/>
              </w:rPr>
              <w:t>）推进</w:t>
            </w:r>
            <w:r>
              <w:rPr>
                <w:rFonts w:ascii="Times Roman" w:hAnsi="Times Roman"/>
                <w:sz w:val="24"/>
                <w:szCs w:val="24"/>
              </w:rPr>
              <w:t>“</w:t>
            </w:r>
            <w:r>
              <w:rPr>
                <w:rFonts w:ascii="Times Roman" w:hAnsi="Times New Roman"/>
                <w:sz w:val="24"/>
                <w:szCs w:val="24"/>
              </w:rPr>
              <w:t>多测合一</w:t>
            </w:r>
            <w:r>
              <w:rPr>
                <w:rFonts w:ascii="Times Roman" w:hAnsi="Times Roman"/>
                <w:sz w:val="24"/>
                <w:szCs w:val="24"/>
              </w:rPr>
              <w:t>”</w:t>
            </w:r>
            <w:r>
              <w:rPr>
                <w:rFonts w:ascii="Times Roman" w:hAnsi="Times New Roman"/>
                <w:sz w:val="24"/>
                <w:szCs w:val="24"/>
              </w:rPr>
              <w:t>改革</w:t>
            </w:r>
            <w:r>
              <w:rPr>
                <w:rFonts w:hint="eastAsia" w:ascii="Times Roman" w:hAnsi="Times New Roman"/>
                <w:sz w:val="24"/>
                <w:szCs w:val="24"/>
              </w:rPr>
              <w:t>行动</w:t>
            </w:r>
          </w:p>
        </w:tc>
        <w:tc>
          <w:tcPr>
            <w:tcW w:w="7088" w:type="dxa"/>
            <w:vAlign w:val="center"/>
          </w:tcPr>
          <w:p>
            <w:pPr>
              <w:spacing w:line="360" w:lineRule="exact"/>
              <w:ind w:firstLine="480" w:firstLineChars="200"/>
              <w:jc w:val="left"/>
              <w:rPr>
                <w:rFonts w:hint="eastAsia" w:ascii="Times Roman" w:hAnsi="Times Roman"/>
                <w:kern w:val="0"/>
                <w:sz w:val="24"/>
                <w:szCs w:val="24"/>
              </w:rPr>
            </w:pPr>
            <w:r>
              <w:rPr>
                <w:rFonts w:ascii="Times Roman" w:hAnsi="Times Roman"/>
                <w:kern w:val="0"/>
                <w:sz w:val="24"/>
                <w:szCs w:val="24"/>
              </w:rPr>
              <w:t>改革使企业取得建设用地使用权后整个建设周期内涉及的所有测绘项目全委托一家测绘单位进行测绘，实现全建设周期“一站到底”的测绘服务，即一个建设项目只需要一家测绘单位、签立一份测绘合同、多部门共享测绘成果，大大提高了工作效率，更便民、更高效，实现了“一次委托、联合测绘、成果共享”的改革目标。</w:t>
            </w:r>
          </w:p>
        </w:tc>
        <w:tc>
          <w:tcPr>
            <w:tcW w:w="1837" w:type="dxa"/>
            <w:vAlign w:val="center"/>
          </w:tcPr>
          <w:p>
            <w:pPr>
              <w:spacing w:line="360" w:lineRule="exact"/>
              <w:jc w:val="center"/>
              <w:rPr>
                <w:rFonts w:hint="eastAsia" w:ascii="Times Roman" w:hAnsi="Times Roman"/>
                <w:sz w:val="24"/>
                <w:szCs w:val="24"/>
              </w:rPr>
            </w:pPr>
            <w:r>
              <w:rPr>
                <w:rFonts w:ascii="Times Roman" w:hAnsi="Times New Roman"/>
                <w:sz w:val="24"/>
                <w:szCs w:val="24"/>
              </w:rPr>
              <w:t>市资源规划局</w:t>
            </w:r>
          </w:p>
        </w:tc>
        <w:tc>
          <w:tcPr>
            <w:tcW w:w="1840" w:type="dxa"/>
            <w:vAlign w:val="center"/>
          </w:tcPr>
          <w:p>
            <w:pPr>
              <w:spacing w:line="360" w:lineRule="exact"/>
              <w:jc w:val="center"/>
              <w:rPr>
                <w:rFonts w:hint="eastAsia" w:ascii="Times Roman" w:hAnsi="Times Roman"/>
                <w:sz w:val="24"/>
                <w:szCs w:val="24"/>
              </w:rPr>
            </w:pPr>
            <w:r>
              <w:rPr>
                <w:rFonts w:ascii="Times Roman"/>
                <w:sz w:val="24"/>
                <w:szCs w:val="24"/>
              </w:rPr>
              <w:t>市行政审批局、市住建局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trPr>
        <w:tc>
          <w:tcPr>
            <w:tcW w:w="3516" w:type="dxa"/>
            <w:vAlign w:val="center"/>
          </w:tcPr>
          <w:p>
            <w:pPr>
              <w:spacing w:line="360" w:lineRule="exact"/>
              <w:rPr>
                <w:rFonts w:hint="eastAsia" w:ascii="Times Roman" w:hAnsi="Times Roman"/>
                <w:sz w:val="24"/>
                <w:szCs w:val="24"/>
              </w:rPr>
            </w:pPr>
            <w:r>
              <w:rPr>
                <w:rFonts w:ascii="Times Roman" w:hAnsi="Times Roman"/>
                <w:sz w:val="24"/>
                <w:szCs w:val="24"/>
              </w:rPr>
              <w:t>（</w:t>
            </w:r>
            <w:r>
              <w:rPr>
                <w:rFonts w:hint="eastAsia" w:ascii="Times Roman" w:hAnsi="Times Roman"/>
                <w:sz w:val="24"/>
                <w:szCs w:val="24"/>
              </w:rPr>
              <w:t>七</w:t>
            </w:r>
            <w:r>
              <w:rPr>
                <w:rFonts w:ascii="Times Roman" w:hAnsi="Times Roman"/>
                <w:sz w:val="24"/>
                <w:szCs w:val="24"/>
              </w:rPr>
              <w:t>）太仓税务“四化”税费服务行动</w:t>
            </w:r>
          </w:p>
        </w:tc>
        <w:tc>
          <w:tcPr>
            <w:tcW w:w="7088" w:type="dxa"/>
            <w:vAlign w:val="center"/>
          </w:tcPr>
          <w:p>
            <w:pPr>
              <w:spacing w:line="360" w:lineRule="exact"/>
              <w:ind w:firstLine="480" w:firstLineChars="200"/>
              <w:jc w:val="left"/>
              <w:rPr>
                <w:rFonts w:hint="eastAsia" w:ascii="Times Roman" w:hAnsi="Times Roman"/>
                <w:sz w:val="24"/>
                <w:szCs w:val="24"/>
              </w:rPr>
            </w:pPr>
            <w:r>
              <w:rPr>
                <w:rFonts w:ascii="Times Roman" w:hAnsi="Times Roman"/>
                <w:sz w:val="24"/>
                <w:szCs w:val="24"/>
              </w:rPr>
              <w:t>为打造市场化法治化国际化营商环境，围绕服务纳税人缴费人办税全流程，推动集约化办税途径，高效化征纳互动，便利化纠错机制，精准化靶向宣传“四化”税费服务行动，推进税费服务集约化、高效化、便利化、智能化转型。</w:t>
            </w:r>
          </w:p>
        </w:tc>
        <w:tc>
          <w:tcPr>
            <w:tcW w:w="1837" w:type="dxa"/>
            <w:vAlign w:val="center"/>
          </w:tcPr>
          <w:p>
            <w:pPr>
              <w:spacing w:line="360" w:lineRule="exact"/>
              <w:jc w:val="center"/>
              <w:rPr>
                <w:rFonts w:hint="eastAsia" w:ascii="Times Roman" w:hAnsi="Times Roman"/>
                <w:sz w:val="24"/>
                <w:szCs w:val="24"/>
              </w:rPr>
            </w:pPr>
            <w:r>
              <w:rPr>
                <w:rFonts w:ascii="Times Roman" w:hAnsi="Times Roman"/>
                <w:sz w:val="24"/>
                <w:szCs w:val="24"/>
              </w:rPr>
              <w:t>市税务局</w:t>
            </w:r>
          </w:p>
        </w:tc>
        <w:tc>
          <w:tcPr>
            <w:tcW w:w="1840" w:type="dxa"/>
            <w:vAlign w:val="center"/>
          </w:tcPr>
          <w:p>
            <w:pPr>
              <w:spacing w:line="360" w:lineRule="exact"/>
              <w:jc w:val="center"/>
              <w:rPr>
                <w:rFonts w:ascii="Times Roman" w:hAnsi="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trPr>
        <w:tc>
          <w:tcPr>
            <w:tcW w:w="3516" w:type="dxa"/>
            <w:vAlign w:val="center"/>
          </w:tcPr>
          <w:p>
            <w:pPr>
              <w:spacing w:line="360" w:lineRule="exact"/>
              <w:rPr>
                <w:rFonts w:hint="eastAsia" w:ascii="Times Roman" w:hAnsi="Times Roman"/>
                <w:sz w:val="24"/>
                <w:szCs w:val="24"/>
              </w:rPr>
            </w:pPr>
            <w:r>
              <w:rPr>
                <w:rFonts w:ascii="Times Roman" w:hAnsi="Times New Roman"/>
                <w:sz w:val="24"/>
                <w:szCs w:val="24"/>
              </w:rPr>
              <w:t>（</w:t>
            </w:r>
            <w:r>
              <w:rPr>
                <w:rFonts w:hint="eastAsia" w:ascii="Times Roman" w:hAnsi="Times New Roman"/>
                <w:sz w:val="24"/>
                <w:szCs w:val="24"/>
              </w:rPr>
              <w:t>八</w:t>
            </w:r>
            <w:r>
              <w:rPr>
                <w:rFonts w:ascii="Times Roman" w:hAnsi="Times New Roman"/>
                <w:sz w:val="24"/>
                <w:szCs w:val="24"/>
              </w:rPr>
              <w:t>）科技企业服务专班行动</w:t>
            </w:r>
          </w:p>
        </w:tc>
        <w:tc>
          <w:tcPr>
            <w:tcW w:w="7088" w:type="dxa"/>
            <w:vAlign w:val="center"/>
          </w:tcPr>
          <w:p>
            <w:pPr>
              <w:spacing w:line="360" w:lineRule="exact"/>
              <w:ind w:firstLine="480" w:firstLineChars="200"/>
              <w:jc w:val="left"/>
              <w:rPr>
                <w:rFonts w:hint="eastAsia" w:ascii="Times Roman" w:hAnsi="Times Roman"/>
                <w:sz w:val="24"/>
                <w:szCs w:val="24"/>
              </w:rPr>
            </w:pPr>
            <w:r>
              <w:rPr>
                <w:rFonts w:ascii="Times Roman" w:hAnsi="Times New Roman"/>
                <w:sz w:val="24"/>
                <w:szCs w:val="24"/>
              </w:rPr>
              <w:t>成立工作专班，按需对企业开展服务，无事不扰、有求必应。推动形成科技型中小企业</w:t>
            </w:r>
            <w:r>
              <w:rPr>
                <w:rFonts w:ascii="Times Roman" w:hAnsi="Times Roman"/>
                <w:sz w:val="24"/>
                <w:szCs w:val="24"/>
              </w:rPr>
              <w:t>—</w:t>
            </w:r>
            <w:r>
              <w:rPr>
                <w:rFonts w:ascii="Times Roman" w:hAnsi="Times New Roman"/>
                <w:sz w:val="24"/>
                <w:szCs w:val="24"/>
              </w:rPr>
              <w:t>高企</w:t>
            </w:r>
            <w:r>
              <w:rPr>
                <w:rFonts w:ascii="Times Roman" w:hAnsi="Times Roman"/>
                <w:sz w:val="24"/>
                <w:szCs w:val="24"/>
              </w:rPr>
              <w:t>—</w:t>
            </w:r>
            <w:r>
              <w:rPr>
                <w:rFonts w:ascii="Times Roman" w:hAnsi="Times New Roman"/>
                <w:sz w:val="24"/>
                <w:szCs w:val="24"/>
              </w:rPr>
              <w:t>独角兽培育企业的发展路径。打造线上、线下双创综合服务平台，提供沪苏数百家科创服务机构与技术交易平台资源，满足企业创新发展所需。</w:t>
            </w:r>
          </w:p>
        </w:tc>
        <w:tc>
          <w:tcPr>
            <w:tcW w:w="1837" w:type="dxa"/>
            <w:vAlign w:val="center"/>
          </w:tcPr>
          <w:p>
            <w:pPr>
              <w:spacing w:line="360" w:lineRule="exact"/>
              <w:jc w:val="center"/>
              <w:rPr>
                <w:rFonts w:hint="eastAsia" w:ascii="Times Roman" w:hAnsi="Times Roman"/>
                <w:sz w:val="24"/>
                <w:szCs w:val="24"/>
              </w:rPr>
            </w:pPr>
            <w:r>
              <w:rPr>
                <w:rFonts w:ascii="Times Roman" w:hAnsi="Times New Roman"/>
                <w:sz w:val="24"/>
                <w:szCs w:val="24"/>
              </w:rPr>
              <w:t>市科技局</w:t>
            </w:r>
          </w:p>
        </w:tc>
        <w:tc>
          <w:tcPr>
            <w:tcW w:w="1840" w:type="dxa"/>
            <w:vAlign w:val="center"/>
          </w:tcPr>
          <w:p>
            <w:pPr>
              <w:spacing w:line="360" w:lineRule="exact"/>
              <w:jc w:val="center"/>
              <w:rPr>
                <w:rFonts w:hint="eastAsia" w:ascii="Times Roman" w:hAnsi="Times Roman"/>
                <w:sz w:val="24"/>
                <w:szCs w:val="24"/>
              </w:rPr>
            </w:pPr>
            <w:r>
              <w:rPr>
                <w:rFonts w:ascii="Times Roman" w:hAnsi="Times New Roman"/>
                <w:sz w:val="24"/>
                <w:szCs w:val="24"/>
              </w:rPr>
              <w:t>各区镇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trPr>
        <w:tc>
          <w:tcPr>
            <w:tcW w:w="3516" w:type="dxa"/>
            <w:vAlign w:val="center"/>
          </w:tcPr>
          <w:p>
            <w:pPr>
              <w:spacing w:line="360" w:lineRule="exact"/>
              <w:rPr>
                <w:rFonts w:ascii="Times Roman" w:hAnsi="Times New Roman"/>
                <w:sz w:val="24"/>
                <w:szCs w:val="24"/>
              </w:rPr>
            </w:pPr>
            <w:r>
              <w:rPr>
                <w:rFonts w:ascii="Times Roman" w:hAnsi="Times New Roman"/>
                <w:sz w:val="24"/>
                <w:szCs w:val="24"/>
              </w:rPr>
              <w:t>（</w:t>
            </w:r>
            <w:r>
              <w:rPr>
                <w:rFonts w:hint="eastAsia" w:ascii="Times Roman" w:hAnsi="Times New Roman"/>
                <w:sz w:val="24"/>
                <w:szCs w:val="24"/>
              </w:rPr>
              <w:t>九</w:t>
            </w:r>
            <w:r>
              <w:rPr>
                <w:rFonts w:ascii="Times Roman" w:hAnsi="Times New Roman"/>
                <w:sz w:val="24"/>
                <w:szCs w:val="24"/>
              </w:rPr>
              <w:t>）</w:t>
            </w:r>
            <w:r>
              <w:rPr>
                <w:rFonts w:hint="eastAsia" w:ascii="Times Roman" w:hAnsi="Times New Roman"/>
                <w:sz w:val="24"/>
                <w:szCs w:val="24"/>
              </w:rPr>
              <w:t>“才聚太仓”创无忧行动</w:t>
            </w:r>
          </w:p>
        </w:tc>
        <w:tc>
          <w:tcPr>
            <w:tcW w:w="7088" w:type="dxa"/>
            <w:vAlign w:val="center"/>
          </w:tcPr>
          <w:p>
            <w:pPr>
              <w:spacing w:line="360" w:lineRule="exact"/>
              <w:ind w:firstLine="480" w:firstLineChars="200"/>
              <w:jc w:val="left"/>
              <w:rPr>
                <w:rFonts w:ascii="Times Roman" w:hAnsi="Times New Roman"/>
                <w:sz w:val="24"/>
                <w:szCs w:val="24"/>
              </w:rPr>
            </w:pPr>
            <w:r>
              <w:rPr>
                <w:rFonts w:hint="eastAsia" w:ascii="Times Roman" w:hAnsi="Times New Roman"/>
                <w:sz w:val="24"/>
                <w:szCs w:val="24"/>
              </w:rPr>
              <w:t>着力解决人才政策信息不对称问题，集成打造</w:t>
            </w:r>
            <w:r>
              <w:rPr>
                <w:rFonts w:ascii="Times Roman" w:hAnsi="Times New Roman"/>
                <w:sz w:val="24"/>
                <w:szCs w:val="24"/>
              </w:rPr>
              <w:t>人才政策查询、匹配、核查一体化</w:t>
            </w:r>
            <w:r>
              <w:rPr>
                <w:rFonts w:hint="eastAsia" w:ascii="Times Roman" w:hAnsi="Times New Roman"/>
                <w:sz w:val="24"/>
                <w:szCs w:val="24"/>
              </w:rPr>
              <w:t>微信</w:t>
            </w:r>
            <w:r>
              <w:rPr>
                <w:rFonts w:ascii="Times Roman" w:hAnsi="Times New Roman"/>
                <w:sz w:val="24"/>
                <w:szCs w:val="24"/>
              </w:rPr>
              <w:t>线上平台，一个入口精准匹配查询适用政策、已享受政策等情况，</w:t>
            </w:r>
            <w:r>
              <w:rPr>
                <w:rFonts w:hint="eastAsia" w:ascii="Times Roman" w:hAnsi="Times New Roman"/>
                <w:sz w:val="24"/>
                <w:szCs w:val="24"/>
              </w:rPr>
              <w:t>努力实现</w:t>
            </w:r>
            <w:r>
              <w:rPr>
                <w:rFonts w:ascii="Times Roman" w:hAnsi="Times New Roman"/>
                <w:sz w:val="24"/>
                <w:szCs w:val="24"/>
              </w:rPr>
              <w:t>“人才找政策”</w:t>
            </w:r>
            <w:r>
              <w:rPr>
                <w:rFonts w:hint="eastAsia" w:ascii="Times Roman" w:hAnsi="Times New Roman"/>
                <w:sz w:val="24"/>
                <w:szCs w:val="24"/>
              </w:rPr>
              <w:t>向</w:t>
            </w:r>
            <w:r>
              <w:rPr>
                <w:rFonts w:ascii="Times Roman" w:hAnsi="Times New Roman"/>
                <w:sz w:val="24"/>
                <w:szCs w:val="24"/>
              </w:rPr>
              <w:t>“政策找人才”</w:t>
            </w:r>
            <w:r>
              <w:rPr>
                <w:rFonts w:hint="eastAsia" w:ascii="Times Roman" w:hAnsi="Times New Roman"/>
                <w:sz w:val="24"/>
                <w:szCs w:val="24"/>
              </w:rPr>
              <w:t>转变</w:t>
            </w:r>
            <w:r>
              <w:rPr>
                <w:rFonts w:ascii="Times Roman" w:hAnsi="Times New Roman"/>
                <w:sz w:val="24"/>
                <w:szCs w:val="24"/>
              </w:rPr>
              <w:t>。</w:t>
            </w:r>
          </w:p>
        </w:tc>
        <w:tc>
          <w:tcPr>
            <w:tcW w:w="1837" w:type="dxa"/>
            <w:vAlign w:val="center"/>
          </w:tcPr>
          <w:p>
            <w:pPr>
              <w:spacing w:line="360" w:lineRule="exact"/>
              <w:jc w:val="center"/>
              <w:rPr>
                <w:rFonts w:ascii="Times Roman" w:hAnsi="Times New Roman"/>
                <w:sz w:val="24"/>
                <w:szCs w:val="24"/>
              </w:rPr>
            </w:pPr>
            <w:r>
              <w:rPr>
                <w:rFonts w:ascii="Times Roman" w:hAnsi="Times New Roman"/>
                <w:sz w:val="24"/>
                <w:szCs w:val="24"/>
              </w:rPr>
              <w:t>市</w:t>
            </w:r>
            <w:r>
              <w:rPr>
                <w:rFonts w:hint="eastAsia" w:ascii="Times Roman" w:hAnsi="Times New Roman"/>
                <w:sz w:val="24"/>
                <w:szCs w:val="24"/>
              </w:rPr>
              <w:t>人才办</w:t>
            </w:r>
          </w:p>
        </w:tc>
        <w:tc>
          <w:tcPr>
            <w:tcW w:w="1840" w:type="dxa"/>
            <w:vAlign w:val="center"/>
          </w:tcPr>
          <w:p>
            <w:pPr>
              <w:spacing w:line="360" w:lineRule="exact"/>
              <w:jc w:val="center"/>
              <w:rPr>
                <w:rFonts w:ascii="Times Roman" w:hAnsi="Times New Roman"/>
                <w:sz w:val="24"/>
                <w:szCs w:val="24"/>
              </w:rPr>
            </w:pPr>
            <w:r>
              <w:rPr>
                <w:rFonts w:ascii="Times Roman" w:hAnsi="Times New Roman"/>
                <w:sz w:val="24"/>
                <w:szCs w:val="24"/>
              </w:rPr>
              <w:t>市科技局、市人社局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3516"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项目名称</w:t>
            </w:r>
          </w:p>
        </w:tc>
        <w:tc>
          <w:tcPr>
            <w:tcW w:w="7088"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主要举措</w:t>
            </w:r>
          </w:p>
        </w:tc>
        <w:tc>
          <w:tcPr>
            <w:tcW w:w="1837"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牵头单位</w:t>
            </w:r>
          </w:p>
        </w:tc>
        <w:tc>
          <w:tcPr>
            <w:tcW w:w="1840" w:type="dxa"/>
            <w:vAlign w:val="center"/>
          </w:tcPr>
          <w:p>
            <w:pPr>
              <w:spacing w:line="360" w:lineRule="exact"/>
              <w:jc w:val="center"/>
              <w:rPr>
                <w:rFonts w:hint="eastAsia" w:ascii="Times Roman" w:hAnsi="Times Roman"/>
                <w:b/>
                <w:sz w:val="24"/>
                <w:szCs w:val="24"/>
              </w:rPr>
            </w:pPr>
            <w:r>
              <w:rPr>
                <w:rFonts w:ascii="Times Roman" w:hAnsi="Times New Roman"/>
                <w:b/>
                <w:sz w:val="24"/>
                <w:szCs w:val="24"/>
              </w:rPr>
              <w:t>参与单位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trPr>
        <w:tc>
          <w:tcPr>
            <w:tcW w:w="3516" w:type="dxa"/>
            <w:vAlign w:val="center"/>
          </w:tcPr>
          <w:p>
            <w:pPr>
              <w:spacing w:line="360" w:lineRule="exact"/>
              <w:rPr>
                <w:rFonts w:hint="eastAsia" w:ascii="Times Roman" w:hAnsi="Times Roman"/>
                <w:sz w:val="24"/>
                <w:szCs w:val="24"/>
              </w:rPr>
            </w:pPr>
            <w:r>
              <w:rPr>
                <w:rFonts w:ascii="Times Roman" w:hAnsi="Times New Roman"/>
                <w:sz w:val="24"/>
                <w:szCs w:val="24"/>
              </w:rPr>
              <w:t>（</w:t>
            </w:r>
            <w:r>
              <w:rPr>
                <w:rFonts w:hint="eastAsia" w:ascii="Times Roman" w:hAnsi="Times New Roman"/>
                <w:sz w:val="24"/>
                <w:szCs w:val="24"/>
              </w:rPr>
              <w:t>十</w:t>
            </w:r>
            <w:r>
              <w:rPr>
                <w:rFonts w:ascii="Times Roman" w:hAnsi="Times New Roman"/>
                <w:sz w:val="24"/>
                <w:szCs w:val="24"/>
              </w:rPr>
              <w:t>）</w:t>
            </w:r>
            <w:r>
              <w:rPr>
                <w:rFonts w:ascii="Times Roman" w:hAnsi="Times Roman"/>
                <w:sz w:val="24"/>
                <w:szCs w:val="24"/>
              </w:rPr>
              <w:t>“</w:t>
            </w:r>
            <w:r>
              <w:rPr>
                <w:rFonts w:ascii="Times Roman" w:hAnsi="Times New Roman"/>
                <w:sz w:val="24"/>
                <w:szCs w:val="24"/>
              </w:rPr>
              <w:t>获得电力</w:t>
            </w:r>
            <w:r>
              <w:rPr>
                <w:rFonts w:ascii="Times Roman" w:hAnsi="Times Roman"/>
                <w:sz w:val="24"/>
                <w:szCs w:val="24"/>
              </w:rPr>
              <w:t>”</w:t>
            </w:r>
            <w:r>
              <w:rPr>
                <w:rFonts w:ascii="Times Roman" w:hAnsi="Times New Roman"/>
                <w:sz w:val="24"/>
                <w:szCs w:val="24"/>
              </w:rPr>
              <w:t>优质服务提升行动</w:t>
            </w:r>
          </w:p>
        </w:tc>
        <w:tc>
          <w:tcPr>
            <w:tcW w:w="7088" w:type="dxa"/>
            <w:vAlign w:val="center"/>
          </w:tcPr>
          <w:p>
            <w:pPr>
              <w:spacing w:line="360" w:lineRule="exact"/>
              <w:ind w:firstLine="480" w:firstLineChars="200"/>
              <w:rPr>
                <w:rFonts w:hint="eastAsia" w:ascii="Times Roman" w:hAnsi="Times Roman"/>
                <w:sz w:val="24"/>
                <w:szCs w:val="24"/>
              </w:rPr>
            </w:pPr>
            <w:r>
              <w:rPr>
                <w:rFonts w:ascii="Times Roman" w:hAnsi="Times Roman"/>
                <w:sz w:val="24"/>
                <w:szCs w:val="24"/>
              </w:rPr>
              <w:t>1.</w:t>
            </w:r>
            <w:r>
              <w:rPr>
                <w:rFonts w:ascii="Times Roman" w:hAnsi="Times New Roman"/>
                <w:sz w:val="24"/>
                <w:szCs w:val="24"/>
              </w:rPr>
              <w:t>建成</w:t>
            </w:r>
            <w:r>
              <w:rPr>
                <w:rFonts w:ascii="Times Roman" w:hAnsi="Times Roman"/>
                <w:sz w:val="24"/>
                <w:szCs w:val="24"/>
              </w:rPr>
              <w:t>“</w:t>
            </w:r>
            <w:r>
              <w:rPr>
                <w:rFonts w:ascii="Times Roman" w:hAnsi="Times New Roman"/>
                <w:sz w:val="24"/>
                <w:szCs w:val="24"/>
              </w:rPr>
              <w:t>中德产业园开门接电示范区</w:t>
            </w:r>
            <w:r>
              <w:rPr>
                <w:rFonts w:ascii="Times Roman" w:hAnsi="Times Roman"/>
                <w:sz w:val="24"/>
                <w:szCs w:val="24"/>
              </w:rPr>
              <w:t>”</w:t>
            </w:r>
            <w:r>
              <w:rPr>
                <w:rFonts w:ascii="Times Roman" w:hAnsi="Times New Roman"/>
                <w:sz w:val="24"/>
                <w:szCs w:val="24"/>
              </w:rPr>
              <w:t>。</w:t>
            </w:r>
          </w:p>
          <w:p>
            <w:pPr>
              <w:spacing w:line="360" w:lineRule="exact"/>
              <w:ind w:firstLine="480" w:firstLineChars="200"/>
              <w:rPr>
                <w:rFonts w:hint="eastAsia" w:ascii="Times Roman" w:hAnsi="Times Roman"/>
                <w:sz w:val="24"/>
                <w:szCs w:val="24"/>
              </w:rPr>
            </w:pPr>
            <w:r>
              <w:rPr>
                <w:rFonts w:ascii="Times Roman" w:hAnsi="Times Roman"/>
                <w:sz w:val="24"/>
                <w:szCs w:val="24"/>
              </w:rPr>
              <w:t>2.</w:t>
            </w:r>
            <w:r>
              <w:rPr>
                <w:rFonts w:ascii="Times Roman" w:hAnsi="Times New Roman"/>
                <w:sz w:val="24"/>
                <w:szCs w:val="24"/>
              </w:rPr>
              <w:t>实现数字人民币扫码交电费。</w:t>
            </w:r>
          </w:p>
          <w:p>
            <w:pPr>
              <w:spacing w:line="360" w:lineRule="exact"/>
              <w:ind w:firstLine="480" w:firstLineChars="200"/>
              <w:rPr>
                <w:rFonts w:hint="eastAsia" w:ascii="Times Roman" w:hAnsi="Times Roman"/>
                <w:sz w:val="24"/>
                <w:szCs w:val="24"/>
              </w:rPr>
            </w:pPr>
            <w:r>
              <w:rPr>
                <w:rFonts w:ascii="Times Roman" w:hAnsi="Times Roman"/>
                <w:sz w:val="24"/>
                <w:szCs w:val="24"/>
              </w:rPr>
              <w:t>3.</w:t>
            </w:r>
            <w:r>
              <w:rPr>
                <w:rFonts w:ascii="Times Roman" w:hAnsi="Times New Roman"/>
                <w:sz w:val="24"/>
                <w:szCs w:val="24"/>
              </w:rPr>
              <w:t>推行居民充电桩报装线上审批，实现居民充电桩审批</w:t>
            </w:r>
            <w:r>
              <w:rPr>
                <w:rFonts w:ascii="Times Roman" w:hAnsi="Times Roman"/>
                <w:sz w:val="24"/>
                <w:szCs w:val="24"/>
              </w:rPr>
              <w:t>“</w:t>
            </w:r>
            <w:r>
              <w:rPr>
                <w:rFonts w:ascii="Times Roman" w:hAnsi="Times New Roman"/>
                <w:sz w:val="24"/>
                <w:szCs w:val="24"/>
              </w:rPr>
              <w:t>一次都不跑</w:t>
            </w:r>
            <w:r>
              <w:rPr>
                <w:rFonts w:ascii="Times Roman" w:hAnsi="Times Roman"/>
                <w:sz w:val="24"/>
                <w:szCs w:val="24"/>
              </w:rPr>
              <w:t>”</w:t>
            </w:r>
            <w:r>
              <w:rPr>
                <w:rFonts w:ascii="Times Roman" w:hAnsi="Times New Roman"/>
                <w:sz w:val="24"/>
                <w:szCs w:val="24"/>
              </w:rPr>
              <w:t>。</w:t>
            </w:r>
          </w:p>
        </w:tc>
        <w:tc>
          <w:tcPr>
            <w:tcW w:w="1837" w:type="dxa"/>
            <w:vAlign w:val="center"/>
          </w:tcPr>
          <w:p>
            <w:pPr>
              <w:spacing w:line="360" w:lineRule="exact"/>
              <w:jc w:val="center"/>
              <w:rPr>
                <w:rFonts w:hint="eastAsia" w:ascii="Times Roman" w:hAnsi="Times Roman"/>
                <w:sz w:val="24"/>
                <w:szCs w:val="24"/>
              </w:rPr>
            </w:pPr>
            <w:r>
              <w:rPr>
                <w:rFonts w:hint="eastAsia" w:ascii="Times Roman" w:hAnsi="Times New Roman"/>
                <w:sz w:val="24"/>
                <w:szCs w:val="24"/>
              </w:rPr>
              <w:t>供电公司</w:t>
            </w:r>
          </w:p>
        </w:tc>
        <w:tc>
          <w:tcPr>
            <w:tcW w:w="1840" w:type="dxa"/>
            <w:vAlign w:val="center"/>
          </w:tcPr>
          <w:p>
            <w:pPr>
              <w:spacing w:line="360" w:lineRule="exact"/>
              <w:jc w:val="center"/>
              <w:rPr>
                <w:rFonts w:hint="eastAsia" w:ascii="Times Roman" w:hAnsi="Times Roman"/>
                <w:sz w:val="24"/>
                <w:szCs w:val="24"/>
              </w:rPr>
            </w:pPr>
            <w:r>
              <w:rPr>
                <w:rFonts w:ascii="Times Roman" w:hAnsi="Times New Roman"/>
                <w:sz w:val="24"/>
                <w:szCs w:val="24"/>
              </w:rPr>
              <w:t>市行政审批局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3516" w:type="dxa"/>
            <w:vAlign w:val="center"/>
          </w:tcPr>
          <w:p>
            <w:pPr>
              <w:spacing w:line="360" w:lineRule="exact"/>
              <w:jc w:val="left"/>
              <w:rPr>
                <w:rFonts w:hint="eastAsia" w:ascii="Times Roman" w:hAnsi="Times Roman"/>
                <w:sz w:val="24"/>
                <w:szCs w:val="24"/>
              </w:rPr>
            </w:pPr>
            <w:r>
              <w:rPr>
                <w:rFonts w:ascii="Times Roman" w:hAnsi="Times Roman"/>
                <w:sz w:val="24"/>
                <w:szCs w:val="24"/>
              </w:rPr>
              <w:t>（</w:t>
            </w:r>
            <w:r>
              <w:rPr>
                <w:rFonts w:hint="eastAsia" w:ascii="Times Roman" w:hAnsi="Times Roman"/>
                <w:sz w:val="24"/>
                <w:szCs w:val="24"/>
              </w:rPr>
              <w:t>十一</w:t>
            </w:r>
            <w:r>
              <w:rPr>
                <w:rFonts w:ascii="Times Roman" w:hAnsi="Times Roman"/>
                <w:sz w:val="24"/>
                <w:szCs w:val="24"/>
              </w:rPr>
              <w:t>）推进全市“双随机、一公开”监管工作及监管执法信息公开</w:t>
            </w:r>
            <w:r>
              <w:rPr>
                <w:rFonts w:hint="eastAsia" w:ascii="Times Roman" w:hAnsi="Times Roman"/>
                <w:sz w:val="24"/>
                <w:szCs w:val="24"/>
              </w:rPr>
              <w:t>行动</w:t>
            </w:r>
          </w:p>
        </w:tc>
        <w:tc>
          <w:tcPr>
            <w:tcW w:w="7088" w:type="dxa"/>
            <w:vAlign w:val="center"/>
          </w:tcPr>
          <w:p>
            <w:pPr>
              <w:spacing w:line="360" w:lineRule="exact"/>
              <w:ind w:firstLine="480" w:firstLineChars="200"/>
              <w:rPr>
                <w:rFonts w:hint="eastAsia" w:ascii="Times Roman" w:hAnsi="Times Roman"/>
                <w:sz w:val="24"/>
                <w:szCs w:val="24"/>
              </w:rPr>
            </w:pPr>
            <w:r>
              <w:rPr>
                <w:rFonts w:ascii="Times Roman"/>
                <w:sz w:val="24"/>
                <w:szCs w:val="24"/>
              </w:rPr>
              <w:t>牵头全市各镇区各部门全面完成省营商环境考核市场监管领域相关指标。一是深入推进双随机监管工作，依托省市场监管平台规范开展工作。二是全面落实执法监管信息公开工作，提高全市执法监管信息归集覆盖率、公示率、数据类型。</w:t>
            </w:r>
          </w:p>
        </w:tc>
        <w:tc>
          <w:tcPr>
            <w:tcW w:w="1837" w:type="dxa"/>
            <w:vAlign w:val="center"/>
          </w:tcPr>
          <w:p>
            <w:pPr>
              <w:spacing w:line="360" w:lineRule="exact"/>
              <w:jc w:val="center"/>
              <w:rPr>
                <w:rFonts w:hint="eastAsia" w:ascii="Times Roman" w:hAnsi="Times Roman"/>
                <w:sz w:val="24"/>
                <w:szCs w:val="24"/>
              </w:rPr>
            </w:pPr>
            <w:r>
              <w:rPr>
                <w:rFonts w:ascii="Times Roman"/>
                <w:sz w:val="24"/>
                <w:szCs w:val="24"/>
              </w:rPr>
              <w:t>市市场监管局</w:t>
            </w:r>
          </w:p>
        </w:tc>
        <w:tc>
          <w:tcPr>
            <w:tcW w:w="1840" w:type="dxa"/>
            <w:vAlign w:val="center"/>
          </w:tcPr>
          <w:p>
            <w:pPr>
              <w:spacing w:line="360" w:lineRule="exact"/>
              <w:jc w:val="center"/>
              <w:rPr>
                <w:rFonts w:hint="eastAsia" w:ascii="Times Roman" w:hAnsi="Times Roman"/>
                <w:sz w:val="24"/>
                <w:szCs w:val="24"/>
              </w:rPr>
            </w:pPr>
            <w:r>
              <w:rPr>
                <w:rFonts w:ascii="Times Roman" w:hAnsi="Times New Roman"/>
                <w:sz w:val="24"/>
                <w:szCs w:val="24"/>
              </w:rPr>
              <w:t>各镇（街道）、各相关部门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trPr>
        <w:tc>
          <w:tcPr>
            <w:tcW w:w="3516" w:type="dxa"/>
            <w:vAlign w:val="center"/>
          </w:tcPr>
          <w:p>
            <w:pPr>
              <w:spacing w:line="360" w:lineRule="exact"/>
              <w:rPr>
                <w:rStyle w:val="12"/>
                <w:sz w:val="24"/>
                <w:szCs w:val="24"/>
              </w:rPr>
            </w:pPr>
            <w:r>
              <w:rPr>
                <w:rFonts w:ascii="Times Roman" w:hAnsi="Times New Roman"/>
                <w:sz w:val="24"/>
                <w:szCs w:val="24"/>
              </w:rPr>
              <w:t>（十</w:t>
            </w:r>
            <w:r>
              <w:rPr>
                <w:rFonts w:hint="eastAsia" w:ascii="Times Roman" w:hAnsi="Times New Roman"/>
                <w:sz w:val="24"/>
                <w:szCs w:val="24"/>
              </w:rPr>
              <w:t>二</w:t>
            </w:r>
            <w:r>
              <w:rPr>
                <w:rFonts w:ascii="Times Roman" w:hAnsi="Times New Roman"/>
                <w:sz w:val="24"/>
                <w:szCs w:val="24"/>
              </w:rPr>
              <w:t>）</w:t>
            </w:r>
            <w:r>
              <w:rPr>
                <w:rStyle w:val="12"/>
                <w:sz w:val="24"/>
                <w:szCs w:val="24"/>
              </w:rPr>
              <w:t>建立知识产权保护协调联动机制</w:t>
            </w:r>
            <w:r>
              <w:rPr>
                <w:rStyle w:val="12"/>
                <w:rFonts w:hint="eastAsia"/>
                <w:sz w:val="24"/>
                <w:szCs w:val="24"/>
              </w:rPr>
              <w:t>行动</w:t>
            </w:r>
          </w:p>
        </w:tc>
        <w:tc>
          <w:tcPr>
            <w:tcW w:w="7088" w:type="dxa"/>
            <w:vAlign w:val="center"/>
          </w:tcPr>
          <w:p>
            <w:pPr>
              <w:spacing w:line="360" w:lineRule="exact"/>
              <w:ind w:firstLine="480" w:firstLineChars="200"/>
              <w:jc w:val="left"/>
              <w:rPr>
                <w:rFonts w:ascii="Times Roman"/>
                <w:sz w:val="24"/>
                <w:szCs w:val="24"/>
              </w:rPr>
            </w:pPr>
            <w:r>
              <w:rPr>
                <w:rFonts w:ascii="Times Roman"/>
                <w:sz w:val="24"/>
                <w:szCs w:val="24"/>
              </w:rPr>
              <w:t>1.在市场监督管理局设立巡回审判点，常态化开展知识产权案件巡回审判。</w:t>
            </w:r>
          </w:p>
          <w:p>
            <w:pPr>
              <w:spacing w:line="360" w:lineRule="exact"/>
              <w:ind w:firstLine="480" w:firstLineChars="200"/>
              <w:jc w:val="left"/>
              <w:rPr>
                <w:rFonts w:ascii="Times Roman"/>
                <w:sz w:val="24"/>
                <w:szCs w:val="24"/>
              </w:rPr>
            </w:pPr>
            <w:r>
              <w:rPr>
                <w:rFonts w:ascii="Times Roman"/>
                <w:sz w:val="24"/>
                <w:szCs w:val="24"/>
              </w:rPr>
              <w:t>2.建立个案联动保护机制，针对重大知识产权侵权案件，相互协作，做好证据保全。</w:t>
            </w:r>
          </w:p>
          <w:p>
            <w:pPr>
              <w:spacing w:line="360" w:lineRule="exact"/>
              <w:ind w:firstLine="480" w:firstLineChars="200"/>
              <w:jc w:val="left"/>
              <w:rPr>
                <w:rFonts w:ascii="Times Roman"/>
                <w:sz w:val="24"/>
                <w:szCs w:val="24"/>
              </w:rPr>
            </w:pPr>
            <w:r>
              <w:rPr>
                <w:rFonts w:ascii="Times Roman"/>
                <w:sz w:val="24"/>
                <w:szCs w:val="24"/>
              </w:rPr>
              <w:t>3.建立知识产权疑难复杂问题沟通交流机制，定期开展疑难复杂问题研讨，提高司法和行政执法的水平。</w:t>
            </w:r>
          </w:p>
        </w:tc>
        <w:tc>
          <w:tcPr>
            <w:tcW w:w="1837" w:type="dxa"/>
            <w:vAlign w:val="center"/>
          </w:tcPr>
          <w:p>
            <w:pPr>
              <w:spacing w:line="360" w:lineRule="exact"/>
              <w:jc w:val="center"/>
              <w:rPr>
                <w:rStyle w:val="12"/>
                <w:sz w:val="24"/>
                <w:szCs w:val="24"/>
              </w:rPr>
            </w:pPr>
            <w:r>
              <w:rPr>
                <w:rStyle w:val="12"/>
                <w:sz w:val="24"/>
                <w:szCs w:val="24"/>
              </w:rPr>
              <w:t>市法院</w:t>
            </w:r>
          </w:p>
        </w:tc>
        <w:tc>
          <w:tcPr>
            <w:tcW w:w="1840" w:type="dxa"/>
            <w:vAlign w:val="center"/>
          </w:tcPr>
          <w:p>
            <w:pPr>
              <w:spacing w:line="360" w:lineRule="exact"/>
              <w:jc w:val="center"/>
              <w:rPr>
                <w:rStyle w:val="12"/>
                <w:sz w:val="24"/>
                <w:szCs w:val="24"/>
              </w:rPr>
            </w:pPr>
            <w:r>
              <w:rPr>
                <w:rStyle w:val="12"/>
                <w:sz w:val="24"/>
                <w:szCs w:val="24"/>
              </w:rPr>
              <w:t>市市场监管局，市检察院、</w:t>
            </w:r>
            <w:r>
              <w:rPr>
                <w:rStyle w:val="12"/>
                <w:rFonts w:hint="eastAsia"/>
                <w:sz w:val="24"/>
                <w:szCs w:val="24"/>
              </w:rPr>
              <w:t>市</w:t>
            </w:r>
            <w:r>
              <w:rPr>
                <w:rStyle w:val="12"/>
                <w:sz w:val="24"/>
                <w:szCs w:val="24"/>
              </w:rPr>
              <w:t>公安局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2" w:hRule="atLeast"/>
        </w:trPr>
        <w:tc>
          <w:tcPr>
            <w:tcW w:w="3516" w:type="dxa"/>
            <w:vAlign w:val="center"/>
          </w:tcPr>
          <w:p>
            <w:pPr>
              <w:spacing w:line="360" w:lineRule="exact"/>
              <w:rPr>
                <w:rFonts w:hint="eastAsia" w:ascii="Times Roman" w:hAnsi="Times Roman"/>
                <w:sz w:val="24"/>
                <w:szCs w:val="24"/>
              </w:rPr>
            </w:pPr>
            <w:r>
              <w:rPr>
                <w:rFonts w:ascii="Times Roman" w:hAnsi="Times New Roman"/>
                <w:sz w:val="24"/>
                <w:szCs w:val="24"/>
              </w:rPr>
              <w:t>（十</w:t>
            </w:r>
            <w:r>
              <w:rPr>
                <w:rFonts w:hint="eastAsia" w:ascii="Times Roman" w:hAnsi="Times New Roman"/>
                <w:sz w:val="24"/>
                <w:szCs w:val="24"/>
              </w:rPr>
              <w:t>三</w:t>
            </w:r>
            <w:r>
              <w:rPr>
                <w:rFonts w:ascii="Times Roman" w:hAnsi="Times New Roman"/>
                <w:sz w:val="24"/>
                <w:szCs w:val="24"/>
              </w:rPr>
              <w:t>）</w:t>
            </w:r>
            <w:r>
              <w:rPr>
                <w:rStyle w:val="12"/>
                <w:sz w:val="24"/>
                <w:szCs w:val="24"/>
              </w:rPr>
              <w:t>破产案件办理优化整合行动</w:t>
            </w:r>
          </w:p>
        </w:tc>
        <w:tc>
          <w:tcPr>
            <w:tcW w:w="7088" w:type="dxa"/>
            <w:vAlign w:val="center"/>
          </w:tcPr>
          <w:p>
            <w:pPr>
              <w:spacing w:line="360" w:lineRule="exact"/>
              <w:ind w:firstLine="480" w:firstLineChars="200"/>
              <w:rPr>
                <w:rFonts w:ascii="Times Roman"/>
                <w:sz w:val="24"/>
                <w:szCs w:val="24"/>
              </w:rPr>
            </w:pPr>
            <w:r>
              <w:rPr>
                <w:rFonts w:ascii="Times Roman"/>
                <w:sz w:val="24"/>
                <w:szCs w:val="24"/>
              </w:rPr>
              <w:t>1.依托破产审判团队的专业化建设，密切与执行部门的双向业务衔接，合力解决执行难。</w:t>
            </w:r>
          </w:p>
          <w:p>
            <w:pPr>
              <w:spacing w:line="360" w:lineRule="exact"/>
              <w:ind w:firstLine="480" w:firstLineChars="200"/>
              <w:rPr>
                <w:rFonts w:ascii="Times Roman"/>
                <w:sz w:val="24"/>
                <w:szCs w:val="24"/>
              </w:rPr>
            </w:pPr>
            <w:r>
              <w:rPr>
                <w:rFonts w:hint="eastAsia" w:ascii="Times Roman"/>
                <w:sz w:val="24"/>
                <w:szCs w:val="24"/>
              </w:rPr>
              <w:t>2</w:t>
            </w:r>
            <w:r>
              <w:rPr>
                <w:rFonts w:ascii="Times Roman"/>
                <w:sz w:val="24"/>
                <w:szCs w:val="24"/>
              </w:rPr>
              <w:t>.充分发挥府院联动机制长效性实质化运转效能，为“僵尸企业”快速出清、市场要素优化配置提供助力。</w:t>
            </w:r>
          </w:p>
        </w:tc>
        <w:tc>
          <w:tcPr>
            <w:tcW w:w="1837" w:type="dxa"/>
            <w:vAlign w:val="center"/>
          </w:tcPr>
          <w:p>
            <w:pPr>
              <w:spacing w:line="360" w:lineRule="exact"/>
              <w:jc w:val="center"/>
              <w:rPr>
                <w:rFonts w:hint="eastAsia" w:ascii="Times Roman" w:hAnsi="Times Roman"/>
                <w:sz w:val="24"/>
                <w:szCs w:val="24"/>
              </w:rPr>
            </w:pPr>
            <w:r>
              <w:rPr>
                <w:rFonts w:ascii="Times Roman" w:hAnsi="Times New Roman"/>
                <w:sz w:val="24"/>
                <w:szCs w:val="24"/>
              </w:rPr>
              <w:t>市法院</w:t>
            </w:r>
          </w:p>
        </w:tc>
        <w:tc>
          <w:tcPr>
            <w:tcW w:w="1840" w:type="dxa"/>
            <w:vAlign w:val="center"/>
          </w:tcPr>
          <w:p>
            <w:pPr>
              <w:spacing w:line="360" w:lineRule="exact"/>
              <w:jc w:val="center"/>
              <w:rPr>
                <w:rFonts w:hint="eastAsia" w:ascii="Times Roman" w:hAnsi="Times Roman"/>
                <w:sz w:val="24"/>
                <w:szCs w:val="24"/>
              </w:rPr>
            </w:pPr>
            <w:r>
              <w:rPr>
                <w:rStyle w:val="12"/>
                <w:sz w:val="24"/>
                <w:szCs w:val="24"/>
              </w:rPr>
              <w:t>市税务局</w:t>
            </w:r>
          </w:p>
        </w:tc>
      </w:tr>
    </w:tbl>
    <w:p>
      <w:pPr>
        <w:spacing w:line="200" w:lineRule="exact"/>
        <w:rPr>
          <w:rFonts w:ascii="Times New Roman" w:hAnsi="Times New Roman" w:eastAsia="楷体_GB2312"/>
          <w:sz w:val="32"/>
          <w:szCs w:val="32"/>
        </w:rPr>
      </w:pPr>
    </w:p>
    <w:sectPr>
      <w:pgSz w:w="16838" w:h="11906" w:orient="landscape"/>
      <w:pgMar w:top="2041" w:right="1531" w:bottom="1928"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Times Roman">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lang w:val="zh-CN"/>
      </w:rPr>
      <w:t>28</w:t>
    </w:r>
    <w:r>
      <w:rPr>
        <w:rFonts w:ascii="Times New Roman" w:hAnsi="Times New Roman"/>
        <w:sz w:val="21"/>
        <w:szCs w:val="21"/>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A1B9A"/>
    <w:rsid w:val="00001B69"/>
    <w:rsid w:val="0000385D"/>
    <w:rsid w:val="000039F5"/>
    <w:rsid w:val="00004DCF"/>
    <w:rsid w:val="00006FE6"/>
    <w:rsid w:val="00011D03"/>
    <w:rsid w:val="000121AC"/>
    <w:rsid w:val="00015312"/>
    <w:rsid w:val="000205C4"/>
    <w:rsid w:val="00022F4C"/>
    <w:rsid w:val="00025959"/>
    <w:rsid w:val="00027186"/>
    <w:rsid w:val="000327CC"/>
    <w:rsid w:val="00034929"/>
    <w:rsid w:val="00034AAB"/>
    <w:rsid w:val="00035095"/>
    <w:rsid w:val="000365C5"/>
    <w:rsid w:val="000369FF"/>
    <w:rsid w:val="00037622"/>
    <w:rsid w:val="00037C53"/>
    <w:rsid w:val="00040603"/>
    <w:rsid w:val="00042024"/>
    <w:rsid w:val="00043550"/>
    <w:rsid w:val="00043D99"/>
    <w:rsid w:val="00046943"/>
    <w:rsid w:val="00050738"/>
    <w:rsid w:val="00050AB3"/>
    <w:rsid w:val="000522A5"/>
    <w:rsid w:val="00052582"/>
    <w:rsid w:val="00052F82"/>
    <w:rsid w:val="0005322B"/>
    <w:rsid w:val="0005516B"/>
    <w:rsid w:val="0005574F"/>
    <w:rsid w:val="00055D88"/>
    <w:rsid w:val="0005699C"/>
    <w:rsid w:val="00056E36"/>
    <w:rsid w:val="00060FBB"/>
    <w:rsid w:val="0006664A"/>
    <w:rsid w:val="00067DEA"/>
    <w:rsid w:val="0007036E"/>
    <w:rsid w:val="0007182D"/>
    <w:rsid w:val="000737DD"/>
    <w:rsid w:val="0007465A"/>
    <w:rsid w:val="00082606"/>
    <w:rsid w:val="0008506A"/>
    <w:rsid w:val="00086235"/>
    <w:rsid w:val="00087CE9"/>
    <w:rsid w:val="00087E84"/>
    <w:rsid w:val="00090B79"/>
    <w:rsid w:val="0009398A"/>
    <w:rsid w:val="000956FE"/>
    <w:rsid w:val="00097935"/>
    <w:rsid w:val="000A0965"/>
    <w:rsid w:val="000A2B4A"/>
    <w:rsid w:val="000A56DA"/>
    <w:rsid w:val="000A5BCA"/>
    <w:rsid w:val="000A60B0"/>
    <w:rsid w:val="000A7E60"/>
    <w:rsid w:val="000A7E61"/>
    <w:rsid w:val="000B0E36"/>
    <w:rsid w:val="000B216F"/>
    <w:rsid w:val="000B21D0"/>
    <w:rsid w:val="000B3E72"/>
    <w:rsid w:val="000B72DF"/>
    <w:rsid w:val="000B77EE"/>
    <w:rsid w:val="000C20C2"/>
    <w:rsid w:val="000C2422"/>
    <w:rsid w:val="000C3262"/>
    <w:rsid w:val="000C46B4"/>
    <w:rsid w:val="000C5EC2"/>
    <w:rsid w:val="000C64BE"/>
    <w:rsid w:val="000C652C"/>
    <w:rsid w:val="000C6763"/>
    <w:rsid w:val="000D054D"/>
    <w:rsid w:val="000D0B79"/>
    <w:rsid w:val="000D2904"/>
    <w:rsid w:val="000D4D73"/>
    <w:rsid w:val="000D59D6"/>
    <w:rsid w:val="000D5AC1"/>
    <w:rsid w:val="000D5CD1"/>
    <w:rsid w:val="000D6A47"/>
    <w:rsid w:val="000D6A9B"/>
    <w:rsid w:val="000D7EE5"/>
    <w:rsid w:val="000E1A34"/>
    <w:rsid w:val="000E4547"/>
    <w:rsid w:val="000E67B4"/>
    <w:rsid w:val="000E6E34"/>
    <w:rsid w:val="000E738B"/>
    <w:rsid w:val="000E7D24"/>
    <w:rsid w:val="000F25B6"/>
    <w:rsid w:val="000F6D8B"/>
    <w:rsid w:val="000F7104"/>
    <w:rsid w:val="000F7A41"/>
    <w:rsid w:val="00101F11"/>
    <w:rsid w:val="00102E40"/>
    <w:rsid w:val="0010559C"/>
    <w:rsid w:val="00105B68"/>
    <w:rsid w:val="001064E9"/>
    <w:rsid w:val="00106A86"/>
    <w:rsid w:val="00110041"/>
    <w:rsid w:val="0011060E"/>
    <w:rsid w:val="0011256C"/>
    <w:rsid w:val="00114E20"/>
    <w:rsid w:val="00115A51"/>
    <w:rsid w:val="00117836"/>
    <w:rsid w:val="001211D5"/>
    <w:rsid w:val="00122799"/>
    <w:rsid w:val="001242B9"/>
    <w:rsid w:val="001244F2"/>
    <w:rsid w:val="00124613"/>
    <w:rsid w:val="0012742C"/>
    <w:rsid w:val="00133D83"/>
    <w:rsid w:val="0013607C"/>
    <w:rsid w:val="00136A1C"/>
    <w:rsid w:val="00141FDE"/>
    <w:rsid w:val="00142C16"/>
    <w:rsid w:val="00142EE6"/>
    <w:rsid w:val="00144B17"/>
    <w:rsid w:val="00145C47"/>
    <w:rsid w:val="001503ED"/>
    <w:rsid w:val="00151A91"/>
    <w:rsid w:val="00156096"/>
    <w:rsid w:val="001571D6"/>
    <w:rsid w:val="00162A4A"/>
    <w:rsid w:val="001636DA"/>
    <w:rsid w:val="00164587"/>
    <w:rsid w:val="00165E9A"/>
    <w:rsid w:val="00166E8F"/>
    <w:rsid w:val="00170584"/>
    <w:rsid w:val="001739F5"/>
    <w:rsid w:val="001745C1"/>
    <w:rsid w:val="0017675B"/>
    <w:rsid w:val="001776A1"/>
    <w:rsid w:val="001806E4"/>
    <w:rsid w:val="00182718"/>
    <w:rsid w:val="00185C32"/>
    <w:rsid w:val="001902C7"/>
    <w:rsid w:val="001924BA"/>
    <w:rsid w:val="00194DBC"/>
    <w:rsid w:val="0019507D"/>
    <w:rsid w:val="00197FBB"/>
    <w:rsid w:val="001A17D3"/>
    <w:rsid w:val="001A33B5"/>
    <w:rsid w:val="001A6C24"/>
    <w:rsid w:val="001A7DA0"/>
    <w:rsid w:val="001B23C9"/>
    <w:rsid w:val="001B5D4A"/>
    <w:rsid w:val="001B6508"/>
    <w:rsid w:val="001B6B78"/>
    <w:rsid w:val="001C26A3"/>
    <w:rsid w:val="001C55F6"/>
    <w:rsid w:val="001C661D"/>
    <w:rsid w:val="001C7BCF"/>
    <w:rsid w:val="001D0C8D"/>
    <w:rsid w:val="001D3FD0"/>
    <w:rsid w:val="001D440A"/>
    <w:rsid w:val="001D4841"/>
    <w:rsid w:val="001D4907"/>
    <w:rsid w:val="001E287B"/>
    <w:rsid w:val="001E4B7E"/>
    <w:rsid w:val="001E555E"/>
    <w:rsid w:val="001F1113"/>
    <w:rsid w:val="00205718"/>
    <w:rsid w:val="00207F8D"/>
    <w:rsid w:val="00210D03"/>
    <w:rsid w:val="00210D90"/>
    <w:rsid w:val="00211147"/>
    <w:rsid w:val="00212481"/>
    <w:rsid w:val="00215B45"/>
    <w:rsid w:val="00215C32"/>
    <w:rsid w:val="0021749E"/>
    <w:rsid w:val="00221F1E"/>
    <w:rsid w:val="002237FD"/>
    <w:rsid w:val="00223B10"/>
    <w:rsid w:val="0022575E"/>
    <w:rsid w:val="00227846"/>
    <w:rsid w:val="00230A02"/>
    <w:rsid w:val="00230FA6"/>
    <w:rsid w:val="0023293A"/>
    <w:rsid w:val="0023657F"/>
    <w:rsid w:val="002377DA"/>
    <w:rsid w:val="00242092"/>
    <w:rsid w:val="00243506"/>
    <w:rsid w:val="00245C8E"/>
    <w:rsid w:val="00245D2B"/>
    <w:rsid w:val="00247ABD"/>
    <w:rsid w:val="00250694"/>
    <w:rsid w:val="00251480"/>
    <w:rsid w:val="002518D2"/>
    <w:rsid w:val="00251F3A"/>
    <w:rsid w:val="00252782"/>
    <w:rsid w:val="00253090"/>
    <w:rsid w:val="00253E26"/>
    <w:rsid w:val="00257E69"/>
    <w:rsid w:val="00261EA3"/>
    <w:rsid w:val="0026459D"/>
    <w:rsid w:val="0026733F"/>
    <w:rsid w:val="00270215"/>
    <w:rsid w:val="00273A48"/>
    <w:rsid w:val="00273DAF"/>
    <w:rsid w:val="00276246"/>
    <w:rsid w:val="00276F22"/>
    <w:rsid w:val="00277099"/>
    <w:rsid w:val="002775D1"/>
    <w:rsid w:val="00277A8E"/>
    <w:rsid w:val="00277F4C"/>
    <w:rsid w:val="00281ABA"/>
    <w:rsid w:val="00283AB5"/>
    <w:rsid w:val="00284009"/>
    <w:rsid w:val="00284F41"/>
    <w:rsid w:val="00285599"/>
    <w:rsid w:val="002857E6"/>
    <w:rsid w:val="00286003"/>
    <w:rsid w:val="00286794"/>
    <w:rsid w:val="002920BD"/>
    <w:rsid w:val="00293075"/>
    <w:rsid w:val="002962DC"/>
    <w:rsid w:val="002A158A"/>
    <w:rsid w:val="002A3F8C"/>
    <w:rsid w:val="002A432A"/>
    <w:rsid w:val="002A69E5"/>
    <w:rsid w:val="002A6F49"/>
    <w:rsid w:val="002A7B40"/>
    <w:rsid w:val="002B350E"/>
    <w:rsid w:val="002C2795"/>
    <w:rsid w:val="002C7BCD"/>
    <w:rsid w:val="002D1D8D"/>
    <w:rsid w:val="002D4CE5"/>
    <w:rsid w:val="002D53F8"/>
    <w:rsid w:val="002E2BC0"/>
    <w:rsid w:val="002E3039"/>
    <w:rsid w:val="002E4954"/>
    <w:rsid w:val="002E7325"/>
    <w:rsid w:val="002E77E2"/>
    <w:rsid w:val="002E7BB9"/>
    <w:rsid w:val="002F1808"/>
    <w:rsid w:val="002F1A92"/>
    <w:rsid w:val="002F26D6"/>
    <w:rsid w:val="002F4AF3"/>
    <w:rsid w:val="002F51F9"/>
    <w:rsid w:val="002F5C30"/>
    <w:rsid w:val="002F6079"/>
    <w:rsid w:val="003001C8"/>
    <w:rsid w:val="003003F3"/>
    <w:rsid w:val="00302A43"/>
    <w:rsid w:val="00302BF9"/>
    <w:rsid w:val="00303552"/>
    <w:rsid w:val="003048E7"/>
    <w:rsid w:val="00304E4D"/>
    <w:rsid w:val="003133ED"/>
    <w:rsid w:val="00315094"/>
    <w:rsid w:val="00321CEE"/>
    <w:rsid w:val="00322F56"/>
    <w:rsid w:val="00324351"/>
    <w:rsid w:val="0032507E"/>
    <w:rsid w:val="0032644D"/>
    <w:rsid w:val="00327725"/>
    <w:rsid w:val="0033120F"/>
    <w:rsid w:val="003317E6"/>
    <w:rsid w:val="00333757"/>
    <w:rsid w:val="00335D85"/>
    <w:rsid w:val="00340BF5"/>
    <w:rsid w:val="0034176D"/>
    <w:rsid w:val="003437C7"/>
    <w:rsid w:val="00346B7F"/>
    <w:rsid w:val="003522F0"/>
    <w:rsid w:val="003523B9"/>
    <w:rsid w:val="00354CAA"/>
    <w:rsid w:val="003566D5"/>
    <w:rsid w:val="00356AD5"/>
    <w:rsid w:val="00362BD3"/>
    <w:rsid w:val="00366F18"/>
    <w:rsid w:val="003678AC"/>
    <w:rsid w:val="0037172F"/>
    <w:rsid w:val="0037276B"/>
    <w:rsid w:val="00372D20"/>
    <w:rsid w:val="00373690"/>
    <w:rsid w:val="00374C98"/>
    <w:rsid w:val="00375662"/>
    <w:rsid w:val="003770B4"/>
    <w:rsid w:val="00380E40"/>
    <w:rsid w:val="00381292"/>
    <w:rsid w:val="003834AD"/>
    <w:rsid w:val="0038725B"/>
    <w:rsid w:val="0038753C"/>
    <w:rsid w:val="0039343C"/>
    <w:rsid w:val="00394A5C"/>
    <w:rsid w:val="0039542B"/>
    <w:rsid w:val="003971C1"/>
    <w:rsid w:val="00397827"/>
    <w:rsid w:val="003A155A"/>
    <w:rsid w:val="003A2411"/>
    <w:rsid w:val="003A3320"/>
    <w:rsid w:val="003A3D24"/>
    <w:rsid w:val="003A58A7"/>
    <w:rsid w:val="003A6135"/>
    <w:rsid w:val="003B10F9"/>
    <w:rsid w:val="003B13A6"/>
    <w:rsid w:val="003B258C"/>
    <w:rsid w:val="003B2939"/>
    <w:rsid w:val="003B3DED"/>
    <w:rsid w:val="003B4C3B"/>
    <w:rsid w:val="003C070E"/>
    <w:rsid w:val="003C10EF"/>
    <w:rsid w:val="003C5B3D"/>
    <w:rsid w:val="003C7293"/>
    <w:rsid w:val="003C76D9"/>
    <w:rsid w:val="003C7721"/>
    <w:rsid w:val="003D042A"/>
    <w:rsid w:val="003D0BE6"/>
    <w:rsid w:val="003D1B67"/>
    <w:rsid w:val="003D23B9"/>
    <w:rsid w:val="003D282A"/>
    <w:rsid w:val="003D42C1"/>
    <w:rsid w:val="003D590C"/>
    <w:rsid w:val="003D7029"/>
    <w:rsid w:val="003E02D8"/>
    <w:rsid w:val="003E58A5"/>
    <w:rsid w:val="003E5DCD"/>
    <w:rsid w:val="003E7927"/>
    <w:rsid w:val="003F26A4"/>
    <w:rsid w:val="003F439E"/>
    <w:rsid w:val="003F5ACB"/>
    <w:rsid w:val="003F6047"/>
    <w:rsid w:val="00401C7E"/>
    <w:rsid w:val="0040222C"/>
    <w:rsid w:val="004027BE"/>
    <w:rsid w:val="00405B80"/>
    <w:rsid w:val="00407F55"/>
    <w:rsid w:val="00412B2E"/>
    <w:rsid w:val="004142DB"/>
    <w:rsid w:val="00414D21"/>
    <w:rsid w:val="004162A8"/>
    <w:rsid w:val="004172D5"/>
    <w:rsid w:val="00417893"/>
    <w:rsid w:val="00432EF6"/>
    <w:rsid w:val="004330E7"/>
    <w:rsid w:val="0043511E"/>
    <w:rsid w:val="00436666"/>
    <w:rsid w:val="00441176"/>
    <w:rsid w:val="004515A8"/>
    <w:rsid w:val="00452A03"/>
    <w:rsid w:val="0045329C"/>
    <w:rsid w:val="0045450B"/>
    <w:rsid w:val="00456599"/>
    <w:rsid w:val="004565BF"/>
    <w:rsid w:val="004618DE"/>
    <w:rsid w:val="004661DD"/>
    <w:rsid w:val="00467849"/>
    <w:rsid w:val="00470725"/>
    <w:rsid w:val="00471131"/>
    <w:rsid w:val="00471C89"/>
    <w:rsid w:val="00472B44"/>
    <w:rsid w:val="00473913"/>
    <w:rsid w:val="00474601"/>
    <w:rsid w:val="0047591E"/>
    <w:rsid w:val="00477205"/>
    <w:rsid w:val="00481AAB"/>
    <w:rsid w:val="00481F70"/>
    <w:rsid w:val="00486A01"/>
    <w:rsid w:val="00493007"/>
    <w:rsid w:val="0049328F"/>
    <w:rsid w:val="004937C2"/>
    <w:rsid w:val="00493C75"/>
    <w:rsid w:val="004A1C74"/>
    <w:rsid w:val="004A44A4"/>
    <w:rsid w:val="004A5AE1"/>
    <w:rsid w:val="004A7167"/>
    <w:rsid w:val="004B145F"/>
    <w:rsid w:val="004B1647"/>
    <w:rsid w:val="004B180F"/>
    <w:rsid w:val="004B308F"/>
    <w:rsid w:val="004B4507"/>
    <w:rsid w:val="004B4ACE"/>
    <w:rsid w:val="004B588E"/>
    <w:rsid w:val="004B6BF8"/>
    <w:rsid w:val="004B71D9"/>
    <w:rsid w:val="004B7B4E"/>
    <w:rsid w:val="004B7BC0"/>
    <w:rsid w:val="004C3C53"/>
    <w:rsid w:val="004C42EB"/>
    <w:rsid w:val="004C6475"/>
    <w:rsid w:val="004C6D6A"/>
    <w:rsid w:val="004D07EB"/>
    <w:rsid w:val="004D40B6"/>
    <w:rsid w:val="004D517B"/>
    <w:rsid w:val="004D69D4"/>
    <w:rsid w:val="004E19CD"/>
    <w:rsid w:val="004F1362"/>
    <w:rsid w:val="004F2247"/>
    <w:rsid w:val="004F3198"/>
    <w:rsid w:val="004F3D72"/>
    <w:rsid w:val="004F3E13"/>
    <w:rsid w:val="004F3FF8"/>
    <w:rsid w:val="004F4801"/>
    <w:rsid w:val="004F4B46"/>
    <w:rsid w:val="004F5331"/>
    <w:rsid w:val="004F6872"/>
    <w:rsid w:val="005025BD"/>
    <w:rsid w:val="005050CC"/>
    <w:rsid w:val="0050790A"/>
    <w:rsid w:val="00507B85"/>
    <w:rsid w:val="0051073C"/>
    <w:rsid w:val="00511AE3"/>
    <w:rsid w:val="005168F8"/>
    <w:rsid w:val="00516C9B"/>
    <w:rsid w:val="005171AB"/>
    <w:rsid w:val="00517A70"/>
    <w:rsid w:val="00517CCF"/>
    <w:rsid w:val="005210F9"/>
    <w:rsid w:val="00522CFA"/>
    <w:rsid w:val="00524A50"/>
    <w:rsid w:val="00525407"/>
    <w:rsid w:val="00525430"/>
    <w:rsid w:val="00525D9C"/>
    <w:rsid w:val="00526DA1"/>
    <w:rsid w:val="005308E3"/>
    <w:rsid w:val="00533F35"/>
    <w:rsid w:val="005360E2"/>
    <w:rsid w:val="005362E4"/>
    <w:rsid w:val="005404AD"/>
    <w:rsid w:val="005406E6"/>
    <w:rsid w:val="005422E3"/>
    <w:rsid w:val="00542F73"/>
    <w:rsid w:val="00543FB9"/>
    <w:rsid w:val="005441A1"/>
    <w:rsid w:val="00544B12"/>
    <w:rsid w:val="005466E8"/>
    <w:rsid w:val="00547775"/>
    <w:rsid w:val="00547CC4"/>
    <w:rsid w:val="005506FA"/>
    <w:rsid w:val="00551AF6"/>
    <w:rsid w:val="00552676"/>
    <w:rsid w:val="0055277C"/>
    <w:rsid w:val="00552C8D"/>
    <w:rsid w:val="00553BE3"/>
    <w:rsid w:val="00554398"/>
    <w:rsid w:val="00556DEA"/>
    <w:rsid w:val="0056086C"/>
    <w:rsid w:val="00560F95"/>
    <w:rsid w:val="005615CD"/>
    <w:rsid w:val="00563B87"/>
    <w:rsid w:val="00580953"/>
    <w:rsid w:val="00580E74"/>
    <w:rsid w:val="0058380F"/>
    <w:rsid w:val="00593CD7"/>
    <w:rsid w:val="00594427"/>
    <w:rsid w:val="00596972"/>
    <w:rsid w:val="005A1595"/>
    <w:rsid w:val="005A1B29"/>
    <w:rsid w:val="005A2494"/>
    <w:rsid w:val="005A2F07"/>
    <w:rsid w:val="005A6C36"/>
    <w:rsid w:val="005B0479"/>
    <w:rsid w:val="005B06EC"/>
    <w:rsid w:val="005B1DFC"/>
    <w:rsid w:val="005B24A1"/>
    <w:rsid w:val="005B3310"/>
    <w:rsid w:val="005B4B1C"/>
    <w:rsid w:val="005B5BD8"/>
    <w:rsid w:val="005B7B20"/>
    <w:rsid w:val="005C12A6"/>
    <w:rsid w:val="005C1C52"/>
    <w:rsid w:val="005C2B1A"/>
    <w:rsid w:val="005C48E8"/>
    <w:rsid w:val="005C4A60"/>
    <w:rsid w:val="005D524E"/>
    <w:rsid w:val="005D6288"/>
    <w:rsid w:val="005D6B64"/>
    <w:rsid w:val="005E0885"/>
    <w:rsid w:val="005E09D7"/>
    <w:rsid w:val="005E0DD7"/>
    <w:rsid w:val="005E13E8"/>
    <w:rsid w:val="005E4158"/>
    <w:rsid w:val="005E50D1"/>
    <w:rsid w:val="005E7EC8"/>
    <w:rsid w:val="005F06D2"/>
    <w:rsid w:val="005F13EC"/>
    <w:rsid w:val="005F14C0"/>
    <w:rsid w:val="005F649E"/>
    <w:rsid w:val="005F6929"/>
    <w:rsid w:val="00601769"/>
    <w:rsid w:val="00603357"/>
    <w:rsid w:val="00603605"/>
    <w:rsid w:val="0061011C"/>
    <w:rsid w:val="006107E1"/>
    <w:rsid w:val="00611315"/>
    <w:rsid w:val="006119DA"/>
    <w:rsid w:val="00613163"/>
    <w:rsid w:val="00613FDF"/>
    <w:rsid w:val="0061424A"/>
    <w:rsid w:val="0061437D"/>
    <w:rsid w:val="006155FF"/>
    <w:rsid w:val="006200BB"/>
    <w:rsid w:val="006205D9"/>
    <w:rsid w:val="0062139F"/>
    <w:rsid w:val="0062330B"/>
    <w:rsid w:val="00625128"/>
    <w:rsid w:val="006265E4"/>
    <w:rsid w:val="00630261"/>
    <w:rsid w:val="006315FD"/>
    <w:rsid w:val="00635279"/>
    <w:rsid w:val="00636AB5"/>
    <w:rsid w:val="00637D07"/>
    <w:rsid w:val="00640611"/>
    <w:rsid w:val="006425E8"/>
    <w:rsid w:val="006440A6"/>
    <w:rsid w:val="00644749"/>
    <w:rsid w:val="00644F05"/>
    <w:rsid w:val="0065142B"/>
    <w:rsid w:val="00652778"/>
    <w:rsid w:val="00652EE8"/>
    <w:rsid w:val="00657C13"/>
    <w:rsid w:val="006605DC"/>
    <w:rsid w:val="00662896"/>
    <w:rsid w:val="00662C5E"/>
    <w:rsid w:val="00667954"/>
    <w:rsid w:val="00670AA9"/>
    <w:rsid w:val="00673C2E"/>
    <w:rsid w:val="00676402"/>
    <w:rsid w:val="006764CE"/>
    <w:rsid w:val="00677C71"/>
    <w:rsid w:val="0068103A"/>
    <w:rsid w:val="006834F4"/>
    <w:rsid w:val="00684E03"/>
    <w:rsid w:val="00687F0E"/>
    <w:rsid w:val="006914BE"/>
    <w:rsid w:val="00691CA3"/>
    <w:rsid w:val="00691E83"/>
    <w:rsid w:val="00693814"/>
    <w:rsid w:val="00696CE1"/>
    <w:rsid w:val="0069720D"/>
    <w:rsid w:val="006A1B9A"/>
    <w:rsid w:val="006A2BBD"/>
    <w:rsid w:val="006A405F"/>
    <w:rsid w:val="006B033F"/>
    <w:rsid w:val="006B08C2"/>
    <w:rsid w:val="006B0BD6"/>
    <w:rsid w:val="006B1790"/>
    <w:rsid w:val="006B28ED"/>
    <w:rsid w:val="006B3494"/>
    <w:rsid w:val="006B4C0E"/>
    <w:rsid w:val="006B4F45"/>
    <w:rsid w:val="006B5BCB"/>
    <w:rsid w:val="006B5EF8"/>
    <w:rsid w:val="006C0E67"/>
    <w:rsid w:val="006C1FE2"/>
    <w:rsid w:val="006C26FF"/>
    <w:rsid w:val="006C543D"/>
    <w:rsid w:val="006C683D"/>
    <w:rsid w:val="006C783A"/>
    <w:rsid w:val="006D7680"/>
    <w:rsid w:val="006D7918"/>
    <w:rsid w:val="006E0068"/>
    <w:rsid w:val="006E0AD8"/>
    <w:rsid w:val="006E1D38"/>
    <w:rsid w:val="006E2717"/>
    <w:rsid w:val="006E59CA"/>
    <w:rsid w:val="006E61A9"/>
    <w:rsid w:val="006E684C"/>
    <w:rsid w:val="006F410E"/>
    <w:rsid w:val="006F4E01"/>
    <w:rsid w:val="006F4EAC"/>
    <w:rsid w:val="006F5BDC"/>
    <w:rsid w:val="006F6CB4"/>
    <w:rsid w:val="006F725A"/>
    <w:rsid w:val="0070032F"/>
    <w:rsid w:val="0070129F"/>
    <w:rsid w:val="00701F6C"/>
    <w:rsid w:val="00704F0E"/>
    <w:rsid w:val="00705848"/>
    <w:rsid w:val="00705C5F"/>
    <w:rsid w:val="00706F89"/>
    <w:rsid w:val="00712F25"/>
    <w:rsid w:val="00717DE0"/>
    <w:rsid w:val="007211B8"/>
    <w:rsid w:val="00724EF4"/>
    <w:rsid w:val="00725EE3"/>
    <w:rsid w:val="007262D9"/>
    <w:rsid w:val="00732207"/>
    <w:rsid w:val="0073398A"/>
    <w:rsid w:val="00736D18"/>
    <w:rsid w:val="007371D7"/>
    <w:rsid w:val="00737B52"/>
    <w:rsid w:val="007423FF"/>
    <w:rsid w:val="007434EB"/>
    <w:rsid w:val="00744C71"/>
    <w:rsid w:val="00744CC3"/>
    <w:rsid w:val="0074726F"/>
    <w:rsid w:val="007507C0"/>
    <w:rsid w:val="00750EB1"/>
    <w:rsid w:val="007545AC"/>
    <w:rsid w:val="00754F08"/>
    <w:rsid w:val="007569B0"/>
    <w:rsid w:val="00757F5C"/>
    <w:rsid w:val="007612F9"/>
    <w:rsid w:val="0076191B"/>
    <w:rsid w:val="007625A1"/>
    <w:rsid w:val="00762F7B"/>
    <w:rsid w:val="007632EA"/>
    <w:rsid w:val="00763942"/>
    <w:rsid w:val="00764105"/>
    <w:rsid w:val="00764F5D"/>
    <w:rsid w:val="00772E46"/>
    <w:rsid w:val="0077312D"/>
    <w:rsid w:val="00776F22"/>
    <w:rsid w:val="00777091"/>
    <w:rsid w:val="00780800"/>
    <w:rsid w:val="00784A21"/>
    <w:rsid w:val="007867FE"/>
    <w:rsid w:val="007873F8"/>
    <w:rsid w:val="0079258C"/>
    <w:rsid w:val="00794A46"/>
    <w:rsid w:val="0079567C"/>
    <w:rsid w:val="007956D5"/>
    <w:rsid w:val="00795754"/>
    <w:rsid w:val="00795772"/>
    <w:rsid w:val="0079660F"/>
    <w:rsid w:val="00796635"/>
    <w:rsid w:val="007A3795"/>
    <w:rsid w:val="007A41AA"/>
    <w:rsid w:val="007A6D2A"/>
    <w:rsid w:val="007B3F8D"/>
    <w:rsid w:val="007B413A"/>
    <w:rsid w:val="007B5378"/>
    <w:rsid w:val="007B6472"/>
    <w:rsid w:val="007B67F0"/>
    <w:rsid w:val="007C2FB8"/>
    <w:rsid w:val="007C6833"/>
    <w:rsid w:val="007C6E15"/>
    <w:rsid w:val="007D0D88"/>
    <w:rsid w:val="007D10A5"/>
    <w:rsid w:val="007D4B4A"/>
    <w:rsid w:val="007D5278"/>
    <w:rsid w:val="007D75C7"/>
    <w:rsid w:val="007D7C5A"/>
    <w:rsid w:val="007E0BC9"/>
    <w:rsid w:val="007E319E"/>
    <w:rsid w:val="007E400F"/>
    <w:rsid w:val="007E5A15"/>
    <w:rsid w:val="007E5E18"/>
    <w:rsid w:val="007F04F1"/>
    <w:rsid w:val="007F3AC1"/>
    <w:rsid w:val="007F4243"/>
    <w:rsid w:val="008003DB"/>
    <w:rsid w:val="00805253"/>
    <w:rsid w:val="0080622F"/>
    <w:rsid w:val="008069CB"/>
    <w:rsid w:val="00807C37"/>
    <w:rsid w:val="0081035E"/>
    <w:rsid w:val="008111D8"/>
    <w:rsid w:val="00811D2F"/>
    <w:rsid w:val="00812B9B"/>
    <w:rsid w:val="0081472E"/>
    <w:rsid w:val="00820F7E"/>
    <w:rsid w:val="00823158"/>
    <w:rsid w:val="0082426A"/>
    <w:rsid w:val="0082634C"/>
    <w:rsid w:val="00826397"/>
    <w:rsid w:val="00827582"/>
    <w:rsid w:val="00830348"/>
    <w:rsid w:val="00832048"/>
    <w:rsid w:val="00840A7A"/>
    <w:rsid w:val="00843FF9"/>
    <w:rsid w:val="008449FF"/>
    <w:rsid w:val="008454B3"/>
    <w:rsid w:val="008470F7"/>
    <w:rsid w:val="00847A95"/>
    <w:rsid w:val="00851341"/>
    <w:rsid w:val="00854DE3"/>
    <w:rsid w:val="00855C4B"/>
    <w:rsid w:val="00856412"/>
    <w:rsid w:val="00863A93"/>
    <w:rsid w:val="00870BA9"/>
    <w:rsid w:val="00871640"/>
    <w:rsid w:val="008716CB"/>
    <w:rsid w:val="00875702"/>
    <w:rsid w:val="00880BF9"/>
    <w:rsid w:val="00880E7D"/>
    <w:rsid w:val="008811C0"/>
    <w:rsid w:val="00884FDE"/>
    <w:rsid w:val="00887F85"/>
    <w:rsid w:val="00891509"/>
    <w:rsid w:val="008958A0"/>
    <w:rsid w:val="00896526"/>
    <w:rsid w:val="008A3D8B"/>
    <w:rsid w:val="008A42D0"/>
    <w:rsid w:val="008A48E8"/>
    <w:rsid w:val="008A604B"/>
    <w:rsid w:val="008A610C"/>
    <w:rsid w:val="008B279D"/>
    <w:rsid w:val="008B4895"/>
    <w:rsid w:val="008B55ED"/>
    <w:rsid w:val="008B6A3F"/>
    <w:rsid w:val="008C0BF6"/>
    <w:rsid w:val="008C0D1A"/>
    <w:rsid w:val="008C18FA"/>
    <w:rsid w:val="008C210E"/>
    <w:rsid w:val="008C2701"/>
    <w:rsid w:val="008C4EC4"/>
    <w:rsid w:val="008C6850"/>
    <w:rsid w:val="008D0D33"/>
    <w:rsid w:val="008D11BE"/>
    <w:rsid w:val="008D1B3B"/>
    <w:rsid w:val="008D3A0B"/>
    <w:rsid w:val="008E2196"/>
    <w:rsid w:val="008E433D"/>
    <w:rsid w:val="008E6DB4"/>
    <w:rsid w:val="008E7579"/>
    <w:rsid w:val="008F08C3"/>
    <w:rsid w:val="008F47A9"/>
    <w:rsid w:val="008F60AE"/>
    <w:rsid w:val="008F69D0"/>
    <w:rsid w:val="0090000E"/>
    <w:rsid w:val="00900FBC"/>
    <w:rsid w:val="009010BA"/>
    <w:rsid w:val="00901F6D"/>
    <w:rsid w:val="009051B9"/>
    <w:rsid w:val="00906062"/>
    <w:rsid w:val="00907A0E"/>
    <w:rsid w:val="00920361"/>
    <w:rsid w:val="00925206"/>
    <w:rsid w:val="00931060"/>
    <w:rsid w:val="009310A4"/>
    <w:rsid w:val="0093255F"/>
    <w:rsid w:val="00933C66"/>
    <w:rsid w:val="00934A5F"/>
    <w:rsid w:val="00941308"/>
    <w:rsid w:val="009430D0"/>
    <w:rsid w:val="009455A1"/>
    <w:rsid w:val="00946134"/>
    <w:rsid w:val="009473BB"/>
    <w:rsid w:val="009507F3"/>
    <w:rsid w:val="00951DE4"/>
    <w:rsid w:val="00952A69"/>
    <w:rsid w:val="00960645"/>
    <w:rsid w:val="00961B53"/>
    <w:rsid w:val="009660DB"/>
    <w:rsid w:val="0096762F"/>
    <w:rsid w:val="00967DE0"/>
    <w:rsid w:val="00967E34"/>
    <w:rsid w:val="00970E98"/>
    <w:rsid w:val="009716B2"/>
    <w:rsid w:val="00971DC2"/>
    <w:rsid w:val="00972471"/>
    <w:rsid w:val="00973423"/>
    <w:rsid w:val="009749C4"/>
    <w:rsid w:val="00975FF7"/>
    <w:rsid w:val="0098213B"/>
    <w:rsid w:val="00983F2C"/>
    <w:rsid w:val="00984018"/>
    <w:rsid w:val="00984400"/>
    <w:rsid w:val="009859CC"/>
    <w:rsid w:val="00987BC7"/>
    <w:rsid w:val="00990137"/>
    <w:rsid w:val="00991424"/>
    <w:rsid w:val="0099473D"/>
    <w:rsid w:val="0099577E"/>
    <w:rsid w:val="00996ACF"/>
    <w:rsid w:val="00997234"/>
    <w:rsid w:val="009A08F3"/>
    <w:rsid w:val="009A3A07"/>
    <w:rsid w:val="009A45D7"/>
    <w:rsid w:val="009A7E34"/>
    <w:rsid w:val="009B1FF5"/>
    <w:rsid w:val="009B5300"/>
    <w:rsid w:val="009B5324"/>
    <w:rsid w:val="009B6045"/>
    <w:rsid w:val="009B6F2E"/>
    <w:rsid w:val="009C2E46"/>
    <w:rsid w:val="009C3271"/>
    <w:rsid w:val="009D0B69"/>
    <w:rsid w:val="009D1A8D"/>
    <w:rsid w:val="009D22AC"/>
    <w:rsid w:val="009D2E01"/>
    <w:rsid w:val="009D55C7"/>
    <w:rsid w:val="009D5DE5"/>
    <w:rsid w:val="009E0A92"/>
    <w:rsid w:val="009F2CFE"/>
    <w:rsid w:val="009F3C6F"/>
    <w:rsid w:val="009F3D21"/>
    <w:rsid w:val="009F6A97"/>
    <w:rsid w:val="00A01171"/>
    <w:rsid w:val="00A01859"/>
    <w:rsid w:val="00A01992"/>
    <w:rsid w:val="00A062D8"/>
    <w:rsid w:val="00A07201"/>
    <w:rsid w:val="00A102A2"/>
    <w:rsid w:val="00A10420"/>
    <w:rsid w:val="00A11614"/>
    <w:rsid w:val="00A1197A"/>
    <w:rsid w:val="00A165DA"/>
    <w:rsid w:val="00A16809"/>
    <w:rsid w:val="00A23593"/>
    <w:rsid w:val="00A25946"/>
    <w:rsid w:val="00A2758E"/>
    <w:rsid w:val="00A27C5E"/>
    <w:rsid w:val="00A27FCC"/>
    <w:rsid w:val="00A300F1"/>
    <w:rsid w:val="00A32E45"/>
    <w:rsid w:val="00A3609D"/>
    <w:rsid w:val="00A36158"/>
    <w:rsid w:val="00A363BB"/>
    <w:rsid w:val="00A40DE1"/>
    <w:rsid w:val="00A4225D"/>
    <w:rsid w:val="00A46359"/>
    <w:rsid w:val="00A46703"/>
    <w:rsid w:val="00A468AE"/>
    <w:rsid w:val="00A50C60"/>
    <w:rsid w:val="00A55B08"/>
    <w:rsid w:val="00A56085"/>
    <w:rsid w:val="00A56A6F"/>
    <w:rsid w:val="00A60037"/>
    <w:rsid w:val="00A62449"/>
    <w:rsid w:val="00A62EDC"/>
    <w:rsid w:val="00A66962"/>
    <w:rsid w:val="00A675A3"/>
    <w:rsid w:val="00A676A2"/>
    <w:rsid w:val="00A678B6"/>
    <w:rsid w:val="00A7166B"/>
    <w:rsid w:val="00A7178A"/>
    <w:rsid w:val="00A727BB"/>
    <w:rsid w:val="00A7391C"/>
    <w:rsid w:val="00A7570E"/>
    <w:rsid w:val="00A801DA"/>
    <w:rsid w:val="00A849C5"/>
    <w:rsid w:val="00A851F3"/>
    <w:rsid w:val="00A87B07"/>
    <w:rsid w:val="00A87CFA"/>
    <w:rsid w:val="00A913E0"/>
    <w:rsid w:val="00A93091"/>
    <w:rsid w:val="00AA0D13"/>
    <w:rsid w:val="00AA131E"/>
    <w:rsid w:val="00AA26A5"/>
    <w:rsid w:val="00AA394B"/>
    <w:rsid w:val="00AA450E"/>
    <w:rsid w:val="00AA5C0C"/>
    <w:rsid w:val="00AB0380"/>
    <w:rsid w:val="00AB4C7F"/>
    <w:rsid w:val="00AB7313"/>
    <w:rsid w:val="00AC047F"/>
    <w:rsid w:val="00AC0890"/>
    <w:rsid w:val="00AC220D"/>
    <w:rsid w:val="00AC40AA"/>
    <w:rsid w:val="00AC4DF7"/>
    <w:rsid w:val="00AC60D1"/>
    <w:rsid w:val="00AC67CB"/>
    <w:rsid w:val="00AD4DE0"/>
    <w:rsid w:val="00AD7ACD"/>
    <w:rsid w:val="00AE1CF9"/>
    <w:rsid w:val="00AE34F9"/>
    <w:rsid w:val="00AE3708"/>
    <w:rsid w:val="00AE4D24"/>
    <w:rsid w:val="00AE5620"/>
    <w:rsid w:val="00AF3022"/>
    <w:rsid w:val="00AF31ED"/>
    <w:rsid w:val="00AF6F79"/>
    <w:rsid w:val="00B0008D"/>
    <w:rsid w:val="00B003F5"/>
    <w:rsid w:val="00B013FF"/>
    <w:rsid w:val="00B01445"/>
    <w:rsid w:val="00B02DD9"/>
    <w:rsid w:val="00B05431"/>
    <w:rsid w:val="00B07A37"/>
    <w:rsid w:val="00B07A52"/>
    <w:rsid w:val="00B101E1"/>
    <w:rsid w:val="00B1028C"/>
    <w:rsid w:val="00B20A9B"/>
    <w:rsid w:val="00B2113F"/>
    <w:rsid w:val="00B237D7"/>
    <w:rsid w:val="00B23E59"/>
    <w:rsid w:val="00B277E2"/>
    <w:rsid w:val="00B27F2D"/>
    <w:rsid w:val="00B322D7"/>
    <w:rsid w:val="00B33A37"/>
    <w:rsid w:val="00B34079"/>
    <w:rsid w:val="00B36D66"/>
    <w:rsid w:val="00B3758C"/>
    <w:rsid w:val="00B4163B"/>
    <w:rsid w:val="00B41CAF"/>
    <w:rsid w:val="00B430F1"/>
    <w:rsid w:val="00B433D1"/>
    <w:rsid w:val="00B43550"/>
    <w:rsid w:val="00B45072"/>
    <w:rsid w:val="00B4532D"/>
    <w:rsid w:val="00B508A4"/>
    <w:rsid w:val="00B51C26"/>
    <w:rsid w:val="00B535DB"/>
    <w:rsid w:val="00B54CDA"/>
    <w:rsid w:val="00B54CEF"/>
    <w:rsid w:val="00B56AFF"/>
    <w:rsid w:val="00B603C4"/>
    <w:rsid w:val="00B60E11"/>
    <w:rsid w:val="00B61B22"/>
    <w:rsid w:val="00B61C2A"/>
    <w:rsid w:val="00B61C37"/>
    <w:rsid w:val="00B70658"/>
    <w:rsid w:val="00B75488"/>
    <w:rsid w:val="00B75DEE"/>
    <w:rsid w:val="00B80754"/>
    <w:rsid w:val="00B80A9D"/>
    <w:rsid w:val="00B8191B"/>
    <w:rsid w:val="00B82DA7"/>
    <w:rsid w:val="00B8577F"/>
    <w:rsid w:val="00B915BE"/>
    <w:rsid w:val="00B929D1"/>
    <w:rsid w:val="00B9413E"/>
    <w:rsid w:val="00B966E4"/>
    <w:rsid w:val="00BA25EF"/>
    <w:rsid w:val="00BA293D"/>
    <w:rsid w:val="00BA5253"/>
    <w:rsid w:val="00BB210B"/>
    <w:rsid w:val="00BB3262"/>
    <w:rsid w:val="00BB354B"/>
    <w:rsid w:val="00BB57D9"/>
    <w:rsid w:val="00BC184E"/>
    <w:rsid w:val="00BC1ECC"/>
    <w:rsid w:val="00BC68BA"/>
    <w:rsid w:val="00BC6A1F"/>
    <w:rsid w:val="00BD03E2"/>
    <w:rsid w:val="00BD4AF6"/>
    <w:rsid w:val="00BD6E4F"/>
    <w:rsid w:val="00BD765C"/>
    <w:rsid w:val="00BE046D"/>
    <w:rsid w:val="00BE0B1B"/>
    <w:rsid w:val="00BE6554"/>
    <w:rsid w:val="00BE6AE6"/>
    <w:rsid w:val="00BF060A"/>
    <w:rsid w:val="00BF0A50"/>
    <w:rsid w:val="00BF239E"/>
    <w:rsid w:val="00BF3331"/>
    <w:rsid w:val="00BF4335"/>
    <w:rsid w:val="00BF5888"/>
    <w:rsid w:val="00BF614E"/>
    <w:rsid w:val="00C00FD5"/>
    <w:rsid w:val="00C01269"/>
    <w:rsid w:val="00C031B0"/>
    <w:rsid w:val="00C033A2"/>
    <w:rsid w:val="00C03A18"/>
    <w:rsid w:val="00C042A7"/>
    <w:rsid w:val="00C053C6"/>
    <w:rsid w:val="00C11E05"/>
    <w:rsid w:val="00C12F5A"/>
    <w:rsid w:val="00C13A6E"/>
    <w:rsid w:val="00C16D69"/>
    <w:rsid w:val="00C17B9E"/>
    <w:rsid w:val="00C22D15"/>
    <w:rsid w:val="00C23318"/>
    <w:rsid w:val="00C2335E"/>
    <w:rsid w:val="00C23E01"/>
    <w:rsid w:val="00C242E7"/>
    <w:rsid w:val="00C24BE1"/>
    <w:rsid w:val="00C321D4"/>
    <w:rsid w:val="00C32A6A"/>
    <w:rsid w:val="00C33153"/>
    <w:rsid w:val="00C35DCD"/>
    <w:rsid w:val="00C369AF"/>
    <w:rsid w:val="00C370B5"/>
    <w:rsid w:val="00C37795"/>
    <w:rsid w:val="00C40A62"/>
    <w:rsid w:val="00C416A0"/>
    <w:rsid w:val="00C5026E"/>
    <w:rsid w:val="00C525E5"/>
    <w:rsid w:val="00C546BA"/>
    <w:rsid w:val="00C57836"/>
    <w:rsid w:val="00C61938"/>
    <w:rsid w:val="00C62242"/>
    <w:rsid w:val="00C63389"/>
    <w:rsid w:val="00C63B89"/>
    <w:rsid w:val="00C664A6"/>
    <w:rsid w:val="00C66F95"/>
    <w:rsid w:val="00C6706F"/>
    <w:rsid w:val="00C70047"/>
    <w:rsid w:val="00C72512"/>
    <w:rsid w:val="00C73DD0"/>
    <w:rsid w:val="00C73E4A"/>
    <w:rsid w:val="00C73EC8"/>
    <w:rsid w:val="00C74675"/>
    <w:rsid w:val="00C74806"/>
    <w:rsid w:val="00C76D6E"/>
    <w:rsid w:val="00C80D4C"/>
    <w:rsid w:val="00C81536"/>
    <w:rsid w:val="00C85A18"/>
    <w:rsid w:val="00C87B40"/>
    <w:rsid w:val="00C87C2D"/>
    <w:rsid w:val="00C92522"/>
    <w:rsid w:val="00C95849"/>
    <w:rsid w:val="00C96AB9"/>
    <w:rsid w:val="00C97EF6"/>
    <w:rsid w:val="00CA0B17"/>
    <w:rsid w:val="00CA1226"/>
    <w:rsid w:val="00CA20E1"/>
    <w:rsid w:val="00CA31D7"/>
    <w:rsid w:val="00CA3320"/>
    <w:rsid w:val="00CA379B"/>
    <w:rsid w:val="00CA52AC"/>
    <w:rsid w:val="00CB2669"/>
    <w:rsid w:val="00CB3492"/>
    <w:rsid w:val="00CB51EE"/>
    <w:rsid w:val="00CB6F0F"/>
    <w:rsid w:val="00CB6F6C"/>
    <w:rsid w:val="00CB7280"/>
    <w:rsid w:val="00CC0D0F"/>
    <w:rsid w:val="00CC1021"/>
    <w:rsid w:val="00CC4202"/>
    <w:rsid w:val="00CC4460"/>
    <w:rsid w:val="00CC7EAE"/>
    <w:rsid w:val="00CD0414"/>
    <w:rsid w:val="00CD08CD"/>
    <w:rsid w:val="00CD09F9"/>
    <w:rsid w:val="00CD1527"/>
    <w:rsid w:val="00CD231C"/>
    <w:rsid w:val="00CD7CFC"/>
    <w:rsid w:val="00CE06BF"/>
    <w:rsid w:val="00CE5592"/>
    <w:rsid w:val="00CE6D88"/>
    <w:rsid w:val="00CF121F"/>
    <w:rsid w:val="00CF17DA"/>
    <w:rsid w:val="00CF6787"/>
    <w:rsid w:val="00CF68FD"/>
    <w:rsid w:val="00CF6D03"/>
    <w:rsid w:val="00CF6DA3"/>
    <w:rsid w:val="00CF73A0"/>
    <w:rsid w:val="00D00530"/>
    <w:rsid w:val="00D01DE6"/>
    <w:rsid w:val="00D02128"/>
    <w:rsid w:val="00D02398"/>
    <w:rsid w:val="00D035E7"/>
    <w:rsid w:val="00D05B5D"/>
    <w:rsid w:val="00D062E7"/>
    <w:rsid w:val="00D079CD"/>
    <w:rsid w:val="00D07ABA"/>
    <w:rsid w:val="00D10869"/>
    <w:rsid w:val="00D109ED"/>
    <w:rsid w:val="00D10AC7"/>
    <w:rsid w:val="00D113A3"/>
    <w:rsid w:val="00D11B3F"/>
    <w:rsid w:val="00D13F59"/>
    <w:rsid w:val="00D14FF7"/>
    <w:rsid w:val="00D15533"/>
    <w:rsid w:val="00D17496"/>
    <w:rsid w:val="00D17A56"/>
    <w:rsid w:val="00D21220"/>
    <w:rsid w:val="00D22E0F"/>
    <w:rsid w:val="00D237EA"/>
    <w:rsid w:val="00D2642A"/>
    <w:rsid w:val="00D267F8"/>
    <w:rsid w:val="00D26E96"/>
    <w:rsid w:val="00D30F56"/>
    <w:rsid w:val="00D3113F"/>
    <w:rsid w:val="00D34FC2"/>
    <w:rsid w:val="00D3513C"/>
    <w:rsid w:val="00D35182"/>
    <w:rsid w:val="00D358DD"/>
    <w:rsid w:val="00D3628C"/>
    <w:rsid w:val="00D363D6"/>
    <w:rsid w:val="00D42730"/>
    <w:rsid w:val="00D43641"/>
    <w:rsid w:val="00D44CCB"/>
    <w:rsid w:val="00D44DA6"/>
    <w:rsid w:val="00D46500"/>
    <w:rsid w:val="00D4685C"/>
    <w:rsid w:val="00D46B49"/>
    <w:rsid w:val="00D46C8E"/>
    <w:rsid w:val="00D502CE"/>
    <w:rsid w:val="00D51D51"/>
    <w:rsid w:val="00D52BC8"/>
    <w:rsid w:val="00D53C15"/>
    <w:rsid w:val="00D555F8"/>
    <w:rsid w:val="00D62FF2"/>
    <w:rsid w:val="00D648E3"/>
    <w:rsid w:val="00D64A6E"/>
    <w:rsid w:val="00D7198E"/>
    <w:rsid w:val="00D71DC7"/>
    <w:rsid w:val="00D7721D"/>
    <w:rsid w:val="00D825FD"/>
    <w:rsid w:val="00D82604"/>
    <w:rsid w:val="00D84CD4"/>
    <w:rsid w:val="00D860F3"/>
    <w:rsid w:val="00D87653"/>
    <w:rsid w:val="00D91650"/>
    <w:rsid w:val="00D9392C"/>
    <w:rsid w:val="00D962E1"/>
    <w:rsid w:val="00D966CB"/>
    <w:rsid w:val="00D973B4"/>
    <w:rsid w:val="00DA0C78"/>
    <w:rsid w:val="00DA0D45"/>
    <w:rsid w:val="00DA1756"/>
    <w:rsid w:val="00DA1B3B"/>
    <w:rsid w:val="00DA6901"/>
    <w:rsid w:val="00DB0647"/>
    <w:rsid w:val="00DB30B7"/>
    <w:rsid w:val="00DB4BC9"/>
    <w:rsid w:val="00DB4C24"/>
    <w:rsid w:val="00DB503F"/>
    <w:rsid w:val="00DC0C55"/>
    <w:rsid w:val="00DC24B6"/>
    <w:rsid w:val="00DC2E81"/>
    <w:rsid w:val="00DC311C"/>
    <w:rsid w:val="00DC5C77"/>
    <w:rsid w:val="00DC7946"/>
    <w:rsid w:val="00DD1E1F"/>
    <w:rsid w:val="00DD1EFB"/>
    <w:rsid w:val="00DD2913"/>
    <w:rsid w:val="00DD2FBD"/>
    <w:rsid w:val="00DD3169"/>
    <w:rsid w:val="00DD439C"/>
    <w:rsid w:val="00DD4D8E"/>
    <w:rsid w:val="00DE24C6"/>
    <w:rsid w:val="00DE6891"/>
    <w:rsid w:val="00DF1152"/>
    <w:rsid w:val="00DF2A94"/>
    <w:rsid w:val="00DF3205"/>
    <w:rsid w:val="00DF475C"/>
    <w:rsid w:val="00DF4A58"/>
    <w:rsid w:val="00DF5252"/>
    <w:rsid w:val="00E00A5F"/>
    <w:rsid w:val="00E0341F"/>
    <w:rsid w:val="00E03918"/>
    <w:rsid w:val="00E05702"/>
    <w:rsid w:val="00E0705A"/>
    <w:rsid w:val="00E11940"/>
    <w:rsid w:val="00E119E7"/>
    <w:rsid w:val="00E127E8"/>
    <w:rsid w:val="00E12909"/>
    <w:rsid w:val="00E12B1B"/>
    <w:rsid w:val="00E15F41"/>
    <w:rsid w:val="00E16A31"/>
    <w:rsid w:val="00E225D7"/>
    <w:rsid w:val="00E2394D"/>
    <w:rsid w:val="00E258C6"/>
    <w:rsid w:val="00E33F0A"/>
    <w:rsid w:val="00E34D17"/>
    <w:rsid w:val="00E34D95"/>
    <w:rsid w:val="00E36E00"/>
    <w:rsid w:val="00E41F52"/>
    <w:rsid w:val="00E429D3"/>
    <w:rsid w:val="00E42CA9"/>
    <w:rsid w:val="00E44A27"/>
    <w:rsid w:val="00E5349C"/>
    <w:rsid w:val="00E54101"/>
    <w:rsid w:val="00E56E5B"/>
    <w:rsid w:val="00E57ECA"/>
    <w:rsid w:val="00E61257"/>
    <w:rsid w:val="00E61441"/>
    <w:rsid w:val="00E63A42"/>
    <w:rsid w:val="00E6466F"/>
    <w:rsid w:val="00E661E2"/>
    <w:rsid w:val="00E7224A"/>
    <w:rsid w:val="00E72480"/>
    <w:rsid w:val="00E740D1"/>
    <w:rsid w:val="00E816A0"/>
    <w:rsid w:val="00E81D39"/>
    <w:rsid w:val="00E821C9"/>
    <w:rsid w:val="00E877E5"/>
    <w:rsid w:val="00E92F56"/>
    <w:rsid w:val="00E93210"/>
    <w:rsid w:val="00E933DE"/>
    <w:rsid w:val="00E9353C"/>
    <w:rsid w:val="00E93C19"/>
    <w:rsid w:val="00EA1874"/>
    <w:rsid w:val="00EA2968"/>
    <w:rsid w:val="00EA5076"/>
    <w:rsid w:val="00EA72AD"/>
    <w:rsid w:val="00EA7828"/>
    <w:rsid w:val="00EB05C2"/>
    <w:rsid w:val="00EB2F51"/>
    <w:rsid w:val="00EB3733"/>
    <w:rsid w:val="00EB4CD8"/>
    <w:rsid w:val="00EB667D"/>
    <w:rsid w:val="00EC1EA6"/>
    <w:rsid w:val="00EC3FFC"/>
    <w:rsid w:val="00EC6272"/>
    <w:rsid w:val="00EC77B6"/>
    <w:rsid w:val="00ED186F"/>
    <w:rsid w:val="00ED1D52"/>
    <w:rsid w:val="00ED28E2"/>
    <w:rsid w:val="00ED410D"/>
    <w:rsid w:val="00ED504E"/>
    <w:rsid w:val="00ED5389"/>
    <w:rsid w:val="00EE37B2"/>
    <w:rsid w:val="00EE4B09"/>
    <w:rsid w:val="00EE5D59"/>
    <w:rsid w:val="00EE6A40"/>
    <w:rsid w:val="00EE728F"/>
    <w:rsid w:val="00EE73E9"/>
    <w:rsid w:val="00EF0064"/>
    <w:rsid w:val="00EF0D66"/>
    <w:rsid w:val="00EF5424"/>
    <w:rsid w:val="00EF5C0C"/>
    <w:rsid w:val="00EF7428"/>
    <w:rsid w:val="00F00004"/>
    <w:rsid w:val="00F01B5C"/>
    <w:rsid w:val="00F04985"/>
    <w:rsid w:val="00F0698B"/>
    <w:rsid w:val="00F0775C"/>
    <w:rsid w:val="00F10A0A"/>
    <w:rsid w:val="00F119A8"/>
    <w:rsid w:val="00F12F1B"/>
    <w:rsid w:val="00F16AAE"/>
    <w:rsid w:val="00F244E9"/>
    <w:rsid w:val="00F24D09"/>
    <w:rsid w:val="00F2588E"/>
    <w:rsid w:val="00F26595"/>
    <w:rsid w:val="00F269A7"/>
    <w:rsid w:val="00F26C54"/>
    <w:rsid w:val="00F31C89"/>
    <w:rsid w:val="00F33AC5"/>
    <w:rsid w:val="00F34643"/>
    <w:rsid w:val="00F354DF"/>
    <w:rsid w:val="00F35AB5"/>
    <w:rsid w:val="00F36F83"/>
    <w:rsid w:val="00F41434"/>
    <w:rsid w:val="00F43EB9"/>
    <w:rsid w:val="00F4505C"/>
    <w:rsid w:val="00F46EAA"/>
    <w:rsid w:val="00F47BAC"/>
    <w:rsid w:val="00F510AA"/>
    <w:rsid w:val="00F52791"/>
    <w:rsid w:val="00F52F6D"/>
    <w:rsid w:val="00F549CE"/>
    <w:rsid w:val="00F557E8"/>
    <w:rsid w:val="00F5710C"/>
    <w:rsid w:val="00F60CC5"/>
    <w:rsid w:val="00F6709D"/>
    <w:rsid w:val="00F67337"/>
    <w:rsid w:val="00F6767E"/>
    <w:rsid w:val="00F7043A"/>
    <w:rsid w:val="00F7079C"/>
    <w:rsid w:val="00F74DC2"/>
    <w:rsid w:val="00F75BBD"/>
    <w:rsid w:val="00F77C8F"/>
    <w:rsid w:val="00F854A4"/>
    <w:rsid w:val="00F85663"/>
    <w:rsid w:val="00F85897"/>
    <w:rsid w:val="00F90565"/>
    <w:rsid w:val="00F9094F"/>
    <w:rsid w:val="00F923C3"/>
    <w:rsid w:val="00F933F7"/>
    <w:rsid w:val="00F9515B"/>
    <w:rsid w:val="00FA22B6"/>
    <w:rsid w:val="00FB2996"/>
    <w:rsid w:val="00FB2E82"/>
    <w:rsid w:val="00FB3EB0"/>
    <w:rsid w:val="00FB5228"/>
    <w:rsid w:val="00FB5915"/>
    <w:rsid w:val="00FC1B4E"/>
    <w:rsid w:val="00FC1ECB"/>
    <w:rsid w:val="00FC2BFB"/>
    <w:rsid w:val="00FC3874"/>
    <w:rsid w:val="00FC7A94"/>
    <w:rsid w:val="00FD2F5D"/>
    <w:rsid w:val="00FD31F0"/>
    <w:rsid w:val="00FD35BB"/>
    <w:rsid w:val="00FD5A3E"/>
    <w:rsid w:val="00FD5BFE"/>
    <w:rsid w:val="00FD6037"/>
    <w:rsid w:val="00FD6309"/>
    <w:rsid w:val="00FE264D"/>
    <w:rsid w:val="00FE3538"/>
    <w:rsid w:val="00FE43B9"/>
    <w:rsid w:val="00FE48F7"/>
    <w:rsid w:val="00FF105C"/>
    <w:rsid w:val="00FF1435"/>
    <w:rsid w:val="00FF17A6"/>
    <w:rsid w:val="00FF1AEA"/>
    <w:rsid w:val="00FF6E84"/>
    <w:rsid w:val="12F42806"/>
    <w:rsid w:val="14E13E54"/>
    <w:rsid w:val="28105E3F"/>
    <w:rsid w:val="42650DF0"/>
    <w:rsid w:val="624800CB"/>
    <w:rsid w:val="675D29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index 1"/>
    <w:basedOn w:val="1"/>
    <w:next w:val="1"/>
    <w:qFormat/>
    <w:uiPriority w:val="0"/>
    <w:pPr>
      <w:spacing w:line="580" w:lineRule="exact"/>
      <w:ind w:firstLine="640" w:firstLineChars="200"/>
    </w:pPr>
    <w:rPr>
      <w:rFonts w:ascii="仿宋_GB2312"/>
      <w:spacing w:val="-4"/>
      <w:kern w:val="0"/>
      <w:sz w:val="32"/>
      <w:szCs w:val="32"/>
    </w:rPr>
  </w:style>
  <w:style w:type="table" w:styleId="6">
    <w:name w:val="Table Grid"/>
    <w:basedOn w:val="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bCs/>
    </w:rPr>
  </w:style>
  <w:style w:type="character" w:customStyle="1" w:styleId="9">
    <w:name w:val="页脚 Char"/>
    <w:basedOn w:val="7"/>
    <w:link w:val="2"/>
    <w:qFormat/>
    <w:uiPriority w:val="99"/>
    <w:rPr>
      <w:sz w:val="18"/>
      <w:szCs w:val="18"/>
    </w:rPr>
  </w:style>
  <w:style w:type="character" w:customStyle="1" w:styleId="10">
    <w:name w:val="页眉 Char"/>
    <w:basedOn w:val="7"/>
    <w:link w:val="3"/>
    <w:semiHidden/>
    <w:qFormat/>
    <w:uiPriority w:val="99"/>
    <w:rPr>
      <w:sz w:val="18"/>
      <w:szCs w:val="18"/>
    </w:rPr>
  </w:style>
  <w:style w:type="paragraph" w:customStyle="1" w:styleId="11">
    <w:name w:val="Default"/>
    <w:qFormat/>
    <w:uiPriority w:val="0"/>
    <w:pPr>
      <w:widowControl w:val="0"/>
      <w:autoSpaceDE w:val="0"/>
      <w:autoSpaceDN w:val="0"/>
      <w:adjustRightInd w:val="0"/>
    </w:pPr>
    <w:rPr>
      <w:rFonts w:ascii="Times New Roman" w:hAnsi="Times New Roman" w:eastAsia="PMingLiU" w:cs="Times New Roman"/>
      <w:color w:val="000000"/>
      <w:sz w:val="24"/>
      <w:szCs w:val="24"/>
      <w:lang w:val="en-US" w:eastAsia="zh-TW" w:bidi="ar-SA"/>
    </w:rPr>
  </w:style>
  <w:style w:type="character" w:customStyle="1" w:styleId="12">
    <w:name w:val="NormalCharacter"/>
    <w:qFormat/>
    <w:uiPriority w:val="0"/>
  </w:style>
  <w:style w:type="character" w:customStyle="1" w:styleId="13">
    <w:name w:val="bjh-p"/>
    <w:basedOn w:val="7"/>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2370</Words>
  <Characters>13513</Characters>
  <Lines>112</Lines>
  <Paragraphs>31</Paragraphs>
  <TotalTime>67</TotalTime>
  <ScaleCrop>false</ScaleCrop>
  <LinksUpToDate>false</LinksUpToDate>
  <CharactersWithSpaces>15852</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2021-06-15T06:10:00Z</dcterms:created>
  <dc:creator>user</dc:creator>
  <cp:lastModifiedBy>蒋小荻</cp:lastModifiedBy>
  <cp:lastPrinted>2021-06-21T03:08:00Z</cp:lastPrinted>
  <dcterms:modified xsi:type="dcterms:W3CDTF">2021-12-30T03:18:20Z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862ECE25B1B948849F9976A8C1470611</vt:lpwstr>
  </property>
</Properties>
</file>