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0"/>
        <w:rPr>
          <w:rFonts w:ascii="Times New Roman" w:eastAsia="黑体"/>
          <w:szCs w:val="32"/>
        </w:rPr>
      </w:pPr>
      <w:r>
        <w:rPr>
          <w:rFonts w:hint="eastAsia" w:ascii="Times New Roman" w:hAnsi="黑体" w:eastAsia="黑体"/>
          <w:szCs w:val="32"/>
        </w:rPr>
        <w:t>附件</w:t>
      </w:r>
      <w:r>
        <w:rPr>
          <w:rFonts w:ascii="Times New Roman" w:eastAsia="黑体"/>
          <w:szCs w:val="32"/>
        </w:rPr>
        <w:t>1</w:t>
      </w:r>
    </w:p>
    <w:p>
      <w:pPr>
        <w:spacing w:before="260" w:afterLines="50" w:line="520" w:lineRule="exact"/>
        <w:ind w:left="62" w:firstLine="0"/>
        <w:jc w:val="center"/>
        <w:rPr>
          <w:rFonts w:ascii="Times New Roman" w:eastAsia="方正小标宋简体"/>
          <w:sz w:val="44"/>
          <w:szCs w:val="36"/>
        </w:rPr>
      </w:pPr>
      <w:r>
        <w:rPr>
          <w:rFonts w:hint="eastAsia" w:ascii="Times New Roman" w:eastAsia="方正小标宋简体"/>
          <w:sz w:val="44"/>
          <w:szCs w:val="36"/>
        </w:rPr>
        <w:t>食品安全事故分级标准</w:t>
      </w:r>
    </w:p>
    <w:tbl>
      <w:tblPr>
        <w:tblStyle w:val="3"/>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8"/>
        <w:gridCol w:w="7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1368" w:type="dxa"/>
            <w:vAlign w:val="center"/>
          </w:tcPr>
          <w:p>
            <w:pPr>
              <w:spacing w:line="400" w:lineRule="exact"/>
              <w:ind w:firstLine="0"/>
              <w:jc w:val="center"/>
              <w:rPr>
                <w:rFonts w:ascii="Times New Roman" w:eastAsia="黑体"/>
                <w:sz w:val="24"/>
              </w:rPr>
            </w:pPr>
            <w:r>
              <w:rPr>
                <w:rFonts w:hint="eastAsia" w:ascii="Times New Roman" w:hAnsi="黑体" w:eastAsia="黑体"/>
                <w:sz w:val="24"/>
              </w:rPr>
              <w:t>事件分级</w:t>
            </w:r>
          </w:p>
        </w:tc>
        <w:tc>
          <w:tcPr>
            <w:tcW w:w="7387" w:type="dxa"/>
            <w:vAlign w:val="center"/>
          </w:tcPr>
          <w:p>
            <w:pPr>
              <w:spacing w:line="400" w:lineRule="exact"/>
              <w:ind w:firstLine="0"/>
              <w:jc w:val="center"/>
              <w:rPr>
                <w:rFonts w:ascii="Times New Roman" w:eastAsia="黑体"/>
                <w:sz w:val="24"/>
              </w:rPr>
            </w:pPr>
            <w:r>
              <w:rPr>
                <w:rFonts w:hint="eastAsia" w:ascii="Times New Roman" w:hAnsi="黑体" w:eastAsia="黑体"/>
                <w:sz w:val="24"/>
              </w:rPr>
              <w:t>评估指标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trPr>
        <w:tc>
          <w:tcPr>
            <w:tcW w:w="1368" w:type="dxa"/>
            <w:vAlign w:val="center"/>
          </w:tcPr>
          <w:p>
            <w:pPr>
              <w:spacing w:line="400" w:lineRule="exact"/>
              <w:ind w:firstLine="0"/>
              <w:jc w:val="center"/>
              <w:rPr>
                <w:rFonts w:ascii="Times New Roman" w:eastAsia="仿宋_GB2312"/>
                <w:sz w:val="24"/>
              </w:rPr>
            </w:pPr>
            <w:r>
              <w:rPr>
                <w:rFonts w:hint="eastAsia" w:ascii="Times New Roman" w:eastAsia="仿宋_GB2312"/>
                <w:sz w:val="24"/>
              </w:rPr>
              <w:t>特别重大</w:t>
            </w:r>
          </w:p>
        </w:tc>
        <w:tc>
          <w:tcPr>
            <w:tcW w:w="7387" w:type="dxa"/>
            <w:vAlign w:val="center"/>
          </w:tcPr>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1</w:t>
            </w:r>
            <w:r>
              <w:rPr>
                <w:rFonts w:hint="eastAsia" w:ascii="Times New Roman" w:eastAsia="仿宋_GB2312"/>
                <w:sz w:val="24"/>
              </w:rPr>
              <w:t>）事故影响范围涉及</w:t>
            </w:r>
            <w:r>
              <w:rPr>
                <w:rFonts w:ascii="Times New Roman" w:eastAsia="仿宋_GB2312"/>
                <w:sz w:val="24"/>
              </w:rPr>
              <w:t>2</w:t>
            </w:r>
            <w:r>
              <w:rPr>
                <w:rFonts w:hint="eastAsia" w:ascii="Times New Roman" w:eastAsia="仿宋_GB2312"/>
                <w:sz w:val="24"/>
              </w:rPr>
              <w:t>个以上省份或国（境）外（含港澳台地区），造成特别严重健康损害后果的；或经评估认为事故危害特别严重的。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2</w:t>
            </w:r>
            <w:r>
              <w:rPr>
                <w:rFonts w:hint="eastAsia" w:ascii="Times New Roman" w:eastAsia="仿宋_GB2312"/>
                <w:sz w:val="24"/>
              </w:rPr>
              <w:t>）一起食品安全事故出现</w:t>
            </w:r>
            <w:r>
              <w:rPr>
                <w:rFonts w:ascii="Times New Roman" w:eastAsia="仿宋_GB2312"/>
                <w:sz w:val="24"/>
              </w:rPr>
              <w:t>30</w:t>
            </w:r>
            <w:r>
              <w:rPr>
                <w:rFonts w:hint="eastAsia" w:ascii="Times New Roman" w:eastAsia="仿宋_GB2312"/>
                <w:sz w:val="24"/>
              </w:rPr>
              <w:t>人以上死亡的。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3</w:t>
            </w:r>
            <w:r>
              <w:rPr>
                <w:rFonts w:hint="eastAsia" w:ascii="Times New Roman" w:eastAsia="仿宋_GB2312"/>
                <w:sz w:val="24"/>
              </w:rPr>
              <w:t>）国务院认定的其他特别重大级别食品安全事故。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2" w:hRule="atLeast"/>
        </w:trPr>
        <w:tc>
          <w:tcPr>
            <w:tcW w:w="1368" w:type="dxa"/>
            <w:vAlign w:val="center"/>
          </w:tcPr>
          <w:p>
            <w:pPr>
              <w:spacing w:line="400" w:lineRule="exact"/>
              <w:ind w:firstLine="0"/>
              <w:jc w:val="center"/>
              <w:rPr>
                <w:rFonts w:ascii="Times New Roman" w:eastAsia="仿宋_GB2312"/>
                <w:sz w:val="24"/>
              </w:rPr>
            </w:pPr>
            <w:r>
              <w:rPr>
                <w:rFonts w:hint="eastAsia" w:ascii="Times New Roman" w:eastAsia="仿宋_GB2312"/>
                <w:sz w:val="24"/>
              </w:rPr>
              <w:t>重大</w:t>
            </w:r>
          </w:p>
        </w:tc>
        <w:tc>
          <w:tcPr>
            <w:tcW w:w="7387" w:type="dxa"/>
            <w:vAlign w:val="center"/>
          </w:tcPr>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1</w:t>
            </w:r>
            <w:r>
              <w:rPr>
                <w:rFonts w:hint="eastAsia" w:ascii="Times New Roman" w:eastAsia="仿宋_GB2312"/>
                <w:sz w:val="24"/>
              </w:rPr>
              <w:t>）事故影响范围涉及</w:t>
            </w:r>
            <w:r>
              <w:rPr>
                <w:rFonts w:ascii="Times New Roman" w:eastAsia="仿宋_GB2312"/>
                <w:sz w:val="24"/>
              </w:rPr>
              <w:t>2</w:t>
            </w:r>
            <w:r>
              <w:rPr>
                <w:rFonts w:hint="eastAsia" w:ascii="Times New Roman" w:eastAsia="仿宋_GB2312"/>
                <w:sz w:val="24"/>
              </w:rPr>
              <w:t>个以上设区市，造成或经评估认为可能造成对社会公众健康产生严重损害的食品安全事故。</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2</w:t>
            </w:r>
            <w:r>
              <w:rPr>
                <w:rFonts w:hint="eastAsia" w:ascii="Times New Roman" w:eastAsia="仿宋_GB2312"/>
                <w:sz w:val="24"/>
              </w:rPr>
              <w:t>）发现在我国首次出现的新的污染物引起的食品安全事故，造成严重健康损害后果，并有扩散趋势的。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3</w:t>
            </w:r>
            <w:r>
              <w:rPr>
                <w:rFonts w:hint="eastAsia" w:ascii="Times New Roman" w:eastAsia="仿宋_GB2312"/>
                <w:sz w:val="24"/>
              </w:rPr>
              <w:t>）一起食品安全事故造成健康损害人数在</w:t>
            </w:r>
            <w:r>
              <w:rPr>
                <w:rFonts w:ascii="Times New Roman" w:eastAsia="仿宋_GB2312"/>
                <w:sz w:val="24"/>
              </w:rPr>
              <w:t>100</w:t>
            </w:r>
            <w:r>
              <w:rPr>
                <w:rFonts w:hint="eastAsia" w:ascii="Times New Roman" w:eastAsia="仿宋_GB2312"/>
                <w:sz w:val="24"/>
              </w:rPr>
              <w:t>人以上并出现死亡病例；或出现</w:t>
            </w:r>
            <w:r>
              <w:rPr>
                <w:rFonts w:ascii="Times New Roman" w:eastAsia="仿宋_GB2312"/>
                <w:sz w:val="24"/>
              </w:rPr>
              <w:t>10</w:t>
            </w:r>
            <w:r>
              <w:rPr>
                <w:rFonts w:hint="eastAsia" w:ascii="Times New Roman" w:eastAsia="仿宋_GB2312"/>
                <w:sz w:val="24"/>
              </w:rPr>
              <w:t>人以上、</w:t>
            </w:r>
            <w:r>
              <w:rPr>
                <w:rFonts w:ascii="Times New Roman" w:eastAsia="仿宋_GB2312"/>
                <w:sz w:val="24"/>
              </w:rPr>
              <w:t>30</w:t>
            </w:r>
            <w:r>
              <w:rPr>
                <w:rFonts w:hint="eastAsia" w:ascii="Times New Roman" w:eastAsia="仿宋_GB2312"/>
                <w:sz w:val="24"/>
              </w:rPr>
              <w:t>人以下死亡的。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4</w:t>
            </w:r>
            <w:r>
              <w:rPr>
                <w:rFonts w:hint="eastAsia" w:ascii="Times New Roman" w:eastAsia="仿宋_GB2312"/>
                <w:sz w:val="24"/>
              </w:rPr>
              <w:t>）省人民政府认定的其他重大级别食品安全事故。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1368" w:type="dxa"/>
            <w:vAlign w:val="center"/>
          </w:tcPr>
          <w:p>
            <w:pPr>
              <w:spacing w:line="400" w:lineRule="exact"/>
              <w:ind w:firstLine="0"/>
              <w:jc w:val="center"/>
              <w:rPr>
                <w:rFonts w:ascii="Times New Roman" w:eastAsia="仿宋_GB2312"/>
                <w:sz w:val="24"/>
              </w:rPr>
            </w:pPr>
            <w:r>
              <w:rPr>
                <w:rFonts w:hint="eastAsia" w:ascii="Times New Roman" w:eastAsia="仿宋_GB2312"/>
                <w:sz w:val="24"/>
              </w:rPr>
              <w:t>较大</w:t>
            </w:r>
          </w:p>
        </w:tc>
        <w:tc>
          <w:tcPr>
            <w:tcW w:w="7387" w:type="dxa"/>
            <w:vAlign w:val="center"/>
          </w:tcPr>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1</w:t>
            </w:r>
            <w:r>
              <w:rPr>
                <w:rFonts w:hint="eastAsia" w:ascii="Times New Roman" w:eastAsia="仿宋_GB2312"/>
                <w:sz w:val="24"/>
              </w:rPr>
              <w:t>）事故影响范围涉及</w:t>
            </w:r>
            <w:r>
              <w:rPr>
                <w:rFonts w:ascii="Times New Roman" w:eastAsia="仿宋_GB2312"/>
                <w:sz w:val="24"/>
              </w:rPr>
              <w:t>2</w:t>
            </w:r>
            <w:r>
              <w:rPr>
                <w:rFonts w:hint="eastAsia" w:ascii="Times New Roman" w:eastAsia="仿宋_GB2312"/>
                <w:sz w:val="24"/>
              </w:rPr>
              <w:t>个以上县（市、区），已造成严重健康损害后果的。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2</w:t>
            </w:r>
            <w:r>
              <w:rPr>
                <w:rFonts w:hint="eastAsia" w:ascii="Times New Roman" w:eastAsia="仿宋_GB2312"/>
                <w:sz w:val="24"/>
              </w:rPr>
              <w:t>）一起食品安全事故造成健康损害人数在</w:t>
            </w:r>
            <w:r>
              <w:rPr>
                <w:rFonts w:ascii="Times New Roman" w:eastAsia="仿宋_GB2312"/>
                <w:sz w:val="24"/>
              </w:rPr>
              <w:t>100</w:t>
            </w:r>
            <w:r>
              <w:rPr>
                <w:rFonts w:hint="eastAsia" w:ascii="Times New Roman" w:eastAsia="仿宋_GB2312"/>
                <w:sz w:val="24"/>
              </w:rPr>
              <w:t>人以上；或出现</w:t>
            </w:r>
            <w:r>
              <w:rPr>
                <w:rFonts w:ascii="Times New Roman" w:eastAsia="仿宋_GB2312"/>
                <w:sz w:val="24"/>
              </w:rPr>
              <w:t>10</w:t>
            </w:r>
            <w:r>
              <w:rPr>
                <w:rFonts w:hint="eastAsia" w:ascii="Times New Roman" w:eastAsia="仿宋_GB2312"/>
                <w:sz w:val="24"/>
              </w:rPr>
              <w:t>人以下死亡病例的。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3</w:t>
            </w:r>
            <w:r>
              <w:rPr>
                <w:rFonts w:hint="eastAsia" w:ascii="Times New Roman" w:eastAsia="仿宋_GB2312"/>
                <w:sz w:val="24"/>
              </w:rPr>
              <w:t>）市人民政府认定的其他较大级别食品安全事故。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368" w:type="dxa"/>
            <w:vAlign w:val="center"/>
          </w:tcPr>
          <w:p>
            <w:pPr>
              <w:spacing w:line="400" w:lineRule="exact"/>
              <w:ind w:firstLine="0"/>
              <w:jc w:val="center"/>
              <w:rPr>
                <w:rFonts w:ascii="Times New Roman" w:eastAsia="仿宋_GB2312"/>
                <w:sz w:val="24"/>
              </w:rPr>
            </w:pPr>
            <w:r>
              <w:rPr>
                <w:rFonts w:hint="eastAsia" w:ascii="Times New Roman" w:eastAsia="仿宋_GB2312"/>
                <w:sz w:val="24"/>
              </w:rPr>
              <w:t>一般</w:t>
            </w:r>
          </w:p>
        </w:tc>
        <w:tc>
          <w:tcPr>
            <w:tcW w:w="7387" w:type="dxa"/>
            <w:vAlign w:val="center"/>
          </w:tcPr>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1</w:t>
            </w:r>
            <w:r>
              <w:rPr>
                <w:rFonts w:hint="eastAsia" w:ascii="Times New Roman" w:eastAsia="仿宋_GB2312"/>
                <w:sz w:val="24"/>
              </w:rPr>
              <w:t>）存在健康损害的污染食品，在</w:t>
            </w:r>
            <w:r>
              <w:rPr>
                <w:rFonts w:ascii="Times New Roman" w:eastAsia="仿宋_GB2312"/>
                <w:sz w:val="24"/>
              </w:rPr>
              <w:t>1</w:t>
            </w:r>
            <w:r>
              <w:rPr>
                <w:rFonts w:hint="eastAsia" w:ascii="Times New Roman" w:eastAsia="仿宋_GB2312"/>
                <w:sz w:val="24"/>
              </w:rPr>
              <w:t>个县（市、区）行政区内已造成严重健康损害后果的。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2</w:t>
            </w:r>
            <w:r>
              <w:rPr>
                <w:rFonts w:hint="eastAsia" w:ascii="Times New Roman" w:eastAsia="仿宋_GB2312"/>
                <w:sz w:val="24"/>
              </w:rPr>
              <w:t>）一起食品安全事故造成健康损害人数在</w:t>
            </w:r>
            <w:r>
              <w:rPr>
                <w:rFonts w:ascii="Times New Roman" w:eastAsia="仿宋_GB2312"/>
                <w:sz w:val="24"/>
              </w:rPr>
              <w:t>30</w:t>
            </w:r>
            <w:r>
              <w:rPr>
                <w:rFonts w:hint="eastAsia" w:ascii="Times New Roman" w:eastAsia="仿宋_GB2312"/>
                <w:sz w:val="24"/>
              </w:rPr>
              <w:t>人以上、</w:t>
            </w:r>
            <w:r>
              <w:rPr>
                <w:rFonts w:ascii="Times New Roman" w:eastAsia="仿宋_GB2312"/>
                <w:sz w:val="24"/>
              </w:rPr>
              <w:t>100</w:t>
            </w:r>
            <w:r>
              <w:rPr>
                <w:rFonts w:hint="eastAsia" w:ascii="Times New Roman" w:eastAsia="仿宋_GB2312"/>
                <w:sz w:val="24"/>
              </w:rPr>
              <w:t>人以下，且未出现死亡病例的。</w:t>
            </w:r>
          </w:p>
          <w:p>
            <w:pPr>
              <w:spacing w:line="400" w:lineRule="exact"/>
              <w:ind w:firstLine="0"/>
              <w:rPr>
                <w:rFonts w:ascii="Times New Roman" w:eastAsia="仿宋_GB2312"/>
                <w:sz w:val="24"/>
              </w:rPr>
            </w:pPr>
            <w:r>
              <w:rPr>
                <w:rFonts w:hint="eastAsia" w:ascii="Times New Roman" w:eastAsia="仿宋_GB2312"/>
                <w:sz w:val="24"/>
              </w:rPr>
              <w:t>（</w:t>
            </w:r>
            <w:r>
              <w:rPr>
                <w:rFonts w:ascii="Times New Roman" w:eastAsia="仿宋_GB2312"/>
                <w:sz w:val="24"/>
              </w:rPr>
              <w:t>3</w:t>
            </w:r>
            <w:r>
              <w:rPr>
                <w:rFonts w:hint="eastAsia" w:ascii="Times New Roman" w:eastAsia="仿宋_GB2312"/>
                <w:sz w:val="24"/>
              </w:rPr>
              <w:t>）县（市、区）人民政府认定的其他一般级别食品安全事故。</w:t>
            </w:r>
          </w:p>
        </w:tc>
      </w:tr>
    </w:tbl>
    <w:p>
      <w:pPr>
        <w:rPr>
          <w:rFonts w:ascii="Times New Roman" w:eastAsia="仿宋_GB2312"/>
          <w:sz w:val="24"/>
        </w:rPr>
      </w:pPr>
      <w:r>
        <w:rPr>
          <w:rFonts w:hint="eastAsia" w:ascii="Times New Roman" w:eastAsia="仿宋_GB2312"/>
          <w:sz w:val="24"/>
        </w:rPr>
        <w:t>注：</w:t>
      </w:r>
      <w:r>
        <w:rPr>
          <w:rFonts w:ascii="Times New Roman" w:eastAsia="仿宋_GB2312"/>
          <w:sz w:val="24"/>
        </w:rPr>
        <w:t>“</w:t>
      </w:r>
      <w:r>
        <w:rPr>
          <w:rFonts w:hint="eastAsia" w:ascii="Times New Roman" w:eastAsia="仿宋_GB2312"/>
          <w:sz w:val="24"/>
        </w:rPr>
        <w:t>以上</w:t>
      </w:r>
      <w:r>
        <w:rPr>
          <w:rFonts w:ascii="Times New Roman" w:eastAsia="仿宋_GB2312"/>
          <w:sz w:val="24"/>
        </w:rPr>
        <w:t>”</w:t>
      </w:r>
      <w:r>
        <w:rPr>
          <w:rFonts w:hint="eastAsia" w:ascii="Times New Roman" w:eastAsia="仿宋_GB2312"/>
          <w:sz w:val="24"/>
        </w:rPr>
        <w:t>含本数，</w:t>
      </w:r>
      <w:r>
        <w:rPr>
          <w:rFonts w:ascii="Times New Roman" w:eastAsia="仿宋_GB2312"/>
          <w:sz w:val="24"/>
        </w:rPr>
        <w:t>“</w:t>
      </w:r>
      <w:r>
        <w:rPr>
          <w:rFonts w:hint="eastAsia" w:ascii="Times New Roman" w:eastAsia="仿宋_GB2312"/>
          <w:sz w:val="24"/>
        </w:rPr>
        <w:t>以下</w:t>
      </w:r>
      <w:r>
        <w:rPr>
          <w:rFonts w:ascii="Times New Roman" w:eastAsia="仿宋_GB2312"/>
          <w:sz w:val="24"/>
        </w:rPr>
        <w:t>”</w:t>
      </w:r>
      <w:r>
        <w:rPr>
          <w:rFonts w:hint="eastAsia" w:ascii="Times New Roman" w:eastAsia="仿宋_GB2312"/>
          <w:sz w:val="24"/>
        </w:rPr>
        <w:t>不含本数。</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729EB"/>
    <w:rsid w:val="020729EB"/>
    <w:rsid w:val="0A900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2021-05-11T08:45:00Z</dcterms:created>
  <dc:creator>fight for myself</dc:creator>
  <cp:lastModifiedBy>fight for myself</cp:lastModifiedBy>
  <dcterms:modified xsi:type="dcterms:W3CDTF">2021-05-11T08:45:53Z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58B3F23ED9B845F4917A49B8A6500FDD</vt:lpwstr>
  </property>
</Properties>
</file>