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90C" w:rsidRDefault="0023790C">
      <w:pPr>
        <w:spacing w:line="560" w:lineRule="exact"/>
        <w:jc w:val="center"/>
        <w:rPr>
          <w:rFonts w:ascii="Times New Roman" w:eastAsia="方正小标宋简体" w:hAnsi="Times New Roman" w:cs="Times New Roman"/>
          <w:sz w:val="44"/>
          <w:szCs w:val="44"/>
        </w:rPr>
      </w:pPr>
    </w:p>
    <w:p w:rsidR="0023790C" w:rsidRDefault="00972AA8">
      <w:pPr>
        <w:spacing w:line="560" w:lineRule="exact"/>
        <w:jc w:val="center"/>
        <w:rPr>
          <w:rFonts w:ascii="Times New Roman" w:eastAsia="方正小标宋简体" w:hAnsi="Times New Roman" w:cs="Times New Roman"/>
          <w:sz w:val="44"/>
          <w:szCs w:val="44"/>
        </w:rPr>
      </w:pPr>
      <w:bookmarkStart w:id="0" w:name="_GoBack"/>
      <w:r>
        <w:rPr>
          <w:rFonts w:ascii="Times New Roman" w:eastAsia="方正小标宋简体" w:hAnsi="Times New Roman" w:cs="Times New Roman"/>
          <w:sz w:val="44"/>
          <w:szCs w:val="44"/>
        </w:rPr>
        <w:t>太仓市</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十四五</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金融业发展规划</w:t>
      </w:r>
    </w:p>
    <w:bookmarkEnd w:id="0"/>
    <w:p w:rsidR="0023790C" w:rsidRDefault="0023790C">
      <w:pPr>
        <w:spacing w:line="560" w:lineRule="exact"/>
        <w:jc w:val="center"/>
        <w:rPr>
          <w:rFonts w:ascii="Times New Roman" w:hAnsi="Times New Roman" w:cs="Times New Roman"/>
          <w:sz w:val="96"/>
          <w:szCs w:val="96"/>
        </w:rPr>
      </w:pPr>
    </w:p>
    <w:p w:rsidR="0023790C" w:rsidRPr="007716EF" w:rsidRDefault="00972AA8" w:rsidP="009D2572">
      <w:pPr>
        <w:spacing w:beforeLines="50" w:afterLines="50" w:line="560" w:lineRule="exact"/>
        <w:jc w:val="center"/>
        <w:rPr>
          <w:rFonts w:ascii="Times New Roman" w:eastAsia="黑体" w:hAnsi="Times New Roman" w:cs="Times New Roman"/>
          <w:sz w:val="36"/>
          <w:szCs w:val="44"/>
        </w:rPr>
      </w:pPr>
      <w:r w:rsidRPr="007716EF">
        <w:rPr>
          <w:rFonts w:ascii="Times New Roman" w:eastAsia="黑体" w:hAnsi="Times New Roman" w:cs="Times New Roman"/>
          <w:sz w:val="36"/>
          <w:szCs w:val="44"/>
        </w:rPr>
        <w:t>目</w:t>
      </w:r>
      <w:r w:rsidRPr="007716EF">
        <w:rPr>
          <w:rFonts w:ascii="Times New Roman" w:eastAsia="黑体" w:hAnsi="Times New Roman" w:cs="Times New Roman"/>
          <w:sz w:val="36"/>
          <w:szCs w:val="44"/>
        </w:rPr>
        <w:t xml:space="preserve">  </w:t>
      </w:r>
      <w:r w:rsidRPr="007716EF">
        <w:rPr>
          <w:rFonts w:ascii="Times New Roman" w:eastAsia="黑体" w:hAnsi="Times New Roman" w:cs="Times New Roman"/>
          <w:sz w:val="36"/>
          <w:szCs w:val="44"/>
        </w:rPr>
        <w:t>录</w:t>
      </w:r>
    </w:p>
    <w:p w:rsidR="0023790C" w:rsidRDefault="00D71441">
      <w:pPr>
        <w:pStyle w:val="10"/>
        <w:tabs>
          <w:tab w:val="right" w:leader="dot" w:pos="8290"/>
        </w:tabs>
        <w:spacing w:line="560" w:lineRule="exact"/>
        <w:rPr>
          <w:rFonts w:ascii="Times New Roman" w:eastAsia="黑体" w:hAnsi="Times New Roman" w:cs="Times New Roman"/>
          <w:kern w:val="0"/>
          <w:szCs w:val="32"/>
        </w:rPr>
      </w:pPr>
      <w:r>
        <w:rPr>
          <w:rFonts w:ascii="Times New Roman" w:eastAsia="黑体" w:hAnsi="Times New Roman" w:cs="Times New Roman"/>
          <w:sz w:val="24"/>
        </w:rPr>
        <w:fldChar w:fldCharType="begin"/>
      </w:r>
      <w:r w:rsidR="00972AA8">
        <w:rPr>
          <w:rFonts w:ascii="Times New Roman" w:eastAsia="黑体" w:hAnsi="Times New Roman" w:cs="Times New Roman"/>
          <w:sz w:val="24"/>
        </w:rPr>
        <w:instrText xml:space="preserve"> TOC \o "1-3" \h \z \u </w:instrText>
      </w:r>
      <w:r>
        <w:rPr>
          <w:rFonts w:ascii="Times New Roman" w:eastAsia="黑体" w:hAnsi="Times New Roman" w:cs="Times New Roman"/>
          <w:sz w:val="24"/>
        </w:rPr>
        <w:fldChar w:fldCharType="separate"/>
      </w:r>
      <w:hyperlink w:anchor="_Toc87626005" w:history="1">
        <w:r w:rsidR="00972AA8">
          <w:rPr>
            <w:rStyle w:val="a9"/>
            <w:rFonts w:ascii="Times New Roman" w:eastAsia="黑体" w:hAnsi="Times New Roman" w:cs="Times New Roman"/>
            <w:szCs w:val="32"/>
          </w:rPr>
          <w:t>前</w:t>
        </w:r>
        <w:r w:rsidR="00972AA8">
          <w:rPr>
            <w:rStyle w:val="a9"/>
            <w:rFonts w:ascii="Times New Roman" w:eastAsia="黑体" w:hAnsi="Times New Roman" w:cs="Times New Roman"/>
            <w:szCs w:val="32"/>
          </w:rPr>
          <w:t xml:space="preserve">   </w:t>
        </w:r>
        <w:r w:rsidR="00972AA8">
          <w:rPr>
            <w:rStyle w:val="a9"/>
            <w:rFonts w:ascii="Times New Roman" w:eastAsia="黑体" w:hAnsi="Times New Roman" w:cs="Times New Roman"/>
            <w:szCs w:val="32"/>
          </w:rPr>
          <w:t>言</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_Toc87626005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1</w:t>
        </w:r>
        <w:r>
          <w:rPr>
            <w:rFonts w:ascii="Times New Roman" w:eastAsia="黑体" w:hAnsi="Times New Roman" w:cs="Times New Roman"/>
            <w:szCs w:val="32"/>
          </w:rPr>
          <w:fldChar w:fldCharType="end"/>
        </w:r>
      </w:hyperlink>
    </w:p>
    <w:p w:rsidR="0023790C" w:rsidRDefault="00D71441">
      <w:pPr>
        <w:pStyle w:val="10"/>
        <w:tabs>
          <w:tab w:val="right" w:leader="dot" w:pos="8290"/>
        </w:tabs>
        <w:spacing w:line="560" w:lineRule="exact"/>
        <w:rPr>
          <w:rFonts w:ascii="Times New Roman" w:eastAsia="黑体" w:hAnsi="Times New Roman" w:cs="Times New Roman"/>
          <w:kern w:val="0"/>
          <w:szCs w:val="32"/>
        </w:rPr>
      </w:pPr>
      <w:hyperlink w:anchor="_Toc87626006" w:history="1">
        <w:r w:rsidR="00972AA8">
          <w:rPr>
            <w:rStyle w:val="a9"/>
            <w:rFonts w:ascii="Times New Roman" w:eastAsia="黑体" w:hAnsi="Times New Roman" w:cs="Times New Roman"/>
            <w:szCs w:val="32"/>
            <w:u w:val="none"/>
          </w:rPr>
          <w:t>一、发展基础与形势</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_Toc87626006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2</w:t>
        </w:r>
        <w:r>
          <w:rPr>
            <w:rFonts w:ascii="Times New Roman" w:eastAsia="黑体" w:hAnsi="Times New Roman" w:cs="Times New Roman"/>
            <w:szCs w:val="32"/>
          </w:rPr>
          <w:fldChar w:fldCharType="end"/>
        </w:r>
      </w:hyperlink>
    </w:p>
    <w:p w:rsidR="0023790C" w:rsidRDefault="00D71441">
      <w:pPr>
        <w:pStyle w:val="20"/>
        <w:tabs>
          <w:tab w:val="right" w:leader="dot" w:pos="8290"/>
        </w:tabs>
        <w:spacing w:line="560" w:lineRule="exact"/>
        <w:rPr>
          <w:rFonts w:ascii="Times New Roman" w:eastAsia="黑体" w:hAnsi="Times New Roman" w:cs="Times New Roman"/>
          <w:kern w:val="0"/>
          <w:szCs w:val="32"/>
        </w:rPr>
      </w:pPr>
      <w:hyperlink w:anchor="_Toc87626007" w:history="1">
        <w:r w:rsidR="00972AA8">
          <w:rPr>
            <w:rStyle w:val="a9"/>
            <w:rFonts w:ascii="Times New Roman" w:eastAsia="楷体_GB2312" w:hAnsi="Times New Roman" w:cs="Times New Roman"/>
            <w:szCs w:val="32"/>
          </w:rPr>
          <w:t>（一）发展基础</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_Toc87626007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2</w:t>
        </w:r>
        <w:r>
          <w:rPr>
            <w:rFonts w:ascii="Times New Roman" w:eastAsia="黑体" w:hAnsi="Times New Roman" w:cs="Times New Roman"/>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08" w:history="1">
        <w:r w:rsidR="00972AA8">
          <w:rPr>
            <w:rStyle w:val="a9"/>
            <w:rFonts w:ascii="Times New Roman" w:eastAsia="仿宋_GB2312" w:hAnsi="Times New Roman" w:cs="Times New Roman"/>
            <w:sz w:val="32"/>
            <w:szCs w:val="32"/>
          </w:rPr>
          <w:t>1.“</w:t>
        </w:r>
        <w:r w:rsidR="00972AA8">
          <w:rPr>
            <w:rStyle w:val="a9"/>
            <w:rFonts w:ascii="Times New Roman" w:eastAsia="仿宋_GB2312" w:hAnsi="Times New Roman" w:cs="Times New Roman"/>
            <w:sz w:val="32"/>
            <w:szCs w:val="32"/>
          </w:rPr>
          <w:t>十三五</w:t>
        </w:r>
        <w:r w:rsidR="00972AA8">
          <w:rPr>
            <w:rStyle w:val="a9"/>
            <w:rFonts w:ascii="Times New Roman" w:eastAsia="仿宋_GB2312" w:hAnsi="Times New Roman" w:cs="Times New Roman"/>
            <w:sz w:val="32"/>
            <w:szCs w:val="32"/>
          </w:rPr>
          <w:t>”</w:t>
        </w:r>
        <w:r w:rsidR="00972AA8">
          <w:rPr>
            <w:rStyle w:val="a9"/>
            <w:rFonts w:ascii="Times New Roman" w:eastAsia="仿宋_GB2312" w:hAnsi="Times New Roman" w:cs="Times New Roman"/>
            <w:sz w:val="32"/>
            <w:szCs w:val="32"/>
          </w:rPr>
          <w:t>发展成绩</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_Toc87626008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2</w:t>
        </w:r>
        <w:r>
          <w:rPr>
            <w:rFonts w:ascii="Times New Roman" w:eastAsia="黑体" w:hAnsi="Times New Roman" w:cs="Times New Roman"/>
            <w:sz w:val="32"/>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09" w:history="1">
        <w:r w:rsidR="00972AA8">
          <w:rPr>
            <w:rStyle w:val="a9"/>
            <w:rFonts w:ascii="Times New Roman" w:eastAsia="仿宋_GB2312" w:hAnsi="Times New Roman" w:cs="Times New Roman"/>
            <w:sz w:val="32"/>
            <w:szCs w:val="32"/>
          </w:rPr>
          <w:t>2.“</w:t>
        </w:r>
        <w:r w:rsidR="00972AA8">
          <w:rPr>
            <w:rStyle w:val="a9"/>
            <w:rFonts w:ascii="Times New Roman" w:eastAsia="仿宋_GB2312" w:hAnsi="Times New Roman" w:cs="Times New Roman"/>
            <w:sz w:val="32"/>
            <w:szCs w:val="32"/>
          </w:rPr>
          <w:t>十三五</w:t>
        </w:r>
        <w:r w:rsidR="00972AA8">
          <w:rPr>
            <w:rStyle w:val="a9"/>
            <w:rFonts w:ascii="Times New Roman" w:eastAsia="仿宋_GB2312" w:hAnsi="Times New Roman" w:cs="Times New Roman"/>
            <w:sz w:val="32"/>
            <w:szCs w:val="32"/>
          </w:rPr>
          <w:t>”</w:t>
        </w:r>
        <w:r w:rsidR="00972AA8">
          <w:rPr>
            <w:rStyle w:val="a9"/>
            <w:rFonts w:ascii="Times New Roman" w:eastAsia="仿宋_GB2312" w:hAnsi="Times New Roman" w:cs="Times New Roman"/>
            <w:sz w:val="32"/>
            <w:szCs w:val="32"/>
          </w:rPr>
          <w:t>存在的问题</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_Toc87626009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6</w:t>
        </w:r>
        <w:r>
          <w:rPr>
            <w:rFonts w:ascii="Times New Roman" w:eastAsia="黑体" w:hAnsi="Times New Roman" w:cs="Times New Roman"/>
            <w:sz w:val="32"/>
            <w:szCs w:val="32"/>
          </w:rPr>
          <w:fldChar w:fldCharType="end"/>
        </w:r>
      </w:hyperlink>
    </w:p>
    <w:p w:rsidR="0023790C" w:rsidRDefault="00D71441">
      <w:pPr>
        <w:pStyle w:val="20"/>
        <w:tabs>
          <w:tab w:val="right" w:leader="dot" w:pos="8290"/>
        </w:tabs>
        <w:spacing w:line="560" w:lineRule="exact"/>
        <w:rPr>
          <w:rFonts w:ascii="Times New Roman" w:eastAsia="黑体" w:hAnsi="Times New Roman" w:cs="Times New Roman"/>
          <w:kern w:val="0"/>
          <w:szCs w:val="32"/>
        </w:rPr>
      </w:pPr>
      <w:hyperlink w:anchor="_Toc87626010" w:history="1">
        <w:r w:rsidR="00972AA8">
          <w:rPr>
            <w:rStyle w:val="a9"/>
            <w:rFonts w:ascii="Times New Roman" w:eastAsia="楷体_GB2312" w:hAnsi="Times New Roman" w:cs="Times New Roman"/>
            <w:szCs w:val="32"/>
          </w:rPr>
          <w:t>（二）发展环境</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_Toc87626010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7</w:t>
        </w:r>
        <w:r>
          <w:rPr>
            <w:rFonts w:ascii="Times New Roman" w:eastAsia="黑体" w:hAnsi="Times New Roman" w:cs="Times New Roman"/>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11" w:history="1">
        <w:r w:rsidR="00972AA8">
          <w:rPr>
            <w:rStyle w:val="a9"/>
            <w:rFonts w:ascii="Times New Roman" w:eastAsia="仿宋_GB2312" w:hAnsi="Times New Roman" w:cs="Times New Roman"/>
            <w:sz w:val="32"/>
            <w:szCs w:val="32"/>
          </w:rPr>
          <w:t>1.</w:t>
        </w:r>
        <w:r w:rsidR="00972AA8">
          <w:rPr>
            <w:rStyle w:val="a9"/>
            <w:rFonts w:ascii="Times New Roman" w:eastAsia="仿宋_GB2312" w:hAnsi="Times New Roman" w:cs="Times New Roman"/>
            <w:sz w:val="32"/>
            <w:szCs w:val="32"/>
          </w:rPr>
          <w:t>发展机遇</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_Toc87626011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7</w:t>
        </w:r>
        <w:r>
          <w:rPr>
            <w:rFonts w:ascii="Times New Roman" w:eastAsia="黑体" w:hAnsi="Times New Roman" w:cs="Times New Roman"/>
            <w:sz w:val="32"/>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12" w:history="1">
        <w:r w:rsidR="00972AA8">
          <w:rPr>
            <w:rStyle w:val="a9"/>
            <w:rFonts w:ascii="Times New Roman" w:eastAsia="仿宋_GB2312" w:hAnsi="Times New Roman" w:cs="Times New Roman"/>
            <w:sz w:val="32"/>
            <w:szCs w:val="32"/>
          </w:rPr>
          <w:t>2.</w:t>
        </w:r>
        <w:r w:rsidR="00972AA8">
          <w:rPr>
            <w:rStyle w:val="a9"/>
            <w:rFonts w:ascii="Times New Roman" w:eastAsia="仿宋_GB2312" w:hAnsi="Times New Roman" w:cs="Times New Roman"/>
            <w:sz w:val="32"/>
            <w:szCs w:val="32"/>
          </w:rPr>
          <w:t>发展挑战</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_Toc87626012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8</w:t>
        </w:r>
        <w:r>
          <w:rPr>
            <w:rFonts w:ascii="Times New Roman" w:eastAsia="黑体" w:hAnsi="Times New Roman" w:cs="Times New Roman"/>
            <w:sz w:val="32"/>
            <w:szCs w:val="32"/>
          </w:rPr>
          <w:fldChar w:fldCharType="end"/>
        </w:r>
      </w:hyperlink>
    </w:p>
    <w:p w:rsidR="0023790C" w:rsidRDefault="00D71441">
      <w:pPr>
        <w:pStyle w:val="10"/>
        <w:tabs>
          <w:tab w:val="right" w:leader="dot" w:pos="8290"/>
        </w:tabs>
        <w:spacing w:line="560" w:lineRule="exact"/>
        <w:rPr>
          <w:rFonts w:ascii="Times New Roman" w:eastAsia="黑体" w:hAnsi="Times New Roman" w:cs="Times New Roman"/>
          <w:kern w:val="0"/>
          <w:szCs w:val="32"/>
        </w:rPr>
      </w:pPr>
      <w:hyperlink w:anchor="_Toc87626013" w:history="1">
        <w:r w:rsidR="00972AA8">
          <w:rPr>
            <w:rStyle w:val="a9"/>
            <w:rFonts w:ascii="Times New Roman" w:eastAsia="黑体" w:hAnsi="Times New Roman" w:cs="Times New Roman"/>
            <w:szCs w:val="32"/>
          </w:rPr>
          <w:t>二、发展思路与目标</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_Toc87626013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8</w:t>
        </w:r>
        <w:r>
          <w:rPr>
            <w:rFonts w:ascii="Times New Roman" w:eastAsia="黑体" w:hAnsi="Times New Roman" w:cs="Times New Roman"/>
            <w:szCs w:val="32"/>
          </w:rPr>
          <w:fldChar w:fldCharType="end"/>
        </w:r>
      </w:hyperlink>
    </w:p>
    <w:p w:rsidR="0023790C" w:rsidRDefault="00D71441">
      <w:pPr>
        <w:pStyle w:val="20"/>
        <w:tabs>
          <w:tab w:val="right" w:leader="dot" w:pos="8290"/>
        </w:tabs>
        <w:spacing w:line="560" w:lineRule="exact"/>
        <w:rPr>
          <w:rFonts w:ascii="Times New Roman" w:eastAsia="黑体" w:hAnsi="Times New Roman" w:cs="Times New Roman"/>
          <w:kern w:val="0"/>
          <w:szCs w:val="32"/>
        </w:rPr>
      </w:pPr>
      <w:hyperlink w:anchor="_Toc87626014" w:history="1">
        <w:r w:rsidR="00972AA8">
          <w:rPr>
            <w:rStyle w:val="a9"/>
            <w:rFonts w:ascii="Times New Roman" w:eastAsia="楷体_GB2312" w:hAnsi="Times New Roman" w:cs="Times New Roman"/>
            <w:szCs w:val="32"/>
          </w:rPr>
          <w:t>（一）指导思想</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_Toc87626014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8</w:t>
        </w:r>
        <w:r>
          <w:rPr>
            <w:rFonts w:ascii="Times New Roman" w:eastAsia="黑体" w:hAnsi="Times New Roman" w:cs="Times New Roman"/>
            <w:szCs w:val="32"/>
          </w:rPr>
          <w:fldChar w:fldCharType="end"/>
        </w:r>
      </w:hyperlink>
    </w:p>
    <w:p w:rsidR="0023790C" w:rsidRDefault="00D71441">
      <w:pPr>
        <w:pStyle w:val="20"/>
        <w:tabs>
          <w:tab w:val="right" w:leader="dot" w:pos="8290"/>
        </w:tabs>
        <w:spacing w:line="560" w:lineRule="exact"/>
        <w:rPr>
          <w:rFonts w:ascii="Times New Roman" w:eastAsia="黑体" w:hAnsi="Times New Roman" w:cs="Times New Roman"/>
          <w:kern w:val="0"/>
          <w:szCs w:val="32"/>
        </w:rPr>
      </w:pPr>
      <w:hyperlink w:anchor="_Toc87626015" w:history="1">
        <w:r w:rsidR="00972AA8">
          <w:rPr>
            <w:rStyle w:val="a9"/>
            <w:rFonts w:ascii="Times New Roman" w:eastAsia="楷体_GB2312" w:hAnsi="Times New Roman" w:cs="Times New Roman"/>
            <w:szCs w:val="32"/>
          </w:rPr>
          <w:t>（二）基本原则</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_Toc87626015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9</w:t>
        </w:r>
        <w:r>
          <w:rPr>
            <w:rFonts w:ascii="Times New Roman" w:eastAsia="黑体" w:hAnsi="Times New Roman" w:cs="Times New Roman"/>
            <w:szCs w:val="32"/>
          </w:rPr>
          <w:fldChar w:fldCharType="end"/>
        </w:r>
      </w:hyperlink>
    </w:p>
    <w:p w:rsidR="0023790C" w:rsidRDefault="00D71441">
      <w:pPr>
        <w:pStyle w:val="20"/>
        <w:tabs>
          <w:tab w:val="right" w:leader="dot" w:pos="8290"/>
        </w:tabs>
        <w:spacing w:line="560" w:lineRule="exact"/>
        <w:rPr>
          <w:rFonts w:ascii="Times New Roman" w:eastAsia="黑体" w:hAnsi="Times New Roman" w:cs="Times New Roman"/>
          <w:kern w:val="0"/>
          <w:szCs w:val="32"/>
        </w:rPr>
      </w:pPr>
      <w:hyperlink w:anchor="_Toc87626016" w:history="1">
        <w:r w:rsidR="00972AA8">
          <w:rPr>
            <w:rStyle w:val="a9"/>
            <w:rFonts w:ascii="Times New Roman" w:eastAsia="楷体_GB2312" w:hAnsi="Times New Roman" w:cs="Times New Roman"/>
            <w:szCs w:val="32"/>
          </w:rPr>
          <w:t>（三）发展目标</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_Toc87626016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10</w:t>
        </w:r>
        <w:r>
          <w:rPr>
            <w:rFonts w:ascii="Times New Roman" w:eastAsia="黑体" w:hAnsi="Times New Roman" w:cs="Times New Roman"/>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17" w:history="1">
        <w:r w:rsidR="00972AA8">
          <w:rPr>
            <w:rStyle w:val="a9"/>
            <w:rFonts w:ascii="Times New Roman" w:eastAsia="仿宋_GB2312" w:hAnsi="Times New Roman" w:cs="Times New Roman"/>
            <w:sz w:val="32"/>
            <w:szCs w:val="32"/>
          </w:rPr>
          <w:t>1.</w:t>
        </w:r>
        <w:r w:rsidR="00972AA8">
          <w:rPr>
            <w:rStyle w:val="a9"/>
            <w:rFonts w:ascii="Times New Roman" w:eastAsia="仿宋_GB2312" w:hAnsi="Times New Roman" w:cs="Times New Roman"/>
            <w:sz w:val="32"/>
            <w:szCs w:val="32"/>
          </w:rPr>
          <w:t>战略目标</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_Toc87626017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10</w:t>
        </w:r>
        <w:r>
          <w:rPr>
            <w:rFonts w:ascii="Times New Roman" w:eastAsia="黑体" w:hAnsi="Times New Roman" w:cs="Times New Roman"/>
            <w:sz w:val="32"/>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18" w:history="1">
        <w:r w:rsidR="00972AA8">
          <w:rPr>
            <w:rStyle w:val="a9"/>
            <w:rFonts w:ascii="Times New Roman" w:eastAsia="仿宋_GB2312" w:hAnsi="Times New Roman" w:cs="Times New Roman"/>
            <w:sz w:val="32"/>
            <w:szCs w:val="32"/>
          </w:rPr>
          <w:t>2.</w:t>
        </w:r>
        <w:r w:rsidR="00972AA8">
          <w:rPr>
            <w:rStyle w:val="a9"/>
            <w:rFonts w:ascii="Times New Roman" w:eastAsia="仿宋_GB2312" w:hAnsi="Times New Roman" w:cs="Times New Roman"/>
            <w:sz w:val="32"/>
            <w:szCs w:val="32"/>
          </w:rPr>
          <w:t>具体目标</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_Toc87626018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11</w:t>
        </w:r>
        <w:r>
          <w:rPr>
            <w:rFonts w:ascii="Times New Roman" w:eastAsia="黑体" w:hAnsi="Times New Roman" w:cs="Times New Roman"/>
            <w:sz w:val="32"/>
            <w:szCs w:val="32"/>
          </w:rPr>
          <w:fldChar w:fldCharType="end"/>
        </w:r>
      </w:hyperlink>
    </w:p>
    <w:p w:rsidR="0023790C" w:rsidRDefault="00D71441">
      <w:pPr>
        <w:pStyle w:val="10"/>
        <w:tabs>
          <w:tab w:val="right" w:leader="dot" w:pos="8290"/>
        </w:tabs>
        <w:spacing w:line="560" w:lineRule="exact"/>
        <w:rPr>
          <w:rFonts w:ascii="Times New Roman" w:eastAsia="黑体" w:hAnsi="Times New Roman" w:cs="Times New Roman"/>
          <w:kern w:val="0"/>
          <w:szCs w:val="32"/>
        </w:rPr>
      </w:pPr>
      <w:hyperlink w:anchor="_Toc87626019" w:history="1">
        <w:r w:rsidR="00972AA8">
          <w:rPr>
            <w:rStyle w:val="a9"/>
            <w:rFonts w:ascii="Times New Roman" w:eastAsia="黑体" w:hAnsi="Times New Roman" w:cs="Times New Roman"/>
            <w:szCs w:val="32"/>
          </w:rPr>
          <w:t>三、发展任务与举措</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_Toc87626019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13</w:t>
        </w:r>
        <w:r>
          <w:rPr>
            <w:rFonts w:ascii="Times New Roman" w:eastAsia="黑体" w:hAnsi="Times New Roman" w:cs="Times New Roman"/>
            <w:szCs w:val="32"/>
          </w:rPr>
          <w:fldChar w:fldCharType="end"/>
        </w:r>
      </w:hyperlink>
    </w:p>
    <w:p w:rsidR="0023790C" w:rsidRDefault="00D71441">
      <w:pPr>
        <w:pStyle w:val="20"/>
        <w:tabs>
          <w:tab w:val="right" w:leader="dot" w:pos="8290"/>
        </w:tabs>
        <w:spacing w:line="560" w:lineRule="exact"/>
        <w:rPr>
          <w:rFonts w:ascii="Times New Roman" w:eastAsia="黑体" w:hAnsi="Times New Roman" w:cs="Times New Roman"/>
          <w:kern w:val="0"/>
          <w:szCs w:val="32"/>
        </w:rPr>
      </w:pPr>
      <w:hyperlink w:anchor="_Toc87626020" w:history="1">
        <w:r w:rsidR="00972AA8">
          <w:rPr>
            <w:rStyle w:val="a9"/>
            <w:rFonts w:ascii="Times New Roman" w:eastAsia="楷体_GB2312" w:hAnsi="Times New Roman" w:cs="Times New Roman"/>
            <w:szCs w:val="32"/>
          </w:rPr>
          <w:t>（一）做大做强金融组织，筑牢金融产业集聚发展根基</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_Toc87626020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14</w:t>
        </w:r>
        <w:r>
          <w:rPr>
            <w:rFonts w:ascii="Times New Roman" w:eastAsia="黑体" w:hAnsi="Times New Roman" w:cs="Times New Roman"/>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21" w:history="1">
        <w:r w:rsidR="00972AA8">
          <w:rPr>
            <w:rStyle w:val="a9"/>
            <w:rFonts w:ascii="Times New Roman" w:eastAsia="仿宋_GB2312" w:hAnsi="Times New Roman" w:cs="Times New Roman"/>
            <w:sz w:val="32"/>
            <w:szCs w:val="32"/>
          </w:rPr>
          <w:t>1.</w:t>
        </w:r>
        <w:r w:rsidR="00972AA8">
          <w:rPr>
            <w:rStyle w:val="a9"/>
            <w:rFonts w:ascii="Times New Roman" w:eastAsia="仿宋_GB2312" w:hAnsi="Times New Roman" w:cs="Times New Roman"/>
            <w:sz w:val="32"/>
            <w:szCs w:val="32"/>
          </w:rPr>
          <w:t>做强做优一批法人金融机构</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_Toc87626021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14</w:t>
        </w:r>
        <w:r>
          <w:rPr>
            <w:rFonts w:ascii="Times New Roman" w:eastAsia="黑体" w:hAnsi="Times New Roman" w:cs="Times New Roman"/>
            <w:sz w:val="32"/>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22" w:history="1">
        <w:r w:rsidR="00972AA8">
          <w:rPr>
            <w:rStyle w:val="a9"/>
            <w:rFonts w:ascii="Times New Roman" w:eastAsia="仿宋_GB2312" w:hAnsi="Times New Roman" w:cs="Times New Roman"/>
            <w:sz w:val="32"/>
            <w:szCs w:val="32"/>
          </w:rPr>
          <w:t>2.</w:t>
        </w:r>
        <w:r w:rsidR="00972AA8">
          <w:rPr>
            <w:rStyle w:val="a9"/>
            <w:rFonts w:ascii="Times New Roman" w:eastAsia="仿宋_GB2312" w:hAnsi="Times New Roman" w:cs="Times New Roman"/>
            <w:sz w:val="32"/>
            <w:szCs w:val="32"/>
          </w:rPr>
          <w:t>加快提升一批金融分支机构</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_Toc87626022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15</w:t>
        </w:r>
        <w:r>
          <w:rPr>
            <w:rFonts w:ascii="Times New Roman" w:eastAsia="黑体" w:hAnsi="Times New Roman" w:cs="Times New Roman"/>
            <w:sz w:val="32"/>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23" w:history="1">
        <w:r w:rsidR="00972AA8">
          <w:rPr>
            <w:rStyle w:val="a9"/>
            <w:rFonts w:ascii="Times New Roman" w:eastAsia="仿宋_GB2312" w:hAnsi="Times New Roman" w:cs="Times New Roman"/>
            <w:sz w:val="32"/>
            <w:szCs w:val="32"/>
          </w:rPr>
          <w:t>3.</w:t>
        </w:r>
        <w:r w:rsidR="00972AA8">
          <w:rPr>
            <w:rStyle w:val="a9"/>
            <w:rFonts w:ascii="Times New Roman" w:eastAsia="仿宋_GB2312" w:hAnsi="Times New Roman" w:cs="Times New Roman"/>
            <w:sz w:val="32"/>
            <w:szCs w:val="32"/>
          </w:rPr>
          <w:t>培育发展一批地方金融组织</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_Toc87626023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15</w:t>
        </w:r>
        <w:r>
          <w:rPr>
            <w:rFonts w:ascii="Times New Roman" w:eastAsia="黑体" w:hAnsi="Times New Roman" w:cs="Times New Roman"/>
            <w:sz w:val="32"/>
            <w:szCs w:val="32"/>
          </w:rPr>
          <w:fldChar w:fldCharType="end"/>
        </w:r>
      </w:hyperlink>
    </w:p>
    <w:p w:rsidR="0023790C" w:rsidRDefault="00D71441">
      <w:pPr>
        <w:pStyle w:val="20"/>
        <w:tabs>
          <w:tab w:val="right" w:leader="dot" w:pos="8290"/>
        </w:tabs>
        <w:spacing w:line="560" w:lineRule="exact"/>
        <w:rPr>
          <w:rFonts w:ascii="Times New Roman" w:eastAsia="黑体" w:hAnsi="Times New Roman" w:cs="Times New Roman"/>
          <w:kern w:val="0"/>
          <w:szCs w:val="32"/>
        </w:rPr>
      </w:pPr>
      <w:hyperlink w:anchor="_Toc87626024" w:history="1">
        <w:r w:rsidR="00972AA8">
          <w:rPr>
            <w:rStyle w:val="a9"/>
            <w:rFonts w:ascii="Times New Roman" w:eastAsia="楷体_GB2312" w:hAnsi="Times New Roman" w:cs="Times New Roman"/>
            <w:szCs w:val="32"/>
          </w:rPr>
          <w:t>（二）创新金融发展模式，打造金融服务实体示范城市</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_Toc87626024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16</w:t>
        </w:r>
        <w:r>
          <w:rPr>
            <w:rFonts w:ascii="Times New Roman" w:eastAsia="黑体" w:hAnsi="Times New Roman" w:cs="Times New Roman"/>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25" w:history="1">
        <w:r w:rsidR="00972AA8">
          <w:rPr>
            <w:rStyle w:val="a9"/>
            <w:rFonts w:ascii="Times New Roman" w:eastAsia="仿宋_GB2312" w:hAnsi="Times New Roman" w:cs="Times New Roman"/>
            <w:sz w:val="32"/>
            <w:szCs w:val="32"/>
          </w:rPr>
          <w:t>1.</w:t>
        </w:r>
        <w:r w:rsidR="00972AA8">
          <w:rPr>
            <w:rStyle w:val="a9"/>
            <w:rFonts w:ascii="Times New Roman" w:eastAsia="仿宋_GB2312" w:hAnsi="Times New Roman" w:cs="Times New Roman"/>
            <w:sz w:val="32"/>
            <w:szCs w:val="32"/>
          </w:rPr>
          <w:t>提升综合金融服务体系发展能级</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_Toc87626025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16</w:t>
        </w:r>
        <w:r>
          <w:rPr>
            <w:rFonts w:ascii="Times New Roman" w:eastAsia="黑体" w:hAnsi="Times New Roman" w:cs="Times New Roman"/>
            <w:sz w:val="32"/>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26" w:history="1">
        <w:r w:rsidR="00972AA8">
          <w:rPr>
            <w:rStyle w:val="a9"/>
            <w:rFonts w:ascii="Times New Roman" w:eastAsia="仿宋_GB2312" w:hAnsi="Times New Roman" w:cs="Times New Roman"/>
            <w:sz w:val="32"/>
            <w:szCs w:val="32"/>
          </w:rPr>
          <w:t>2.</w:t>
        </w:r>
        <w:r w:rsidR="00972AA8">
          <w:rPr>
            <w:rStyle w:val="a9"/>
            <w:rFonts w:ascii="Times New Roman" w:eastAsia="仿宋_GB2312" w:hAnsi="Times New Roman" w:cs="Times New Roman"/>
            <w:sz w:val="32"/>
            <w:szCs w:val="32"/>
          </w:rPr>
          <w:t>推动金融高质量服务重点产业</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_Toc87626026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16</w:t>
        </w:r>
        <w:r>
          <w:rPr>
            <w:rFonts w:ascii="Times New Roman" w:eastAsia="黑体" w:hAnsi="Times New Roman" w:cs="Times New Roman"/>
            <w:sz w:val="32"/>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27" w:history="1">
        <w:r w:rsidR="00972AA8">
          <w:rPr>
            <w:rStyle w:val="a9"/>
            <w:rFonts w:ascii="Times New Roman" w:eastAsia="仿宋_GB2312" w:hAnsi="Times New Roman" w:cs="Times New Roman"/>
            <w:sz w:val="32"/>
            <w:szCs w:val="32"/>
          </w:rPr>
          <w:t>3.</w:t>
        </w:r>
        <w:r w:rsidR="00972AA8">
          <w:rPr>
            <w:rStyle w:val="a9"/>
            <w:rFonts w:ascii="Times New Roman" w:eastAsia="仿宋_GB2312" w:hAnsi="Times New Roman" w:cs="Times New Roman"/>
            <w:sz w:val="32"/>
            <w:szCs w:val="32"/>
          </w:rPr>
          <w:t>推动金融高质量服务科技人才</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_Toc87626027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17</w:t>
        </w:r>
        <w:r>
          <w:rPr>
            <w:rFonts w:ascii="Times New Roman" w:eastAsia="黑体" w:hAnsi="Times New Roman" w:cs="Times New Roman"/>
            <w:sz w:val="32"/>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28" w:history="1">
        <w:r w:rsidR="00972AA8">
          <w:rPr>
            <w:rStyle w:val="a9"/>
            <w:rFonts w:ascii="Times New Roman" w:eastAsia="仿宋_GB2312" w:hAnsi="Times New Roman" w:cs="Times New Roman"/>
            <w:sz w:val="32"/>
            <w:szCs w:val="32"/>
          </w:rPr>
          <w:t>4.</w:t>
        </w:r>
        <w:r w:rsidR="00972AA8">
          <w:rPr>
            <w:rStyle w:val="a9"/>
            <w:rFonts w:ascii="Times New Roman" w:eastAsia="仿宋_GB2312" w:hAnsi="Times New Roman" w:cs="Times New Roman"/>
            <w:sz w:val="32"/>
            <w:szCs w:val="32"/>
          </w:rPr>
          <w:t>推动金融高质量服务乡村振兴</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_Toc87626028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18</w:t>
        </w:r>
        <w:r>
          <w:rPr>
            <w:rFonts w:ascii="Times New Roman" w:eastAsia="黑体" w:hAnsi="Times New Roman" w:cs="Times New Roman"/>
            <w:sz w:val="32"/>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29" w:history="1">
        <w:r w:rsidR="00972AA8">
          <w:rPr>
            <w:rStyle w:val="a9"/>
            <w:rFonts w:ascii="Times New Roman" w:eastAsia="仿宋_GB2312" w:hAnsi="Times New Roman" w:cs="Times New Roman"/>
            <w:sz w:val="32"/>
            <w:szCs w:val="32"/>
          </w:rPr>
          <w:t>5.</w:t>
        </w:r>
        <w:r w:rsidR="00972AA8">
          <w:rPr>
            <w:rStyle w:val="a9"/>
            <w:rFonts w:ascii="Times New Roman" w:eastAsia="仿宋_GB2312" w:hAnsi="Times New Roman" w:cs="Times New Roman"/>
            <w:sz w:val="32"/>
            <w:szCs w:val="32"/>
          </w:rPr>
          <w:t>推动金融高质量服务绿色生态</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_Toc87626029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19</w:t>
        </w:r>
        <w:r>
          <w:rPr>
            <w:rFonts w:ascii="Times New Roman" w:eastAsia="黑体" w:hAnsi="Times New Roman" w:cs="Times New Roman"/>
            <w:sz w:val="32"/>
            <w:szCs w:val="32"/>
          </w:rPr>
          <w:fldChar w:fldCharType="end"/>
        </w:r>
      </w:hyperlink>
    </w:p>
    <w:p w:rsidR="0023790C" w:rsidRDefault="00D71441">
      <w:pPr>
        <w:pStyle w:val="20"/>
        <w:tabs>
          <w:tab w:val="right" w:leader="dot" w:pos="8290"/>
        </w:tabs>
        <w:spacing w:line="560" w:lineRule="exact"/>
        <w:rPr>
          <w:rFonts w:ascii="Times New Roman" w:eastAsia="黑体" w:hAnsi="Times New Roman" w:cs="Times New Roman"/>
          <w:kern w:val="0"/>
          <w:szCs w:val="32"/>
        </w:rPr>
      </w:pPr>
      <w:hyperlink w:anchor="_Toc87626030" w:history="1">
        <w:r w:rsidR="00972AA8">
          <w:rPr>
            <w:rStyle w:val="a9"/>
            <w:rFonts w:ascii="Times New Roman" w:eastAsia="楷体_GB2312" w:hAnsi="Times New Roman" w:cs="Times New Roman"/>
            <w:szCs w:val="32"/>
          </w:rPr>
          <w:t>（三）构筑资本产业生态，打造资本集聚发展示范城市</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_Toc87626030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19</w:t>
        </w:r>
        <w:r>
          <w:rPr>
            <w:rFonts w:ascii="Times New Roman" w:eastAsia="黑体" w:hAnsi="Times New Roman" w:cs="Times New Roman"/>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31" w:history="1">
        <w:r w:rsidR="00972AA8">
          <w:rPr>
            <w:rStyle w:val="a9"/>
            <w:rFonts w:ascii="Times New Roman" w:eastAsia="仿宋_GB2312" w:hAnsi="Times New Roman" w:cs="Times New Roman"/>
            <w:sz w:val="32"/>
            <w:szCs w:val="32"/>
          </w:rPr>
          <w:t>1.</w:t>
        </w:r>
        <w:r w:rsidR="00972AA8">
          <w:rPr>
            <w:rStyle w:val="a9"/>
            <w:rFonts w:ascii="Times New Roman" w:eastAsia="仿宋_GB2312" w:hAnsi="Times New Roman" w:cs="Times New Roman"/>
            <w:sz w:val="32"/>
            <w:szCs w:val="32"/>
          </w:rPr>
          <w:t>加快集聚多元资本活水</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_Toc87626031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19</w:t>
        </w:r>
        <w:r>
          <w:rPr>
            <w:rFonts w:ascii="Times New Roman" w:eastAsia="黑体" w:hAnsi="Times New Roman" w:cs="Times New Roman"/>
            <w:sz w:val="32"/>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32" w:history="1">
        <w:r w:rsidR="00972AA8">
          <w:rPr>
            <w:rStyle w:val="a9"/>
            <w:rFonts w:ascii="Times New Roman" w:eastAsia="仿宋_GB2312" w:hAnsi="Times New Roman" w:cs="Times New Roman"/>
            <w:sz w:val="32"/>
            <w:szCs w:val="32"/>
          </w:rPr>
          <w:t>2.</w:t>
        </w:r>
        <w:r w:rsidR="00972AA8">
          <w:rPr>
            <w:rStyle w:val="a9"/>
            <w:rFonts w:ascii="Times New Roman" w:eastAsia="仿宋_GB2312" w:hAnsi="Times New Roman" w:cs="Times New Roman"/>
            <w:sz w:val="32"/>
            <w:szCs w:val="32"/>
          </w:rPr>
          <w:t>畅通产业资本对接渠道</w:t>
        </w:r>
        <w:r w:rsidR="00972AA8">
          <w:rPr>
            <w:rFonts w:ascii="Times New Roman" w:eastAsia="黑体" w:hAnsi="Times New Roman" w:cs="Times New Roman"/>
            <w:sz w:val="32"/>
            <w:szCs w:val="32"/>
          </w:rPr>
          <w:tab/>
        </w:r>
      </w:hyperlink>
      <w:r w:rsidR="00972AA8">
        <w:rPr>
          <w:rFonts w:ascii="Times New Roman" w:eastAsia="黑体" w:hAnsi="Times New Roman" w:cs="Times New Roman" w:hint="eastAsia"/>
          <w:sz w:val="32"/>
          <w:szCs w:val="32"/>
        </w:rPr>
        <w:t>20</w:t>
      </w:r>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33" w:history="1">
        <w:r w:rsidR="00972AA8">
          <w:rPr>
            <w:rStyle w:val="a9"/>
            <w:rFonts w:ascii="Times New Roman" w:eastAsia="仿宋_GB2312" w:hAnsi="Times New Roman" w:cs="Times New Roman"/>
            <w:sz w:val="32"/>
            <w:szCs w:val="32"/>
          </w:rPr>
          <w:t>3.</w:t>
        </w:r>
        <w:r w:rsidR="00972AA8">
          <w:rPr>
            <w:rStyle w:val="a9"/>
            <w:rFonts w:ascii="Times New Roman" w:eastAsia="仿宋_GB2312" w:hAnsi="Times New Roman" w:cs="Times New Roman"/>
            <w:sz w:val="32"/>
            <w:szCs w:val="32"/>
          </w:rPr>
          <w:t>完善产业资本配套生态</w:t>
        </w:r>
        <w:r w:rsidR="00972AA8">
          <w:rPr>
            <w:rFonts w:ascii="Times New Roman" w:eastAsia="黑体" w:hAnsi="Times New Roman" w:cs="Times New Roman"/>
            <w:sz w:val="32"/>
            <w:szCs w:val="32"/>
          </w:rPr>
          <w:tab/>
          <w:t>21</w:t>
        </w:r>
      </w:hyperlink>
    </w:p>
    <w:p w:rsidR="0023790C" w:rsidRDefault="00D71441">
      <w:pPr>
        <w:pStyle w:val="20"/>
        <w:tabs>
          <w:tab w:val="right" w:leader="dot" w:pos="8290"/>
        </w:tabs>
        <w:spacing w:line="560" w:lineRule="exact"/>
        <w:rPr>
          <w:rFonts w:ascii="Times New Roman" w:eastAsia="黑体" w:hAnsi="Times New Roman" w:cs="Times New Roman"/>
          <w:kern w:val="0"/>
          <w:szCs w:val="32"/>
        </w:rPr>
      </w:pPr>
      <w:hyperlink w:anchor="_Toc87626034" w:history="1">
        <w:r w:rsidR="00972AA8">
          <w:rPr>
            <w:rStyle w:val="a9"/>
            <w:rFonts w:ascii="Times New Roman" w:eastAsia="楷体_GB2312" w:hAnsi="Times New Roman" w:cs="Times New Roman"/>
            <w:szCs w:val="32"/>
          </w:rPr>
          <w:t>（四）提升政府服务效能，打造优质金融生态示范城市</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_Toc87626034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22</w:t>
        </w:r>
        <w:r>
          <w:rPr>
            <w:rFonts w:ascii="Times New Roman" w:eastAsia="黑体" w:hAnsi="Times New Roman" w:cs="Times New Roman"/>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35" w:history="1">
        <w:r w:rsidR="00972AA8">
          <w:rPr>
            <w:rStyle w:val="a9"/>
            <w:rFonts w:ascii="Times New Roman" w:eastAsia="仿宋_GB2312" w:hAnsi="Times New Roman" w:cs="Times New Roman"/>
            <w:sz w:val="32"/>
            <w:szCs w:val="32"/>
          </w:rPr>
          <w:t>1.</w:t>
        </w:r>
        <w:r w:rsidR="00972AA8">
          <w:rPr>
            <w:rStyle w:val="a9"/>
            <w:rFonts w:ascii="Times New Roman" w:eastAsia="仿宋_GB2312" w:hAnsi="Times New Roman" w:cs="Times New Roman"/>
            <w:sz w:val="32"/>
            <w:szCs w:val="32"/>
          </w:rPr>
          <w:t>提升金融开放合作影响力</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_Toc87626035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22</w:t>
        </w:r>
        <w:r>
          <w:rPr>
            <w:rFonts w:ascii="Times New Roman" w:eastAsia="黑体" w:hAnsi="Times New Roman" w:cs="Times New Roman"/>
            <w:sz w:val="32"/>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36" w:history="1">
        <w:r w:rsidR="00972AA8">
          <w:rPr>
            <w:rStyle w:val="a9"/>
            <w:rFonts w:ascii="Times New Roman" w:eastAsia="仿宋_GB2312" w:hAnsi="Times New Roman" w:cs="Times New Roman"/>
            <w:sz w:val="32"/>
            <w:szCs w:val="32"/>
          </w:rPr>
          <w:t>2.</w:t>
        </w:r>
        <w:r w:rsidR="00972AA8">
          <w:rPr>
            <w:rStyle w:val="a9"/>
            <w:rFonts w:ascii="Times New Roman" w:eastAsia="仿宋_GB2312" w:hAnsi="Times New Roman" w:cs="Times New Roman"/>
            <w:sz w:val="32"/>
            <w:szCs w:val="32"/>
          </w:rPr>
          <w:t>提升金融发展区域竞争力</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_Toc87626036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23</w:t>
        </w:r>
        <w:r>
          <w:rPr>
            <w:rFonts w:ascii="Times New Roman" w:eastAsia="黑体" w:hAnsi="Times New Roman" w:cs="Times New Roman"/>
            <w:sz w:val="32"/>
            <w:szCs w:val="32"/>
          </w:rPr>
          <w:fldChar w:fldCharType="end"/>
        </w:r>
      </w:hyperlink>
    </w:p>
    <w:p w:rsidR="0023790C" w:rsidRDefault="00D71441">
      <w:pPr>
        <w:pStyle w:val="30"/>
        <w:tabs>
          <w:tab w:val="right" w:leader="dot" w:pos="8290"/>
        </w:tabs>
        <w:spacing w:line="560" w:lineRule="exact"/>
        <w:ind w:left="320"/>
        <w:rPr>
          <w:rFonts w:ascii="Times New Roman" w:eastAsia="黑体" w:hAnsi="Times New Roman" w:cs="Times New Roman"/>
          <w:kern w:val="0"/>
          <w:sz w:val="32"/>
          <w:szCs w:val="32"/>
        </w:rPr>
      </w:pPr>
      <w:hyperlink w:anchor="_Toc87626037" w:history="1">
        <w:r w:rsidR="00972AA8">
          <w:rPr>
            <w:rStyle w:val="a9"/>
            <w:rFonts w:ascii="Times New Roman" w:eastAsia="仿宋_GB2312" w:hAnsi="Times New Roman" w:cs="Times New Roman"/>
            <w:sz w:val="32"/>
            <w:szCs w:val="32"/>
          </w:rPr>
          <w:t>3.</w:t>
        </w:r>
        <w:r w:rsidR="00972AA8">
          <w:rPr>
            <w:rStyle w:val="a9"/>
            <w:rFonts w:ascii="Times New Roman" w:eastAsia="仿宋_GB2312" w:hAnsi="Times New Roman" w:cs="Times New Roman"/>
            <w:sz w:val="32"/>
            <w:szCs w:val="32"/>
          </w:rPr>
          <w:t>提升地方金融风险防控力</w:t>
        </w:r>
        <w:r w:rsidR="00972AA8">
          <w:rPr>
            <w:rFonts w:ascii="Times New Roman" w:eastAsia="黑体" w:hAnsi="Times New Roman" w:cs="Times New Roman"/>
            <w:sz w:val="32"/>
            <w:szCs w:val="32"/>
          </w:rPr>
          <w:tab/>
        </w:r>
        <w:r>
          <w:rPr>
            <w:rFonts w:ascii="Times New Roman" w:eastAsia="黑体" w:hAnsi="Times New Roman" w:cs="Times New Roman"/>
            <w:sz w:val="32"/>
            <w:szCs w:val="32"/>
          </w:rPr>
          <w:fldChar w:fldCharType="begin"/>
        </w:r>
        <w:r w:rsidR="00972AA8">
          <w:rPr>
            <w:rFonts w:ascii="Times New Roman" w:eastAsia="黑体" w:hAnsi="Times New Roman" w:cs="Times New Roman"/>
            <w:sz w:val="32"/>
            <w:szCs w:val="32"/>
          </w:rPr>
          <w:instrText xml:space="preserve"> PAGEREF _Toc87626037 \h </w:instrText>
        </w:r>
        <w:r>
          <w:rPr>
            <w:rFonts w:ascii="Times New Roman" w:eastAsia="黑体" w:hAnsi="Times New Roman" w:cs="Times New Roman"/>
            <w:sz w:val="32"/>
            <w:szCs w:val="32"/>
          </w:rPr>
        </w:r>
        <w:r>
          <w:rPr>
            <w:rFonts w:ascii="Times New Roman" w:eastAsia="黑体" w:hAnsi="Times New Roman" w:cs="Times New Roman"/>
            <w:sz w:val="32"/>
            <w:szCs w:val="32"/>
          </w:rPr>
          <w:fldChar w:fldCharType="separate"/>
        </w:r>
        <w:r w:rsidR="009D2572">
          <w:rPr>
            <w:rFonts w:ascii="Times New Roman" w:eastAsia="黑体" w:hAnsi="Times New Roman" w:cs="Times New Roman"/>
            <w:noProof/>
            <w:sz w:val="32"/>
            <w:szCs w:val="32"/>
          </w:rPr>
          <w:t>24</w:t>
        </w:r>
        <w:r>
          <w:rPr>
            <w:rFonts w:ascii="Times New Roman" w:eastAsia="黑体" w:hAnsi="Times New Roman" w:cs="Times New Roman"/>
            <w:sz w:val="32"/>
            <w:szCs w:val="32"/>
          </w:rPr>
          <w:fldChar w:fldCharType="end"/>
        </w:r>
      </w:hyperlink>
    </w:p>
    <w:p w:rsidR="0023790C" w:rsidRDefault="00D71441">
      <w:pPr>
        <w:pStyle w:val="10"/>
        <w:tabs>
          <w:tab w:val="right" w:leader="dot" w:pos="8290"/>
        </w:tabs>
        <w:spacing w:line="560" w:lineRule="exact"/>
        <w:rPr>
          <w:rFonts w:ascii="Times New Roman" w:eastAsia="黑体" w:hAnsi="Times New Roman" w:cs="Times New Roman"/>
          <w:kern w:val="0"/>
          <w:szCs w:val="32"/>
        </w:rPr>
      </w:pPr>
      <w:hyperlink w:anchor="_Toc87626038" w:history="1">
        <w:r w:rsidR="00972AA8">
          <w:rPr>
            <w:rStyle w:val="a9"/>
            <w:rFonts w:ascii="Times New Roman" w:eastAsia="黑体" w:hAnsi="Times New Roman" w:cs="Times New Roman"/>
            <w:szCs w:val="32"/>
          </w:rPr>
          <w:t>四、规划实施与保障</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_Toc87626038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25</w:t>
        </w:r>
        <w:r>
          <w:rPr>
            <w:rFonts w:ascii="Times New Roman" w:eastAsia="黑体" w:hAnsi="Times New Roman" w:cs="Times New Roman"/>
            <w:szCs w:val="32"/>
          </w:rPr>
          <w:fldChar w:fldCharType="end"/>
        </w:r>
      </w:hyperlink>
    </w:p>
    <w:p w:rsidR="0023790C" w:rsidRDefault="00D71441">
      <w:pPr>
        <w:pStyle w:val="20"/>
        <w:tabs>
          <w:tab w:val="right" w:leader="dot" w:pos="8290"/>
        </w:tabs>
        <w:spacing w:line="560" w:lineRule="exact"/>
        <w:rPr>
          <w:rFonts w:ascii="Times New Roman" w:eastAsia="黑体" w:hAnsi="Times New Roman" w:cs="Times New Roman"/>
          <w:kern w:val="0"/>
          <w:szCs w:val="32"/>
        </w:rPr>
      </w:pPr>
      <w:hyperlink w:anchor="_Toc87626039" w:history="1">
        <w:r w:rsidR="00972AA8">
          <w:rPr>
            <w:rStyle w:val="a9"/>
            <w:rFonts w:ascii="Times New Roman" w:eastAsia="楷体_GB2312" w:hAnsi="Times New Roman" w:cs="Times New Roman"/>
            <w:szCs w:val="32"/>
          </w:rPr>
          <w:t>（一）加强党的领导</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_Toc87626039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25</w:t>
        </w:r>
        <w:r>
          <w:rPr>
            <w:rFonts w:ascii="Times New Roman" w:eastAsia="黑体" w:hAnsi="Times New Roman" w:cs="Times New Roman"/>
            <w:szCs w:val="32"/>
          </w:rPr>
          <w:fldChar w:fldCharType="end"/>
        </w:r>
      </w:hyperlink>
    </w:p>
    <w:p w:rsidR="0023790C" w:rsidRDefault="00D71441">
      <w:pPr>
        <w:pStyle w:val="20"/>
        <w:tabs>
          <w:tab w:val="right" w:leader="dot" w:pos="8290"/>
        </w:tabs>
        <w:spacing w:line="560" w:lineRule="exact"/>
        <w:rPr>
          <w:rFonts w:ascii="Times New Roman" w:eastAsia="黑体" w:hAnsi="Times New Roman" w:cs="Times New Roman"/>
          <w:kern w:val="0"/>
          <w:szCs w:val="32"/>
        </w:rPr>
      </w:pPr>
      <w:hyperlink w:anchor="_Toc87626040" w:history="1">
        <w:r w:rsidR="00972AA8">
          <w:rPr>
            <w:rStyle w:val="a9"/>
            <w:rFonts w:ascii="Times New Roman" w:eastAsia="楷体_GB2312" w:hAnsi="Times New Roman" w:cs="Times New Roman"/>
            <w:szCs w:val="32"/>
          </w:rPr>
          <w:t>（二）加强组织建设</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_Toc87626040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25</w:t>
        </w:r>
        <w:r>
          <w:rPr>
            <w:rFonts w:ascii="Times New Roman" w:eastAsia="黑体" w:hAnsi="Times New Roman" w:cs="Times New Roman"/>
            <w:szCs w:val="32"/>
          </w:rPr>
          <w:fldChar w:fldCharType="end"/>
        </w:r>
      </w:hyperlink>
    </w:p>
    <w:p w:rsidR="0023790C" w:rsidRDefault="00D71441">
      <w:pPr>
        <w:pStyle w:val="20"/>
        <w:tabs>
          <w:tab w:val="right" w:leader="dot" w:pos="8290"/>
        </w:tabs>
        <w:spacing w:line="560" w:lineRule="exact"/>
        <w:rPr>
          <w:rFonts w:ascii="Times New Roman" w:eastAsia="黑体" w:hAnsi="Times New Roman" w:cs="Times New Roman"/>
          <w:kern w:val="0"/>
          <w:szCs w:val="32"/>
        </w:rPr>
      </w:pPr>
      <w:hyperlink w:anchor="_Toc87626041" w:history="1">
        <w:r w:rsidR="00972AA8">
          <w:rPr>
            <w:rStyle w:val="a9"/>
            <w:rFonts w:ascii="Times New Roman" w:eastAsia="楷体_GB2312" w:hAnsi="Times New Roman" w:cs="Times New Roman"/>
            <w:szCs w:val="32"/>
          </w:rPr>
          <w:t>（三）完善市镇联动</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_Toc87626041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26</w:t>
        </w:r>
        <w:r>
          <w:rPr>
            <w:rFonts w:ascii="Times New Roman" w:eastAsia="黑体" w:hAnsi="Times New Roman" w:cs="Times New Roman"/>
            <w:szCs w:val="32"/>
          </w:rPr>
          <w:fldChar w:fldCharType="end"/>
        </w:r>
      </w:hyperlink>
    </w:p>
    <w:p w:rsidR="0023790C" w:rsidRDefault="00D71441">
      <w:pPr>
        <w:pStyle w:val="20"/>
        <w:tabs>
          <w:tab w:val="right" w:leader="dot" w:pos="8290"/>
        </w:tabs>
        <w:spacing w:line="560" w:lineRule="exact"/>
        <w:rPr>
          <w:rFonts w:ascii="Times New Roman" w:eastAsia="黑体" w:hAnsi="Times New Roman" w:cs="Times New Roman"/>
          <w:kern w:val="0"/>
          <w:szCs w:val="32"/>
        </w:rPr>
      </w:pPr>
      <w:hyperlink w:anchor="_Toc87626042" w:history="1">
        <w:r w:rsidR="00972AA8">
          <w:rPr>
            <w:rStyle w:val="a9"/>
            <w:rFonts w:ascii="Times New Roman" w:eastAsia="楷体_GB2312" w:hAnsi="Times New Roman" w:cs="Times New Roman"/>
            <w:szCs w:val="32"/>
          </w:rPr>
          <w:t>（四）强化部门协调</w:t>
        </w:r>
        <w:r w:rsidR="00972AA8">
          <w:rPr>
            <w:rFonts w:ascii="Times New Roman" w:eastAsia="黑体" w:hAnsi="Times New Roman" w:cs="Times New Roman"/>
            <w:szCs w:val="32"/>
          </w:rPr>
          <w:tab/>
        </w:r>
        <w:r>
          <w:rPr>
            <w:rFonts w:ascii="Times New Roman" w:eastAsia="黑体" w:hAnsi="Times New Roman" w:cs="Times New Roman"/>
            <w:szCs w:val="32"/>
          </w:rPr>
          <w:fldChar w:fldCharType="begin"/>
        </w:r>
        <w:r w:rsidR="00972AA8">
          <w:rPr>
            <w:rFonts w:ascii="Times New Roman" w:eastAsia="黑体" w:hAnsi="Times New Roman" w:cs="Times New Roman"/>
            <w:szCs w:val="32"/>
          </w:rPr>
          <w:instrText xml:space="preserve"> PAGEREF _Toc87626042 \h </w:instrText>
        </w:r>
        <w:r>
          <w:rPr>
            <w:rFonts w:ascii="Times New Roman" w:eastAsia="黑体" w:hAnsi="Times New Roman" w:cs="Times New Roman"/>
            <w:szCs w:val="32"/>
          </w:rPr>
        </w:r>
        <w:r>
          <w:rPr>
            <w:rFonts w:ascii="Times New Roman" w:eastAsia="黑体" w:hAnsi="Times New Roman" w:cs="Times New Roman"/>
            <w:szCs w:val="32"/>
          </w:rPr>
          <w:fldChar w:fldCharType="separate"/>
        </w:r>
        <w:r w:rsidR="009D2572">
          <w:rPr>
            <w:rFonts w:ascii="Times New Roman" w:eastAsia="黑体" w:hAnsi="Times New Roman" w:cs="Times New Roman"/>
            <w:noProof/>
            <w:szCs w:val="32"/>
          </w:rPr>
          <w:t>26</w:t>
        </w:r>
        <w:r>
          <w:rPr>
            <w:rFonts w:ascii="Times New Roman" w:eastAsia="黑体" w:hAnsi="Times New Roman" w:cs="Times New Roman"/>
            <w:szCs w:val="32"/>
          </w:rPr>
          <w:fldChar w:fldCharType="end"/>
        </w:r>
      </w:hyperlink>
    </w:p>
    <w:p w:rsidR="0023790C" w:rsidRDefault="00D71441" w:rsidP="009D2572">
      <w:pPr>
        <w:spacing w:afterLines="50" w:line="560" w:lineRule="exact"/>
        <w:rPr>
          <w:rFonts w:ascii="Times New Roman" w:hAnsi="Times New Roman" w:cs="Times New Roman"/>
        </w:rPr>
      </w:pPr>
      <w:r>
        <w:rPr>
          <w:rFonts w:ascii="Times New Roman" w:eastAsia="黑体" w:hAnsi="Times New Roman" w:cs="Times New Roman"/>
          <w:sz w:val="24"/>
        </w:rPr>
        <w:fldChar w:fldCharType="end"/>
      </w:r>
    </w:p>
    <w:p w:rsidR="0023790C" w:rsidRDefault="0023790C">
      <w:pPr>
        <w:spacing w:line="560" w:lineRule="exact"/>
        <w:rPr>
          <w:rFonts w:ascii="Times New Roman" w:hAnsi="Times New Roman" w:cs="Times New Roman"/>
        </w:rPr>
        <w:sectPr w:rsidR="0023790C">
          <w:footerReference w:type="default" r:id="rId8"/>
          <w:pgSz w:w="11900" w:h="16840"/>
          <w:pgMar w:top="1440" w:right="1800" w:bottom="1440" w:left="1800" w:header="851" w:footer="992" w:gutter="0"/>
          <w:pgNumType w:start="1"/>
          <w:cols w:space="425"/>
          <w:docGrid w:type="lines" w:linePitch="435"/>
        </w:sectPr>
      </w:pPr>
    </w:p>
    <w:p w:rsidR="0023790C" w:rsidRDefault="00972AA8">
      <w:pPr>
        <w:spacing w:line="580" w:lineRule="exact"/>
        <w:jc w:val="center"/>
        <w:rPr>
          <w:rFonts w:ascii="Times New Roman" w:eastAsia="黑体" w:hAnsi="Times New Roman" w:cs="Times New Roman"/>
        </w:rPr>
      </w:pPr>
      <w:bookmarkStart w:id="1" w:name="_Toc87626005"/>
      <w:r>
        <w:rPr>
          <w:rFonts w:ascii="Times New Roman" w:eastAsia="黑体" w:hAnsi="Times New Roman" w:cs="Times New Roman"/>
        </w:rPr>
        <w:lastRenderedPageBreak/>
        <w:t>前</w:t>
      </w:r>
      <w:r>
        <w:rPr>
          <w:rFonts w:ascii="Times New Roman" w:eastAsia="黑体" w:hAnsi="Times New Roman" w:cs="Times New Roman"/>
        </w:rPr>
        <w:t xml:space="preserve">   </w:t>
      </w:r>
      <w:r>
        <w:rPr>
          <w:rFonts w:ascii="Times New Roman" w:eastAsia="黑体" w:hAnsi="Times New Roman" w:cs="Times New Roman"/>
        </w:rPr>
        <w:t>言</w:t>
      </w:r>
      <w:bookmarkEnd w:id="1"/>
    </w:p>
    <w:p w:rsidR="0023790C" w:rsidRDefault="0023790C">
      <w:pPr>
        <w:spacing w:line="580" w:lineRule="exact"/>
        <w:rPr>
          <w:rFonts w:ascii="Times New Roman" w:hAnsi="Times New Roman" w:cs="Times New Roman"/>
        </w:rPr>
      </w:pP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十四五</w:t>
      </w:r>
      <w:r>
        <w:rPr>
          <w:rFonts w:ascii="Times New Roman" w:eastAsia="仿宋_GB2312" w:hAnsi="Times New Roman" w:cs="Times New Roman"/>
        </w:rPr>
        <w:t>”</w:t>
      </w:r>
      <w:r>
        <w:rPr>
          <w:rFonts w:ascii="Times New Roman" w:eastAsia="仿宋_GB2312" w:hAnsi="Times New Roman" w:cs="Times New Roman"/>
        </w:rPr>
        <w:t>时期（</w:t>
      </w:r>
      <w:r>
        <w:rPr>
          <w:rFonts w:ascii="Times New Roman" w:eastAsia="仿宋_GB2312" w:hAnsi="Times New Roman" w:cs="Times New Roman"/>
        </w:rPr>
        <w:t>2021</w:t>
      </w:r>
      <w:r>
        <w:rPr>
          <w:rFonts w:ascii="Times New Roman" w:hAnsi="Times New Roman" w:cs="Times New Roman"/>
          <w:szCs w:val="32"/>
        </w:rPr>
        <w:t>—</w:t>
      </w:r>
      <w:r>
        <w:rPr>
          <w:rFonts w:ascii="Times New Roman" w:eastAsia="仿宋_GB2312" w:hAnsi="Times New Roman" w:cs="Times New Roman"/>
        </w:rPr>
        <w:t>2025</w:t>
      </w:r>
      <w:r>
        <w:rPr>
          <w:rFonts w:ascii="Times New Roman" w:eastAsia="仿宋_GB2312" w:hAnsi="Times New Roman" w:cs="Times New Roman"/>
        </w:rPr>
        <w:t>年）是我国全面开启社会主义现代化国家新征程、向第二个百年奋斗目标进军的第一个五年，是苏州充分展现</w:t>
      </w:r>
      <w:r>
        <w:rPr>
          <w:rFonts w:ascii="Times New Roman" w:eastAsia="仿宋_GB2312" w:hAnsi="Times New Roman" w:cs="Times New Roman"/>
        </w:rPr>
        <w:t>“</w:t>
      </w:r>
      <w:r>
        <w:rPr>
          <w:rFonts w:ascii="Times New Roman" w:eastAsia="仿宋_GB2312" w:hAnsi="Times New Roman" w:cs="Times New Roman"/>
        </w:rPr>
        <w:t>强富美高</w:t>
      </w:r>
      <w:r>
        <w:rPr>
          <w:rFonts w:ascii="Times New Roman" w:eastAsia="仿宋_GB2312" w:hAnsi="Times New Roman" w:cs="Times New Roman"/>
        </w:rPr>
        <w:t>”</w:t>
      </w:r>
      <w:r>
        <w:rPr>
          <w:rFonts w:ascii="Times New Roman" w:eastAsia="仿宋_GB2312" w:hAnsi="Times New Roman" w:cs="Times New Roman"/>
        </w:rPr>
        <w:t>新图景的社会主义现代化强市的重要时期，也是太仓</w:t>
      </w:r>
      <w:r>
        <w:rPr>
          <w:rFonts w:ascii="Times New Roman" w:eastAsia="仿宋_GB2312" w:hAnsi="Times New Roman" w:cs="Times New Roman" w:hint="eastAsia"/>
        </w:rPr>
        <w:t>加速</w:t>
      </w:r>
      <w:r>
        <w:rPr>
          <w:rFonts w:ascii="Times New Roman" w:eastAsia="仿宋_GB2312" w:hAnsi="Times New Roman" w:cs="Times New Roman"/>
        </w:rPr>
        <w:t>迈向</w:t>
      </w:r>
      <w:r>
        <w:rPr>
          <w:rFonts w:ascii="Times New Roman" w:eastAsia="仿宋_GB2312" w:hAnsi="Times New Roman" w:cs="Times New Roman"/>
        </w:rPr>
        <w:t>“</w:t>
      </w:r>
      <w:r>
        <w:rPr>
          <w:rFonts w:ascii="Times New Roman" w:eastAsia="仿宋_GB2312" w:hAnsi="Times New Roman" w:cs="Times New Roman"/>
        </w:rPr>
        <w:t>现代田园城、幸福金太仓</w:t>
      </w:r>
      <w:r>
        <w:rPr>
          <w:rFonts w:ascii="Times New Roman" w:eastAsia="仿宋_GB2312" w:hAnsi="Times New Roman" w:cs="Times New Roman"/>
        </w:rPr>
        <w:t>”</w:t>
      </w:r>
      <w:r>
        <w:rPr>
          <w:rFonts w:ascii="Times New Roman" w:eastAsia="仿宋_GB2312" w:hAnsi="Times New Roman" w:cs="Times New Roman" w:hint="eastAsia"/>
        </w:rPr>
        <w:t>美好</w:t>
      </w:r>
      <w:r>
        <w:rPr>
          <w:rFonts w:ascii="Times New Roman" w:eastAsia="仿宋_GB2312" w:hAnsi="Times New Roman" w:cs="Times New Roman"/>
        </w:rPr>
        <w:t>愿景</w:t>
      </w:r>
      <w:r>
        <w:rPr>
          <w:rFonts w:ascii="Times New Roman" w:eastAsia="仿宋_GB2312" w:hAnsi="Times New Roman" w:cs="Times New Roman" w:hint="eastAsia"/>
        </w:rPr>
        <w:t>、推进现代化建设</w:t>
      </w:r>
      <w:r>
        <w:rPr>
          <w:rFonts w:ascii="Times New Roman" w:eastAsia="仿宋_GB2312" w:hAnsi="Times New Roman" w:cs="Times New Roman"/>
        </w:rPr>
        <w:t>的关键时期。</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为加快推进太仓金融业实现跨越发展，主动融入长三角一体化发展大局，全面提升金融服务和引领经济社会高质量发展的能力，拼出</w:t>
      </w:r>
      <w:r>
        <w:rPr>
          <w:rFonts w:ascii="Times New Roman" w:eastAsia="仿宋_GB2312" w:hAnsi="Times New Roman" w:cs="Times New Roman"/>
        </w:rPr>
        <w:t>“</w:t>
      </w:r>
      <w:r>
        <w:rPr>
          <w:rFonts w:ascii="Times New Roman" w:eastAsia="仿宋_GB2312" w:hAnsi="Times New Roman" w:cs="Times New Roman"/>
        </w:rPr>
        <w:t>太仓速度</w:t>
      </w:r>
      <w:r>
        <w:rPr>
          <w:rFonts w:ascii="Times New Roman" w:eastAsia="仿宋_GB2312" w:hAnsi="Times New Roman" w:cs="Times New Roman"/>
        </w:rPr>
        <w:t>”</w:t>
      </w:r>
      <w:r>
        <w:rPr>
          <w:rFonts w:ascii="Times New Roman" w:eastAsia="仿宋_GB2312" w:hAnsi="Times New Roman" w:cs="Times New Roman"/>
        </w:rPr>
        <w:t>，构建太仓金融发展新格局。按照太仓市委、市政府关于</w:t>
      </w:r>
      <w:r>
        <w:rPr>
          <w:rFonts w:ascii="Times New Roman" w:eastAsia="仿宋_GB2312" w:hAnsi="Times New Roman" w:cs="Times New Roman"/>
        </w:rPr>
        <w:t>“</w:t>
      </w:r>
      <w:r>
        <w:rPr>
          <w:rFonts w:ascii="Times New Roman" w:eastAsia="仿宋_GB2312" w:hAnsi="Times New Roman" w:cs="Times New Roman"/>
        </w:rPr>
        <w:t>十四五</w:t>
      </w:r>
      <w:r>
        <w:rPr>
          <w:rFonts w:ascii="Times New Roman" w:eastAsia="仿宋_GB2312" w:hAnsi="Times New Roman" w:cs="Times New Roman"/>
        </w:rPr>
        <w:t>”</w:t>
      </w:r>
      <w:r>
        <w:rPr>
          <w:rFonts w:ascii="Times New Roman" w:eastAsia="仿宋_GB2312" w:hAnsi="Times New Roman" w:cs="Times New Roman"/>
        </w:rPr>
        <w:t>时期金融工作的总体部署，依据《太仓市国民经济和社会发展第十四个五年规划和二</w:t>
      </w:r>
      <w:r>
        <w:rPr>
          <w:rFonts w:ascii="Times New Roman" w:eastAsia="宋体" w:hAnsi="Times New Roman" w:cs="Times New Roman"/>
        </w:rPr>
        <w:t>〇</w:t>
      </w:r>
      <w:r>
        <w:rPr>
          <w:rFonts w:ascii="Times New Roman" w:eastAsia="仿宋_GB2312" w:hAnsi="Times New Roman" w:cs="Times New Roman"/>
        </w:rPr>
        <w:t>三五年远景目标纲要》，立足太仓实际，制定《太仓市</w:t>
      </w:r>
      <w:r>
        <w:rPr>
          <w:rFonts w:ascii="Times New Roman" w:eastAsia="仿宋_GB2312" w:hAnsi="Times New Roman" w:cs="Times New Roman"/>
        </w:rPr>
        <w:t>“</w:t>
      </w:r>
      <w:r>
        <w:rPr>
          <w:rFonts w:ascii="Times New Roman" w:eastAsia="仿宋_GB2312" w:hAnsi="Times New Roman" w:cs="Times New Roman"/>
        </w:rPr>
        <w:t>十四五</w:t>
      </w:r>
      <w:r>
        <w:rPr>
          <w:rFonts w:ascii="Times New Roman" w:eastAsia="仿宋_GB2312" w:hAnsi="Times New Roman" w:cs="Times New Roman"/>
        </w:rPr>
        <w:t>”</w:t>
      </w:r>
      <w:r>
        <w:rPr>
          <w:rFonts w:ascii="Times New Roman" w:eastAsia="仿宋_GB2312" w:hAnsi="Times New Roman" w:cs="Times New Roman"/>
        </w:rPr>
        <w:t>金融业发展规划》，明确太仓市金融业发展思路、主要目标、重点举措和实施保障，为</w:t>
      </w:r>
      <w:r>
        <w:rPr>
          <w:rFonts w:ascii="Times New Roman" w:eastAsia="仿宋_GB2312" w:hAnsi="Times New Roman" w:cs="Times New Roman"/>
        </w:rPr>
        <w:t>“</w:t>
      </w:r>
      <w:r>
        <w:rPr>
          <w:rFonts w:ascii="Times New Roman" w:eastAsia="仿宋_GB2312" w:hAnsi="Times New Roman" w:cs="Times New Roman"/>
        </w:rPr>
        <w:t>十四五</w:t>
      </w:r>
      <w:r>
        <w:rPr>
          <w:rFonts w:ascii="Times New Roman" w:eastAsia="仿宋_GB2312" w:hAnsi="Times New Roman" w:cs="Times New Roman"/>
        </w:rPr>
        <w:t>”</w:t>
      </w:r>
      <w:r>
        <w:rPr>
          <w:rFonts w:ascii="Times New Roman" w:eastAsia="仿宋_GB2312" w:hAnsi="Times New Roman" w:cs="Times New Roman"/>
        </w:rPr>
        <w:t>期间加快推动太仓金融高质量发展提供方向指引。</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本规划实施期间为</w:t>
      </w:r>
      <w:r>
        <w:rPr>
          <w:rFonts w:ascii="Times New Roman" w:eastAsia="仿宋_GB2312" w:hAnsi="Times New Roman" w:cs="Times New Roman"/>
        </w:rPr>
        <w:t>2021</w:t>
      </w:r>
      <w:r>
        <w:rPr>
          <w:rFonts w:ascii="Times New Roman" w:hAnsi="Times New Roman" w:cs="Times New Roman"/>
          <w:szCs w:val="32"/>
        </w:rPr>
        <w:t>—</w:t>
      </w:r>
      <w:r>
        <w:rPr>
          <w:rFonts w:ascii="Times New Roman" w:eastAsia="仿宋_GB2312" w:hAnsi="Times New Roman" w:cs="Times New Roman"/>
        </w:rPr>
        <w:t>2025</w:t>
      </w:r>
      <w:r>
        <w:rPr>
          <w:rFonts w:ascii="Times New Roman" w:eastAsia="仿宋_GB2312" w:hAnsi="Times New Roman" w:cs="Times New Roman"/>
        </w:rPr>
        <w:t>年。</w:t>
      </w:r>
    </w:p>
    <w:p w:rsidR="0023790C" w:rsidRDefault="00972AA8">
      <w:pPr>
        <w:widowControl/>
        <w:spacing w:line="580" w:lineRule="exact"/>
        <w:jc w:val="left"/>
        <w:rPr>
          <w:rFonts w:ascii="Times New Roman" w:hAnsi="Times New Roman" w:cs="Times New Roman"/>
          <w:szCs w:val="32"/>
        </w:rPr>
      </w:pPr>
      <w:r>
        <w:rPr>
          <w:rFonts w:ascii="Times New Roman" w:hAnsi="Times New Roman" w:cs="Times New Roman"/>
          <w:szCs w:val="32"/>
        </w:rPr>
        <w:br w:type="page"/>
      </w:r>
    </w:p>
    <w:p w:rsidR="0023790C" w:rsidRDefault="00972AA8">
      <w:pPr>
        <w:spacing w:line="580" w:lineRule="exact"/>
        <w:ind w:firstLineChars="200" w:firstLine="640"/>
        <w:rPr>
          <w:rFonts w:ascii="Times New Roman" w:eastAsia="黑体" w:hAnsi="Times New Roman" w:cs="Times New Roman"/>
        </w:rPr>
      </w:pPr>
      <w:bookmarkStart w:id="2" w:name="_Toc87626006"/>
      <w:r>
        <w:rPr>
          <w:rFonts w:ascii="Times New Roman" w:eastAsia="黑体" w:hAnsi="Times New Roman" w:cs="Times New Roman"/>
        </w:rPr>
        <w:lastRenderedPageBreak/>
        <w:t>一、发展基础与形势</w:t>
      </w:r>
      <w:bookmarkEnd w:id="2"/>
    </w:p>
    <w:p w:rsidR="0023790C" w:rsidRDefault="00972AA8">
      <w:pPr>
        <w:spacing w:line="580" w:lineRule="exact"/>
        <w:ind w:firstLineChars="200" w:firstLine="640"/>
        <w:rPr>
          <w:rFonts w:ascii="Times New Roman" w:eastAsia="楷体_GB2312" w:hAnsi="Times New Roman" w:cs="Times New Roman"/>
        </w:rPr>
      </w:pPr>
      <w:bookmarkStart w:id="3" w:name="_Toc87626007"/>
      <w:r>
        <w:rPr>
          <w:rFonts w:ascii="Times New Roman" w:eastAsia="楷体_GB2312" w:hAnsi="Times New Roman" w:cs="Times New Roman"/>
        </w:rPr>
        <w:t>（一）发展基础</w:t>
      </w:r>
      <w:bookmarkEnd w:id="3"/>
    </w:p>
    <w:p w:rsidR="0023790C" w:rsidRDefault="00972AA8">
      <w:pPr>
        <w:spacing w:line="580" w:lineRule="exact"/>
        <w:ind w:firstLineChars="200" w:firstLine="643"/>
        <w:rPr>
          <w:rFonts w:ascii="Times New Roman" w:eastAsia="仿宋_GB2312" w:hAnsi="Times New Roman" w:cs="Times New Roman"/>
          <w:b/>
        </w:rPr>
      </w:pPr>
      <w:bookmarkStart w:id="4" w:name="_Toc87626008"/>
      <w:r>
        <w:rPr>
          <w:rFonts w:ascii="Times New Roman" w:eastAsia="仿宋_GB2312" w:hAnsi="Times New Roman" w:cs="Times New Roman"/>
          <w:b/>
        </w:rPr>
        <w:t>1.“</w:t>
      </w:r>
      <w:r>
        <w:rPr>
          <w:rFonts w:ascii="Times New Roman" w:eastAsia="仿宋_GB2312" w:hAnsi="Times New Roman" w:cs="Times New Roman"/>
          <w:b/>
        </w:rPr>
        <w:t>十三五</w:t>
      </w:r>
      <w:r>
        <w:rPr>
          <w:rFonts w:ascii="Times New Roman" w:eastAsia="仿宋_GB2312" w:hAnsi="Times New Roman" w:cs="Times New Roman"/>
          <w:b/>
        </w:rPr>
        <w:t>”</w:t>
      </w:r>
      <w:r>
        <w:rPr>
          <w:rFonts w:ascii="Times New Roman" w:eastAsia="仿宋_GB2312" w:hAnsi="Times New Roman" w:cs="Times New Roman"/>
          <w:b/>
        </w:rPr>
        <w:t>发展成绩</w:t>
      </w:r>
      <w:bookmarkEnd w:id="4"/>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十三五</w:t>
      </w:r>
      <w:r>
        <w:rPr>
          <w:rFonts w:ascii="Times New Roman" w:eastAsia="仿宋_GB2312" w:hAnsi="Times New Roman" w:cs="Times New Roman"/>
        </w:rPr>
        <w:t>”</w:t>
      </w:r>
      <w:r>
        <w:rPr>
          <w:rFonts w:ascii="Times New Roman" w:eastAsia="仿宋_GB2312" w:hAnsi="Times New Roman" w:cs="Times New Roman"/>
        </w:rPr>
        <w:t>是太仓金融业创新改革全面推进的五年，又是太仓金融业快速发展的五年。过去五年里，面对国际国内风险挑战显著上升的复杂局面，全市金融系统在市委、市政府的正确领导下，</w:t>
      </w:r>
      <w:r>
        <w:rPr>
          <w:rFonts w:ascii="Times New Roman" w:eastAsia="仿宋_GB2312" w:hAnsi="Times New Roman" w:cs="Times New Roman"/>
          <w:szCs w:val="32"/>
        </w:rPr>
        <w:t>以《太仓市国民经济和社会发展第十三个五年规划纲要》为指引，</w:t>
      </w:r>
      <w:r>
        <w:rPr>
          <w:rFonts w:ascii="Times New Roman" w:eastAsia="仿宋_GB2312" w:hAnsi="Times New Roman" w:cs="Times New Roman"/>
        </w:rPr>
        <w:t>以</w:t>
      </w:r>
      <w:r>
        <w:rPr>
          <w:rFonts w:ascii="Times New Roman" w:eastAsia="仿宋_GB2312" w:hAnsi="Times New Roman" w:cs="Times New Roman"/>
        </w:rPr>
        <w:t>“</w:t>
      </w:r>
      <w:r>
        <w:rPr>
          <w:rFonts w:ascii="Times New Roman" w:eastAsia="仿宋_GB2312" w:hAnsi="Times New Roman" w:cs="Times New Roman"/>
          <w:szCs w:val="32"/>
        </w:rPr>
        <w:t>提升金融服务水平</w:t>
      </w:r>
      <w:r>
        <w:rPr>
          <w:rFonts w:ascii="Times New Roman" w:eastAsia="仿宋_GB2312" w:hAnsi="Times New Roman" w:cs="Times New Roman"/>
        </w:rPr>
        <w:t>、</w:t>
      </w:r>
      <w:r>
        <w:rPr>
          <w:rFonts w:ascii="Times New Roman" w:eastAsia="仿宋_GB2312" w:hAnsi="Times New Roman" w:cs="Times New Roman"/>
          <w:szCs w:val="32"/>
        </w:rPr>
        <w:t>优化金融生态环境</w:t>
      </w:r>
      <w:r>
        <w:rPr>
          <w:rFonts w:ascii="Times New Roman" w:eastAsia="仿宋_GB2312" w:hAnsi="Times New Roman" w:cs="Times New Roman"/>
        </w:rPr>
        <w:t>”</w:t>
      </w:r>
      <w:r>
        <w:rPr>
          <w:rFonts w:ascii="Times New Roman" w:eastAsia="仿宋_GB2312" w:hAnsi="Times New Roman" w:cs="Times New Roman"/>
        </w:rPr>
        <w:t>为导向，</w:t>
      </w:r>
      <w:r>
        <w:rPr>
          <w:rFonts w:ascii="Times New Roman" w:eastAsia="仿宋_GB2312" w:hAnsi="Times New Roman" w:cs="Times New Roman"/>
          <w:szCs w:val="32"/>
        </w:rPr>
        <w:t>按照支持实体经济、丰富金融业态、服务民生需求、防范金融风险的要求，加快推进新金融发展，</w:t>
      </w:r>
      <w:r>
        <w:rPr>
          <w:rFonts w:ascii="Times New Roman" w:eastAsia="仿宋_GB2312" w:hAnsi="Times New Roman" w:cs="Times New Roman"/>
        </w:rPr>
        <w:t>持续深化金融改革，挂牌组建太仓市地方金融监督管理局，健全完善地方金融监管体系，</w:t>
      </w:r>
      <w:r>
        <w:rPr>
          <w:rFonts w:ascii="Times New Roman" w:eastAsia="仿宋_GB2312" w:hAnsi="Times New Roman" w:cs="Times New Roman"/>
          <w:szCs w:val="32"/>
        </w:rPr>
        <w:t>较好完成了</w:t>
      </w:r>
      <w:r>
        <w:rPr>
          <w:rFonts w:ascii="Times New Roman" w:eastAsia="仿宋_GB2312" w:hAnsi="Times New Roman" w:cs="Times New Roman"/>
          <w:szCs w:val="32"/>
        </w:rPr>
        <w:t>“</w:t>
      </w:r>
      <w:r>
        <w:rPr>
          <w:rFonts w:ascii="Times New Roman" w:eastAsia="仿宋_GB2312" w:hAnsi="Times New Roman" w:cs="Times New Roman"/>
          <w:szCs w:val="32"/>
        </w:rPr>
        <w:t>十三五</w:t>
      </w:r>
      <w:r>
        <w:rPr>
          <w:rFonts w:ascii="Times New Roman" w:eastAsia="仿宋_GB2312" w:hAnsi="Times New Roman" w:cs="Times New Roman"/>
          <w:szCs w:val="32"/>
        </w:rPr>
        <w:t>”</w:t>
      </w:r>
      <w:r>
        <w:rPr>
          <w:rFonts w:ascii="Times New Roman" w:eastAsia="仿宋_GB2312" w:hAnsi="Times New Roman" w:cs="Times New Roman"/>
          <w:szCs w:val="32"/>
        </w:rPr>
        <w:t>预期目标，</w:t>
      </w:r>
      <w:r>
        <w:rPr>
          <w:rFonts w:ascii="Times New Roman" w:eastAsia="仿宋_GB2312" w:hAnsi="Times New Roman" w:cs="Times New Roman"/>
        </w:rPr>
        <w:t>为营造最舒心金融营商环境、助推全市经济社会高质量发展奠定了坚实的金融基础。</w:t>
      </w:r>
    </w:p>
    <w:p w:rsidR="0023790C" w:rsidRDefault="00972AA8">
      <w:pPr>
        <w:spacing w:line="580" w:lineRule="exact"/>
        <w:ind w:firstLineChars="200" w:firstLine="643"/>
        <w:rPr>
          <w:rFonts w:ascii="Times New Roman" w:eastAsia="仿宋_GB2312" w:hAnsi="Times New Roman" w:cs="Times New Roman"/>
          <w:b/>
        </w:rPr>
      </w:pPr>
      <w:r>
        <w:rPr>
          <w:rFonts w:ascii="Times New Roman" w:eastAsia="仿宋_GB2312" w:hAnsi="Times New Roman" w:cs="Times New Roman"/>
          <w:b/>
        </w:rPr>
        <w:t>（</w:t>
      </w:r>
      <w:r>
        <w:rPr>
          <w:rFonts w:ascii="Times New Roman" w:eastAsia="仿宋_GB2312" w:hAnsi="Times New Roman" w:cs="Times New Roman"/>
          <w:b/>
        </w:rPr>
        <w:t>1</w:t>
      </w:r>
      <w:r>
        <w:rPr>
          <w:rFonts w:ascii="Times New Roman" w:eastAsia="仿宋_GB2312" w:hAnsi="Times New Roman" w:cs="Times New Roman"/>
          <w:b/>
        </w:rPr>
        <w:t>）产业规模稳步增长</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十三五</w:t>
      </w:r>
      <w:r>
        <w:rPr>
          <w:rFonts w:ascii="Times New Roman" w:eastAsia="仿宋_GB2312" w:hAnsi="Times New Roman" w:cs="Times New Roman"/>
        </w:rPr>
        <w:t>”</w:t>
      </w:r>
      <w:r>
        <w:rPr>
          <w:rFonts w:ascii="Times New Roman" w:eastAsia="仿宋_GB2312" w:hAnsi="Times New Roman" w:cs="Times New Roman"/>
        </w:rPr>
        <w:t>期间，全市</w:t>
      </w:r>
      <w:r>
        <w:rPr>
          <w:rFonts w:ascii="Times New Roman" w:eastAsia="仿宋_GB2312" w:hAnsi="Times New Roman" w:cs="Times New Roman"/>
          <w:szCs w:val="32"/>
        </w:rPr>
        <w:t>金融业综合实力显著增强，对太仓经济社会发展的贡献度持续增加。</w:t>
      </w:r>
      <w:r>
        <w:rPr>
          <w:rFonts w:ascii="Times New Roman" w:eastAsia="仿宋_GB2312" w:hAnsi="Times New Roman" w:cs="Times New Roman"/>
        </w:rPr>
        <w:t>2020</w:t>
      </w:r>
      <w:r>
        <w:rPr>
          <w:rFonts w:ascii="Times New Roman" w:eastAsia="仿宋_GB2312" w:hAnsi="Times New Roman" w:cs="Times New Roman"/>
        </w:rPr>
        <w:t>年，全市实现金融业增加值</w:t>
      </w:r>
      <w:r>
        <w:rPr>
          <w:rFonts w:ascii="Times New Roman" w:eastAsia="仿宋_GB2312" w:hAnsi="Times New Roman" w:cs="Times New Roman"/>
        </w:rPr>
        <w:t>118.2</w:t>
      </w:r>
      <w:r>
        <w:rPr>
          <w:rFonts w:ascii="Times New Roman" w:eastAsia="仿宋_GB2312" w:hAnsi="Times New Roman" w:cs="Times New Roman"/>
        </w:rPr>
        <w:t>亿元，较</w:t>
      </w:r>
      <w:r>
        <w:rPr>
          <w:rFonts w:ascii="Times New Roman" w:eastAsia="仿宋_GB2312" w:hAnsi="Times New Roman" w:cs="Times New Roman"/>
        </w:rPr>
        <w:t>“</w:t>
      </w:r>
      <w:r>
        <w:rPr>
          <w:rFonts w:ascii="Times New Roman" w:eastAsia="仿宋_GB2312" w:hAnsi="Times New Roman" w:cs="Times New Roman"/>
        </w:rPr>
        <w:t>十二五</w:t>
      </w:r>
      <w:r>
        <w:rPr>
          <w:rFonts w:ascii="Times New Roman" w:eastAsia="仿宋_GB2312" w:hAnsi="Times New Roman" w:cs="Times New Roman"/>
        </w:rPr>
        <w:t>”</w:t>
      </w:r>
      <w:r>
        <w:rPr>
          <w:rFonts w:ascii="Times New Roman" w:eastAsia="仿宋_GB2312" w:hAnsi="Times New Roman" w:cs="Times New Roman"/>
        </w:rPr>
        <w:t>期末增长</w:t>
      </w:r>
      <w:r>
        <w:rPr>
          <w:rFonts w:ascii="Times New Roman" w:eastAsia="仿宋_GB2312" w:hAnsi="Times New Roman" w:cs="Times New Roman"/>
        </w:rPr>
        <w:t>97.5%</w:t>
      </w:r>
      <w:r>
        <w:rPr>
          <w:rFonts w:ascii="Times New Roman" w:eastAsia="仿宋_GB2312" w:hAnsi="Times New Roman" w:cs="Times New Roman"/>
        </w:rPr>
        <w:t>，占地区生产总值比重由</w:t>
      </w:r>
      <w:r>
        <w:rPr>
          <w:rFonts w:ascii="Times New Roman" w:eastAsia="仿宋_GB2312" w:hAnsi="Times New Roman" w:cs="Times New Roman"/>
        </w:rPr>
        <w:t>5.44%</w:t>
      </w:r>
      <w:r>
        <w:rPr>
          <w:rFonts w:ascii="Times New Roman" w:eastAsia="仿宋_GB2312" w:hAnsi="Times New Roman" w:cs="Times New Roman"/>
        </w:rPr>
        <w:t>提高到</w:t>
      </w:r>
      <w:r>
        <w:rPr>
          <w:rFonts w:ascii="Times New Roman" w:eastAsia="仿宋_GB2312" w:hAnsi="Times New Roman" w:cs="Times New Roman"/>
        </w:rPr>
        <w:t>8.53%</w:t>
      </w:r>
      <w:r>
        <w:rPr>
          <w:rFonts w:ascii="Times New Roman" w:eastAsia="仿宋_GB2312" w:hAnsi="Times New Roman" w:cs="Times New Roman"/>
        </w:rPr>
        <w:t>。</w:t>
      </w:r>
      <w:r>
        <w:rPr>
          <w:rFonts w:ascii="Times New Roman" w:eastAsia="仿宋_GB2312" w:hAnsi="Times New Roman" w:cs="Times New Roman"/>
          <w:szCs w:val="32"/>
        </w:rPr>
        <w:t>存贷款余额创历史新高，</w:t>
      </w:r>
      <w:r>
        <w:rPr>
          <w:rFonts w:ascii="Times New Roman" w:eastAsia="仿宋_GB2312" w:hAnsi="Times New Roman" w:cs="Times New Roman"/>
          <w:szCs w:val="32"/>
        </w:rPr>
        <w:t>“</w:t>
      </w:r>
      <w:r>
        <w:rPr>
          <w:rFonts w:ascii="Times New Roman" w:eastAsia="仿宋_GB2312" w:hAnsi="Times New Roman" w:cs="Times New Roman"/>
          <w:szCs w:val="32"/>
        </w:rPr>
        <w:t>十三五</w:t>
      </w:r>
      <w:r>
        <w:rPr>
          <w:rFonts w:ascii="Times New Roman" w:eastAsia="仿宋_GB2312" w:hAnsi="Times New Roman" w:cs="Times New Roman"/>
          <w:szCs w:val="32"/>
        </w:rPr>
        <w:t>”</w:t>
      </w:r>
      <w:r>
        <w:rPr>
          <w:rFonts w:ascii="Times New Roman" w:eastAsia="仿宋_GB2312" w:hAnsi="Times New Roman" w:cs="Times New Roman"/>
          <w:szCs w:val="32"/>
        </w:rPr>
        <w:t>期末，</w:t>
      </w:r>
      <w:r>
        <w:rPr>
          <w:rFonts w:ascii="Times New Roman" w:eastAsia="仿宋_GB2312" w:hAnsi="Times New Roman" w:cs="Times New Roman"/>
        </w:rPr>
        <w:t>全市金融机构本外币存款余额、贷款余额分别达到</w:t>
      </w:r>
      <w:r>
        <w:rPr>
          <w:rFonts w:ascii="Times New Roman" w:eastAsia="仿宋_GB2312" w:hAnsi="Times New Roman" w:cs="Times New Roman"/>
        </w:rPr>
        <w:t>1930.87</w:t>
      </w:r>
      <w:r>
        <w:rPr>
          <w:rFonts w:ascii="Times New Roman" w:eastAsia="仿宋_GB2312" w:hAnsi="Times New Roman" w:cs="Times New Roman"/>
        </w:rPr>
        <w:t>亿元和</w:t>
      </w:r>
      <w:r>
        <w:rPr>
          <w:rFonts w:ascii="Times New Roman" w:eastAsia="仿宋_GB2312" w:hAnsi="Times New Roman" w:cs="Times New Roman"/>
        </w:rPr>
        <w:t>1875.41</w:t>
      </w:r>
      <w:r>
        <w:rPr>
          <w:rFonts w:ascii="Times New Roman" w:eastAsia="仿宋_GB2312" w:hAnsi="Times New Roman" w:cs="Times New Roman"/>
        </w:rPr>
        <w:t>亿元，</w:t>
      </w:r>
      <w:r>
        <w:rPr>
          <w:rFonts w:ascii="Times New Roman" w:eastAsia="仿宋_GB2312" w:hAnsi="Times New Roman" w:cs="Times New Roman"/>
          <w:szCs w:val="32"/>
        </w:rPr>
        <w:t>较</w:t>
      </w:r>
      <w:r>
        <w:rPr>
          <w:rFonts w:ascii="Times New Roman" w:eastAsia="仿宋_GB2312" w:hAnsi="Times New Roman" w:cs="Times New Roman"/>
          <w:szCs w:val="32"/>
        </w:rPr>
        <w:t>“</w:t>
      </w:r>
      <w:r>
        <w:rPr>
          <w:rFonts w:ascii="Times New Roman" w:eastAsia="仿宋_GB2312" w:hAnsi="Times New Roman" w:cs="Times New Roman"/>
          <w:szCs w:val="32"/>
        </w:rPr>
        <w:t>十二五</w:t>
      </w:r>
      <w:r>
        <w:rPr>
          <w:rFonts w:ascii="Times New Roman" w:eastAsia="仿宋_GB2312" w:hAnsi="Times New Roman" w:cs="Times New Roman"/>
          <w:szCs w:val="32"/>
        </w:rPr>
        <w:t>”</w:t>
      </w:r>
      <w:r>
        <w:rPr>
          <w:rFonts w:ascii="Times New Roman" w:eastAsia="仿宋_GB2312" w:hAnsi="Times New Roman" w:cs="Times New Roman"/>
          <w:szCs w:val="32"/>
        </w:rPr>
        <w:t>期末</w:t>
      </w:r>
      <w:r>
        <w:rPr>
          <w:rFonts w:ascii="Times New Roman" w:eastAsia="仿宋_GB2312" w:hAnsi="Times New Roman" w:cs="Times New Roman"/>
        </w:rPr>
        <w:t>增长</w:t>
      </w:r>
      <w:r>
        <w:rPr>
          <w:rFonts w:ascii="Times New Roman" w:eastAsia="仿宋_GB2312" w:hAnsi="Times New Roman" w:cs="Times New Roman"/>
        </w:rPr>
        <w:t>47.23%</w:t>
      </w:r>
      <w:r>
        <w:rPr>
          <w:rFonts w:ascii="Times New Roman" w:eastAsia="仿宋_GB2312" w:hAnsi="Times New Roman" w:cs="Times New Roman"/>
        </w:rPr>
        <w:t>、</w:t>
      </w:r>
      <w:r>
        <w:rPr>
          <w:rFonts w:ascii="Times New Roman" w:eastAsia="仿宋_GB2312" w:hAnsi="Times New Roman" w:cs="Times New Roman"/>
        </w:rPr>
        <w:t>60.75%</w:t>
      </w:r>
      <w:r>
        <w:rPr>
          <w:rFonts w:ascii="Times New Roman" w:eastAsia="仿宋_GB2312" w:hAnsi="Times New Roman" w:cs="Times New Roman"/>
        </w:rPr>
        <w:t>。</w:t>
      </w:r>
      <w:r>
        <w:rPr>
          <w:rFonts w:ascii="Times New Roman" w:eastAsia="仿宋_GB2312" w:hAnsi="Times New Roman" w:cs="Times New Roman"/>
        </w:rPr>
        <w:t>2020</w:t>
      </w:r>
      <w:r>
        <w:rPr>
          <w:rFonts w:ascii="Times New Roman" w:eastAsia="仿宋_GB2312" w:hAnsi="Times New Roman" w:cs="Times New Roman"/>
        </w:rPr>
        <w:t>年，全市保费收入达到</w:t>
      </w:r>
      <w:r>
        <w:rPr>
          <w:rFonts w:ascii="Times New Roman" w:eastAsia="仿宋_GB2312" w:hAnsi="Times New Roman" w:cs="Times New Roman"/>
        </w:rPr>
        <w:t>32.08</w:t>
      </w:r>
      <w:r>
        <w:rPr>
          <w:rFonts w:ascii="Times New Roman" w:eastAsia="仿宋_GB2312" w:hAnsi="Times New Roman" w:cs="Times New Roman"/>
        </w:rPr>
        <w:t>亿元，较</w:t>
      </w:r>
      <w:r>
        <w:rPr>
          <w:rFonts w:ascii="Times New Roman" w:eastAsia="仿宋_GB2312" w:hAnsi="Times New Roman" w:cs="Times New Roman"/>
        </w:rPr>
        <w:t>“</w:t>
      </w:r>
      <w:r>
        <w:rPr>
          <w:rFonts w:ascii="Times New Roman" w:eastAsia="仿宋_GB2312" w:hAnsi="Times New Roman" w:cs="Times New Roman"/>
        </w:rPr>
        <w:t>十二五</w:t>
      </w:r>
      <w:r>
        <w:rPr>
          <w:rFonts w:ascii="Times New Roman" w:eastAsia="仿宋_GB2312" w:hAnsi="Times New Roman" w:cs="Times New Roman"/>
        </w:rPr>
        <w:t>”</w:t>
      </w:r>
      <w:r>
        <w:rPr>
          <w:rFonts w:ascii="Times New Roman" w:eastAsia="仿宋_GB2312" w:hAnsi="Times New Roman" w:cs="Times New Roman"/>
        </w:rPr>
        <w:t>期末增长</w:t>
      </w:r>
      <w:r>
        <w:rPr>
          <w:rFonts w:ascii="Times New Roman" w:eastAsia="仿宋_GB2312" w:hAnsi="Times New Roman" w:cs="Times New Roman"/>
        </w:rPr>
        <w:t>57.08%</w:t>
      </w:r>
      <w:r>
        <w:rPr>
          <w:rFonts w:ascii="Times New Roman" w:eastAsia="仿宋_GB2312" w:hAnsi="Times New Roman" w:cs="Times New Roman"/>
        </w:rPr>
        <w:t>。</w:t>
      </w:r>
    </w:p>
    <w:p w:rsidR="0023790C" w:rsidRDefault="00972AA8">
      <w:pPr>
        <w:spacing w:line="580" w:lineRule="exact"/>
        <w:ind w:firstLineChars="200" w:firstLine="643"/>
        <w:rPr>
          <w:rFonts w:ascii="Times New Roman" w:eastAsia="仿宋_GB2312" w:hAnsi="Times New Roman" w:cs="Times New Roman"/>
          <w:b/>
        </w:rPr>
      </w:pPr>
      <w:r>
        <w:rPr>
          <w:rFonts w:ascii="Times New Roman" w:eastAsia="仿宋_GB2312" w:hAnsi="Times New Roman" w:cs="Times New Roman"/>
          <w:b/>
        </w:rPr>
        <w:t>（</w:t>
      </w:r>
      <w:r>
        <w:rPr>
          <w:rFonts w:ascii="Times New Roman" w:eastAsia="仿宋_GB2312" w:hAnsi="Times New Roman" w:cs="Times New Roman"/>
          <w:b/>
        </w:rPr>
        <w:t>2</w:t>
      </w:r>
      <w:r>
        <w:rPr>
          <w:rFonts w:ascii="Times New Roman" w:eastAsia="仿宋_GB2312" w:hAnsi="Times New Roman" w:cs="Times New Roman"/>
          <w:b/>
        </w:rPr>
        <w:t>）金融体系量质齐升</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lastRenderedPageBreak/>
        <w:t>“</w:t>
      </w:r>
      <w:r>
        <w:rPr>
          <w:rFonts w:ascii="Times New Roman" w:eastAsia="仿宋_GB2312" w:hAnsi="Times New Roman" w:cs="Times New Roman"/>
        </w:rPr>
        <w:t>十三五</w:t>
      </w:r>
      <w:r>
        <w:rPr>
          <w:rFonts w:ascii="Times New Roman" w:eastAsia="仿宋_GB2312" w:hAnsi="Times New Roman" w:cs="Times New Roman"/>
        </w:rPr>
        <w:t>”</w:t>
      </w:r>
      <w:r>
        <w:rPr>
          <w:rFonts w:ascii="Times New Roman" w:eastAsia="仿宋_GB2312" w:hAnsi="Times New Roman" w:cs="Times New Roman"/>
        </w:rPr>
        <w:t>期间，全市</w:t>
      </w:r>
      <w:r>
        <w:rPr>
          <w:rFonts w:ascii="Times New Roman" w:hAnsi="Times New Roman" w:cs="Times New Roman"/>
          <w:szCs w:val="32"/>
        </w:rPr>
        <w:t>金融机构总数稳步增加，金融体系逐步健全，</w:t>
      </w:r>
      <w:r>
        <w:rPr>
          <w:rFonts w:ascii="Times New Roman" w:eastAsia="仿宋_GB2312" w:hAnsi="Times New Roman" w:cs="Times New Roman"/>
        </w:rPr>
        <w:t>传统金融机构完善布局、新型金融机构快速发展，基本形成银行、证券、保险、期货等传统金融机构为主，小额贷款、融资担保、融资租赁等新兴金融业态为有力补充的金融体系。</w:t>
      </w:r>
      <w:r>
        <w:rPr>
          <w:rFonts w:ascii="Times New Roman" w:eastAsia="仿宋_GB2312" w:hAnsi="Times New Roman" w:cs="Times New Roman"/>
        </w:rPr>
        <w:t>“</w:t>
      </w:r>
      <w:r>
        <w:rPr>
          <w:rFonts w:ascii="Times New Roman" w:eastAsia="仿宋_GB2312" w:hAnsi="Times New Roman" w:cs="Times New Roman"/>
        </w:rPr>
        <w:t>十三五</w:t>
      </w:r>
      <w:r>
        <w:rPr>
          <w:rFonts w:ascii="Times New Roman" w:eastAsia="仿宋_GB2312" w:hAnsi="Times New Roman" w:cs="Times New Roman"/>
        </w:rPr>
        <w:t>”</w:t>
      </w:r>
      <w:r>
        <w:rPr>
          <w:rFonts w:ascii="Times New Roman" w:eastAsia="仿宋_GB2312" w:hAnsi="Times New Roman" w:cs="Times New Roman"/>
        </w:rPr>
        <w:t>期末，全市金融机构总数达</w:t>
      </w:r>
      <w:r>
        <w:rPr>
          <w:rFonts w:ascii="Times New Roman" w:eastAsia="仿宋_GB2312" w:hAnsi="Times New Roman" w:cs="Times New Roman"/>
        </w:rPr>
        <w:t>100</w:t>
      </w:r>
      <w:r>
        <w:rPr>
          <w:rFonts w:ascii="Times New Roman" w:eastAsia="仿宋_GB2312" w:hAnsi="Times New Roman" w:cs="Times New Roman"/>
        </w:rPr>
        <w:t>家，较</w:t>
      </w:r>
      <w:r>
        <w:rPr>
          <w:rFonts w:ascii="Times New Roman" w:eastAsia="仿宋_GB2312" w:hAnsi="Times New Roman" w:cs="Times New Roman"/>
        </w:rPr>
        <w:t>“</w:t>
      </w:r>
      <w:r>
        <w:rPr>
          <w:rFonts w:ascii="Times New Roman" w:eastAsia="仿宋_GB2312" w:hAnsi="Times New Roman" w:cs="Times New Roman"/>
        </w:rPr>
        <w:t>十二五</w:t>
      </w:r>
      <w:r>
        <w:rPr>
          <w:rFonts w:ascii="Times New Roman" w:eastAsia="仿宋_GB2312" w:hAnsi="Times New Roman" w:cs="Times New Roman"/>
        </w:rPr>
        <w:t>”</w:t>
      </w:r>
      <w:r>
        <w:rPr>
          <w:rFonts w:ascii="Times New Roman" w:eastAsia="仿宋_GB2312" w:hAnsi="Times New Roman" w:cs="Times New Roman"/>
        </w:rPr>
        <w:t>期末增加</w:t>
      </w:r>
      <w:r>
        <w:rPr>
          <w:rFonts w:ascii="Times New Roman" w:eastAsia="仿宋_GB2312" w:hAnsi="Times New Roman" w:cs="Times New Roman"/>
        </w:rPr>
        <w:t>17</w:t>
      </w:r>
      <w:r>
        <w:rPr>
          <w:rFonts w:ascii="Times New Roman" w:eastAsia="仿宋_GB2312" w:hAnsi="Times New Roman" w:cs="Times New Roman"/>
        </w:rPr>
        <w:t>家。全市银行业机构</w:t>
      </w:r>
      <w:r>
        <w:rPr>
          <w:rFonts w:ascii="Times New Roman" w:eastAsia="仿宋_GB2312" w:hAnsi="Times New Roman" w:cs="Times New Roman"/>
        </w:rPr>
        <w:t>29</w:t>
      </w:r>
      <w:r>
        <w:rPr>
          <w:rFonts w:ascii="Times New Roman" w:eastAsia="仿宋_GB2312" w:hAnsi="Times New Roman" w:cs="Times New Roman"/>
        </w:rPr>
        <w:t>家，涵盖国有商业银行、股份制银行、城商行、农商行、村镇银行、外资银行、政策性银行；保险机构</w:t>
      </w:r>
      <w:r>
        <w:rPr>
          <w:rFonts w:ascii="Times New Roman" w:eastAsia="仿宋_GB2312" w:hAnsi="Times New Roman" w:cs="Times New Roman"/>
        </w:rPr>
        <w:t>35</w:t>
      </w:r>
      <w:r>
        <w:rPr>
          <w:rFonts w:ascii="Times New Roman" w:eastAsia="仿宋_GB2312" w:hAnsi="Times New Roman" w:cs="Times New Roman"/>
        </w:rPr>
        <w:t>家，证券机构</w:t>
      </w:r>
      <w:r>
        <w:rPr>
          <w:rFonts w:ascii="Times New Roman" w:eastAsia="仿宋_GB2312" w:hAnsi="Times New Roman" w:cs="Times New Roman"/>
        </w:rPr>
        <w:t>7</w:t>
      </w:r>
      <w:r>
        <w:rPr>
          <w:rFonts w:ascii="Times New Roman" w:eastAsia="仿宋_GB2312" w:hAnsi="Times New Roman" w:cs="Times New Roman"/>
        </w:rPr>
        <w:t>家，期货机构</w:t>
      </w:r>
      <w:r>
        <w:rPr>
          <w:rFonts w:ascii="Times New Roman" w:eastAsia="仿宋_GB2312" w:hAnsi="Times New Roman" w:cs="Times New Roman"/>
        </w:rPr>
        <w:t>1</w:t>
      </w:r>
      <w:r>
        <w:rPr>
          <w:rFonts w:ascii="Times New Roman" w:eastAsia="仿宋_GB2312" w:hAnsi="Times New Roman" w:cs="Times New Roman"/>
        </w:rPr>
        <w:t>家，备案创投公司</w:t>
      </w:r>
      <w:r>
        <w:rPr>
          <w:rFonts w:ascii="Times New Roman" w:eastAsia="仿宋_GB2312" w:hAnsi="Times New Roman" w:cs="Times New Roman"/>
        </w:rPr>
        <w:t>8</w:t>
      </w:r>
      <w:r>
        <w:rPr>
          <w:rFonts w:ascii="Times New Roman" w:eastAsia="仿宋_GB2312" w:hAnsi="Times New Roman" w:cs="Times New Roman"/>
        </w:rPr>
        <w:t>家，地方金融组织</w:t>
      </w:r>
      <w:r>
        <w:rPr>
          <w:rFonts w:ascii="Times New Roman" w:eastAsia="仿宋_GB2312" w:hAnsi="Times New Roman" w:cs="Times New Roman"/>
        </w:rPr>
        <w:t>20</w:t>
      </w:r>
      <w:r>
        <w:rPr>
          <w:rFonts w:ascii="Times New Roman" w:eastAsia="仿宋_GB2312" w:hAnsi="Times New Roman" w:cs="Times New Roman"/>
        </w:rPr>
        <w:t>家。金融业的多元格局为助推太仓深度融入长三角一体化发展奠定了坚实金融基础。</w:t>
      </w:r>
    </w:p>
    <w:p w:rsidR="0023790C" w:rsidRDefault="00972AA8">
      <w:pPr>
        <w:spacing w:line="580" w:lineRule="exact"/>
        <w:ind w:firstLineChars="200" w:firstLine="643"/>
        <w:rPr>
          <w:rFonts w:ascii="Times New Roman" w:eastAsia="仿宋_GB2312" w:hAnsi="Times New Roman" w:cs="Times New Roman"/>
          <w:b/>
        </w:rPr>
      </w:pPr>
      <w:r>
        <w:rPr>
          <w:rFonts w:ascii="Times New Roman" w:eastAsia="仿宋_GB2312" w:hAnsi="Times New Roman" w:cs="Times New Roman"/>
          <w:b/>
        </w:rPr>
        <w:t>（</w:t>
      </w:r>
      <w:r>
        <w:rPr>
          <w:rFonts w:ascii="Times New Roman" w:eastAsia="仿宋_GB2312" w:hAnsi="Times New Roman" w:cs="Times New Roman"/>
          <w:b/>
        </w:rPr>
        <w:t>3</w:t>
      </w:r>
      <w:r>
        <w:rPr>
          <w:rFonts w:ascii="Times New Roman" w:eastAsia="仿宋_GB2312" w:hAnsi="Times New Roman" w:cs="Times New Roman"/>
          <w:b/>
        </w:rPr>
        <w:t>）服务实体成效显著</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szCs w:val="32"/>
        </w:rPr>
        <w:t>“</w:t>
      </w:r>
      <w:r>
        <w:rPr>
          <w:rFonts w:ascii="Times New Roman" w:eastAsia="仿宋_GB2312" w:hAnsi="Times New Roman" w:cs="Times New Roman"/>
          <w:szCs w:val="32"/>
        </w:rPr>
        <w:t>十三五</w:t>
      </w:r>
      <w:r>
        <w:rPr>
          <w:rFonts w:ascii="Times New Roman" w:eastAsia="仿宋_GB2312" w:hAnsi="Times New Roman" w:cs="Times New Roman"/>
          <w:szCs w:val="32"/>
        </w:rPr>
        <w:t>”</w:t>
      </w:r>
      <w:r>
        <w:rPr>
          <w:rFonts w:ascii="Times New Roman" w:eastAsia="仿宋_GB2312" w:hAnsi="Times New Roman" w:cs="Times New Roman"/>
          <w:szCs w:val="32"/>
        </w:rPr>
        <w:t>期间，太仓坚持深耕普惠金融，服务实体经济，搭建线上线下相结合的综合金融服务体系，着力满足普惠人群金融服务需求，全力破解中小企业融资难题。</w:t>
      </w:r>
      <w:r>
        <w:rPr>
          <w:rFonts w:ascii="Times New Roman" w:eastAsia="仿宋_GB2312" w:hAnsi="Times New Roman" w:cs="Times New Roman"/>
        </w:rPr>
        <w:t>全面落实金融服务实体经济融资畅通工程，</w:t>
      </w:r>
      <w:r>
        <w:rPr>
          <w:rFonts w:ascii="Times New Roman" w:eastAsia="仿宋_GB2312" w:hAnsi="Times New Roman" w:cs="Times New Roman"/>
        </w:rPr>
        <w:t>“</w:t>
      </w:r>
      <w:r>
        <w:rPr>
          <w:rFonts w:ascii="Times New Roman" w:eastAsia="仿宋_GB2312" w:hAnsi="Times New Roman" w:cs="Times New Roman"/>
        </w:rPr>
        <w:t>十三五</w:t>
      </w:r>
      <w:r>
        <w:rPr>
          <w:rFonts w:ascii="Times New Roman" w:eastAsia="仿宋_GB2312" w:hAnsi="Times New Roman" w:cs="Times New Roman"/>
        </w:rPr>
        <w:t>”</w:t>
      </w:r>
      <w:r>
        <w:rPr>
          <w:rFonts w:ascii="Times New Roman" w:eastAsia="仿宋_GB2312" w:hAnsi="Times New Roman" w:cs="Times New Roman"/>
        </w:rPr>
        <w:t>期末，全市</w:t>
      </w:r>
      <w:r>
        <w:rPr>
          <w:rFonts w:ascii="Times New Roman" w:eastAsia="仿宋_GB2312" w:hAnsi="Times New Roman" w:cs="Times New Roman"/>
        </w:rPr>
        <w:t>10249</w:t>
      </w:r>
      <w:r>
        <w:rPr>
          <w:rFonts w:ascii="Times New Roman" w:eastAsia="仿宋_GB2312" w:hAnsi="Times New Roman" w:cs="Times New Roman"/>
        </w:rPr>
        <w:t>家企业接入苏州综合金融服务平台，</w:t>
      </w:r>
      <w:r>
        <w:rPr>
          <w:rFonts w:ascii="Times New Roman" w:eastAsia="仿宋_GB2312" w:hAnsi="Times New Roman" w:cs="Times New Roman"/>
        </w:rPr>
        <w:t>2664</w:t>
      </w:r>
      <w:r>
        <w:rPr>
          <w:rFonts w:ascii="Times New Roman" w:eastAsia="仿宋_GB2312" w:hAnsi="Times New Roman" w:cs="Times New Roman"/>
        </w:rPr>
        <w:t>家企业在服务平台获得授信</w:t>
      </w:r>
      <w:r>
        <w:rPr>
          <w:rFonts w:ascii="Times New Roman" w:eastAsia="仿宋_GB2312" w:hAnsi="Times New Roman" w:cs="Times New Roman"/>
        </w:rPr>
        <w:t>7483</w:t>
      </w:r>
      <w:r>
        <w:rPr>
          <w:rFonts w:ascii="Times New Roman" w:eastAsia="仿宋_GB2312" w:hAnsi="Times New Roman" w:cs="Times New Roman"/>
        </w:rPr>
        <w:t>笔，授信金额</w:t>
      </w:r>
      <w:r>
        <w:rPr>
          <w:rFonts w:ascii="Times New Roman" w:eastAsia="仿宋_GB2312" w:hAnsi="Times New Roman" w:cs="Times New Roman"/>
        </w:rPr>
        <w:t>466</w:t>
      </w:r>
      <w:r>
        <w:rPr>
          <w:rFonts w:ascii="Times New Roman" w:eastAsia="仿宋_GB2312" w:hAnsi="Times New Roman" w:cs="Times New Roman"/>
        </w:rPr>
        <w:t>亿元。推广普惠金融产品</w:t>
      </w:r>
      <w:r>
        <w:rPr>
          <w:rFonts w:ascii="Times New Roman" w:eastAsia="仿宋_GB2312" w:hAnsi="Times New Roman" w:cs="Times New Roman"/>
        </w:rPr>
        <w:t>“</w:t>
      </w:r>
      <w:r>
        <w:rPr>
          <w:rFonts w:ascii="Times New Roman" w:eastAsia="仿宋_GB2312" w:hAnsi="Times New Roman" w:cs="Times New Roman"/>
        </w:rPr>
        <w:t>信保贷</w:t>
      </w:r>
      <w:r>
        <w:rPr>
          <w:rFonts w:ascii="Times New Roman" w:eastAsia="仿宋_GB2312" w:hAnsi="Times New Roman" w:cs="Times New Roman"/>
        </w:rPr>
        <w:t>”</w:t>
      </w:r>
      <w:r>
        <w:rPr>
          <w:rFonts w:ascii="Times New Roman" w:eastAsia="仿宋_GB2312" w:hAnsi="Times New Roman" w:cs="Times New Roman"/>
        </w:rPr>
        <w:t>，实现授信</w:t>
      </w:r>
      <w:r>
        <w:rPr>
          <w:rFonts w:ascii="Times New Roman" w:eastAsia="仿宋_GB2312" w:hAnsi="Times New Roman" w:cs="Times New Roman"/>
        </w:rPr>
        <w:t>36.13</w:t>
      </w:r>
      <w:r>
        <w:rPr>
          <w:rFonts w:ascii="Times New Roman" w:eastAsia="仿宋_GB2312" w:hAnsi="Times New Roman" w:cs="Times New Roman"/>
        </w:rPr>
        <w:t>亿元。</w:t>
      </w:r>
      <w:r>
        <w:rPr>
          <w:rFonts w:ascii="Times New Roman" w:eastAsia="仿宋_GB2312" w:hAnsi="Times New Roman" w:cs="Times New Roman"/>
          <w:szCs w:val="32"/>
        </w:rPr>
        <w:t>设立</w:t>
      </w:r>
      <w:r>
        <w:rPr>
          <w:rFonts w:ascii="Times New Roman" w:eastAsia="仿宋_GB2312" w:hAnsi="Times New Roman" w:cs="Times New Roman"/>
          <w:szCs w:val="32"/>
        </w:rPr>
        <w:t>2000</w:t>
      </w:r>
      <w:r>
        <w:rPr>
          <w:rFonts w:ascii="Times New Roman" w:eastAsia="仿宋_GB2312" w:hAnsi="Times New Roman" w:cs="Times New Roman"/>
          <w:szCs w:val="32"/>
        </w:rPr>
        <w:t>万元太仓市级</w:t>
      </w:r>
      <w:r>
        <w:rPr>
          <w:rFonts w:ascii="Times New Roman" w:eastAsia="仿宋_GB2312" w:hAnsi="Times New Roman" w:cs="Times New Roman"/>
          <w:szCs w:val="32"/>
        </w:rPr>
        <w:t>“</w:t>
      </w:r>
      <w:r>
        <w:rPr>
          <w:rFonts w:ascii="Times New Roman" w:eastAsia="仿宋_GB2312" w:hAnsi="Times New Roman" w:cs="Times New Roman"/>
          <w:szCs w:val="32"/>
        </w:rPr>
        <w:t>苏微贷</w:t>
      </w:r>
      <w:r>
        <w:rPr>
          <w:rFonts w:ascii="Times New Roman" w:eastAsia="仿宋_GB2312" w:hAnsi="Times New Roman" w:cs="Times New Roman"/>
          <w:szCs w:val="32"/>
        </w:rPr>
        <w:t>”</w:t>
      </w:r>
      <w:r>
        <w:rPr>
          <w:rFonts w:ascii="Times New Roman" w:eastAsia="仿宋_GB2312" w:hAnsi="Times New Roman" w:cs="Times New Roman"/>
          <w:szCs w:val="32"/>
        </w:rPr>
        <w:t>风险资金池，专项授信规模已达到</w:t>
      </w:r>
      <w:r>
        <w:rPr>
          <w:rFonts w:ascii="Times New Roman" w:eastAsia="仿宋_GB2312" w:hAnsi="Times New Roman" w:cs="Times New Roman"/>
          <w:szCs w:val="32"/>
        </w:rPr>
        <w:t>2</w:t>
      </w:r>
      <w:r>
        <w:rPr>
          <w:rFonts w:ascii="Times New Roman" w:eastAsia="仿宋_GB2312" w:hAnsi="Times New Roman" w:cs="Times New Roman"/>
          <w:szCs w:val="32"/>
        </w:rPr>
        <w:t>亿元。</w:t>
      </w:r>
      <w:r>
        <w:rPr>
          <w:rFonts w:ascii="Times New Roman" w:eastAsia="仿宋_GB2312" w:hAnsi="Times New Roman" w:cs="Times New Roman"/>
        </w:rPr>
        <w:t>建立</w:t>
      </w:r>
      <w:r>
        <w:rPr>
          <w:rFonts w:ascii="Times New Roman" w:eastAsia="仿宋_GB2312" w:hAnsi="Times New Roman" w:cs="Times New Roman"/>
        </w:rPr>
        <w:t>“</w:t>
      </w:r>
      <w:r>
        <w:rPr>
          <w:rFonts w:ascii="Times New Roman" w:eastAsia="仿宋_GB2312" w:hAnsi="Times New Roman" w:cs="Times New Roman"/>
        </w:rPr>
        <w:t>太仓金融</w:t>
      </w:r>
      <w:r>
        <w:rPr>
          <w:rFonts w:ascii="Times New Roman" w:eastAsia="仿宋_GB2312" w:hAnsi="Times New Roman" w:cs="Times New Roman"/>
        </w:rPr>
        <w:t>”</w:t>
      </w:r>
      <w:r>
        <w:rPr>
          <w:rFonts w:ascii="Times New Roman" w:eastAsia="仿宋_GB2312" w:hAnsi="Times New Roman" w:cs="Times New Roman"/>
        </w:rPr>
        <w:t>微信公众号，整合利用全市各类金融信息，提高企业金融认知，扩大综合金融服务受惠面。创新建立</w:t>
      </w:r>
      <w:r>
        <w:rPr>
          <w:rFonts w:ascii="Times New Roman" w:eastAsia="仿宋_GB2312" w:hAnsi="Times New Roman" w:cs="Times New Roman"/>
        </w:rPr>
        <w:t>“BEGI·N”</w:t>
      </w:r>
      <w:r>
        <w:rPr>
          <w:rFonts w:ascii="Times New Roman" w:eastAsia="仿宋_GB2312" w:hAnsi="Times New Roman" w:cs="Times New Roman"/>
        </w:rPr>
        <w:t>金融沙龙服务品牌，打造</w:t>
      </w:r>
      <w:r>
        <w:rPr>
          <w:rFonts w:ascii="Times New Roman" w:eastAsia="仿宋_GB2312" w:hAnsi="Times New Roman" w:cs="Times New Roman"/>
        </w:rPr>
        <w:t>“</w:t>
      </w:r>
      <w:r>
        <w:rPr>
          <w:rFonts w:ascii="Times New Roman" w:eastAsia="仿宋_GB2312" w:hAnsi="Times New Roman" w:cs="Times New Roman"/>
        </w:rPr>
        <w:t>政、银、企、投</w:t>
      </w:r>
      <w:r>
        <w:rPr>
          <w:rFonts w:ascii="Times New Roman" w:eastAsia="仿宋_GB2312" w:hAnsi="Times New Roman" w:cs="Times New Roman"/>
        </w:rPr>
        <w:t>”</w:t>
      </w:r>
      <w:r>
        <w:rPr>
          <w:rFonts w:ascii="Times New Roman" w:eastAsia="仿宋_GB2312" w:hAnsi="Times New Roman" w:cs="Times New Roman"/>
        </w:rPr>
        <w:t>面对面沟通交流平台，累计服务</w:t>
      </w:r>
      <w:r>
        <w:rPr>
          <w:rFonts w:ascii="Times New Roman" w:eastAsia="仿宋_GB2312" w:hAnsi="Times New Roman" w:cs="Times New Roman"/>
        </w:rPr>
        <w:t>350</w:t>
      </w:r>
      <w:r>
        <w:rPr>
          <w:rFonts w:ascii="Times New Roman" w:eastAsia="仿宋_GB2312" w:hAnsi="Times New Roman" w:cs="Times New Roman"/>
        </w:rPr>
        <w:t>余家企业，达成新增、续贷</w:t>
      </w:r>
      <w:r>
        <w:rPr>
          <w:rFonts w:ascii="Times New Roman" w:eastAsia="仿宋_GB2312" w:hAnsi="Times New Roman" w:cs="Times New Roman"/>
        </w:rPr>
        <w:lastRenderedPageBreak/>
        <w:t>资金超</w:t>
      </w:r>
      <w:r>
        <w:rPr>
          <w:rFonts w:ascii="Times New Roman" w:eastAsia="仿宋_GB2312" w:hAnsi="Times New Roman" w:cs="Times New Roman"/>
        </w:rPr>
        <w:t>90</w:t>
      </w:r>
      <w:r>
        <w:rPr>
          <w:rFonts w:ascii="Times New Roman" w:eastAsia="仿宋_GB2312" w:hAnsi="Times New Roman" w:cs="Times New Roman"/>
        </w:rPr>
        <w:t>亿元。制定金融服务顾问</w:t>
      </w:r>
      <w:r>
        <w:rPr>
          <w:rFonts w:ascii="Times New Roman" w:eastAsia="仿宋_GB2312" w:hAnsi="Times New Roman" w:cs="Times New Roman"/>
          <w:szCs w:val="32"/>
        </w:rPr>
        <w:t>走访行动</w:t>
      </w:r>
      <w:r>
        <w:rPr>
          <w:rFonts w:ascii="Times New Roman" w:eastAsia="仿宋_GB2312" w:hAnsi="Times New Roman" w:cs="Times New Roman"/>
        </w:rPr>
        <w:t>“</w:t>
      </w:r>
      <w:r>
        <w:rPr>
          <w:rFonts w:ascii="Times New Roman" w:eastAsia="仿宋_GB2312" w:hAnsi="Times New Roman" w:cs="Times New Roman"/>
        </w:rPr>
        <w:t>七项</w:t>
      </w:r>
      <w:r>
        <w:rPr>
          <w:rFonts w:ascii="Times New Roman" w:eastAsia="仿宋_GB2312" w:hAnsi="Times New Roman" w:cs="Times New Roman"/>
        </w:rPr>
        <w:t>”</w:t>
      </w:r>
      <w:r>
        <w:rPr>
          <w:rFonts w:ascii="Times New Roman" w:eastAsia="仿宋_GB2312" w:hAnsi="Times New Roman" w:cs="Times New Roman"/>
        </w:rPr>
        <w:t>机制，组织</w:t>
      </w:r>
      <w:r>
        <w:rPr>
          <w:rFonts w:ascii="Times New Roman" w:eastAsia="仿宋_GB2312" w:hAnsi="Times New Roman" w:cs="Times New Roman"/>
        </w:rPr>
        <w:t>300</w:t>
      </w:r>
      <w:r>
        <w:rPr>
          <w:rFonts w:ascii="Times New Roman" w:eastAsia="仿宋_GB2312" w:hAnsi="Times New Roman" w:cs="Times New Roman"/>
        </w:rPr>
        <w:t>余位金融服务顾问走访企业近</w:t>
      </w:r>
      <w:r>
        <w:rPr>
          <w:rFonts w:ascii="Times New Roman" w:eastAsia="仿宋_GB2312" w:hAnsi="Times New Roman" w:cs="Times New Roman"/>
        </w:rPr>
        <w:t>5000</w:t>
      </w:r>
      <w:r>
        <w:rPr>
          <w:rFonts w:ascii="Times New Roman" w:eastAsia="仿宋_GB2312" w:hAnsi="Times New Roman" w:cs="Times New Roman"/>
        </w:rPr>
        <w:t>家，达成新增授信超</w:t>
      </w:r>
      <w:r>
        <w:rPr>
          <w:rFonts w:ascii="Times New Roman" w:eastAsia="仿宋_GB2312" w:hAnsi="Times New Roman" w:cs="Times New Roman"/>
        </w:rPr>
        <w:t>26</w:t>
      </w:r>
      <w:r>
        <w:rPr>
          <w:rFonts w:ascii="Times New Roman" w:eastAsia="仿宋_GB2312" w:hAnsi="Times New Roman" w:cs="Times New Roman"/>
        </w:rPr>
        <w:t>亿元。</w:t>
      </w:r>
      <w:r>
        <w:rPr>
          <w:rFonts w:ascii="Times New Roman" w:eastAsia="仿宋_GB2312" w:hAnsi="Times New Roman" w:cs="Times New Roman"/>
          <w:szCs w:val="32"/>
        </w:rPr>
        <w:t>“</w:t>
      </w:r>
      <w:r>
        <w:rPr>
          <w:rFonts w:ascii="Times New Roman" w:eastAsia="仿宋_GB2312" w:hAnsi="Times New Roman" w:cs="Times New Roman"/>
          <w:szCs w:val="32"/>
        </w:rPr>
        <w:t>十三五</w:t>
      </w:r>
      <w:r>
        <w:rPr>
          <w:rFonts w:ascii="Times New Roman" w:eastAsia="仿宋_GB2312" w:hAnsi="Times New Roman" w:cs="Times New Roman"/>
          <w:szCs w:val="32"/>
        </w:rPr>
        <w:t>”</w:t>
      </w:r>
      <w:r>
        <w:rPr>
          <w:rFonts w:ascii="Times New Roman" w:eastAsia="仿宋_GB2312" w:hAnsi="Times New Roman" w:cs="Times New Roman"/>
          <w:szCs w:val="32"/>
        </w:rPr>
        <w:t>期末，</w:t>
      </w:r>
      <w:r>
        <w:rPr>
          <w:rFonts w:ascii="Times New Roman" w:eastAsia="仿宋_GB2312" w:hAnsi="Times New Roman" w:cs="Times New Roman"/>
        </w:rPr>
        <w:t>全市普惠型金融领域贷款余额达</w:t>
      </w:r>
      <w:r>
        <w:rPr>
          <w:rFonts w:ascii="Times New Roman" w:eastAsia="仿宋_GB2312" w:hAnsi="Times New Roman" w:cs="Times New Roman"/>
        </w:rPr>
        <w:t>242.87</w:t>
      </w:r>
      <w:r>
        <w:rPr>
          <w:rFonts w:ascii="Times New Roman" w:eastAsia="仿宋_GB2312" w:hAnsi="Times New Roman" w:cs="Times New Roman"/>
        </w:rPr>
        <w:t>亿元，占人民币贷款总额</w:t>
      </w:r>
      <w:r>
        <w:rPr>
          <w:rFonts w:ascii="Times New Roman" w:eastAsia="仿宋_GB2312" w:hAnsi="Times New Roman" w:cs="Times New Roman"/>
        </w:rPr>
        <w:t>12.95%</w:t>
      </w:r>
      <w:r>
        <w:rPr>
          <w:rFonts w:ascii="Times New Roman" w:eastAsia="仿宋_GB2312" w:hAnsi="Times New Roman" w:cs="Times New Roman"/>
        </w:rPr>
        <w:t>，占比位居苏州大市各区县前列。太仓市连续多年被苏州市政府授予</w:t>
      </w:r>
      <w:r>
        <w:rPr>
          <w:rFonts w:ascii="Times New Roman" w:eastAsia="仿宋_GB2312" w:hAnsi="Times New Roman" w:cs="Times New Roman"/>
        </w:rPr>
        <w:t>“</w:t>
      </w:r>
      <w:r>
        <w:rPr>
          <w:rFonts w:ascii="Times New Roman" w:eastAsia="仿宋_GB2312" w:hAnsi="Times New Roman" w:cs="Times New Roman"/>
        </w:rPr>
        <w:t>金融服务实体经济地方合作先进地区第一等次</w:t>
      </w:r>
      <w:r>
        <w:rPr>
          <w:rFonts w:ascii="Times New Roman" w:eastAsia="仿宋_GB2312" w:hAnsi="Times New Roman" w:cs="Times New Roman"/>
        </w:rPr>
        <w:t>”</w:t>
      </w:r>
      <w:r>
        <w:rPr>
          <w:rFonts w:ascii="Times New Roman" w:eastAsia="仿宋_GB2312" w:hAnsi="Times New Roman" w:cs="Times New Roman"/>
        </w:rPr>
        <w:t>。</w:t>
      </w:r>
    </w:p>
    <w:p w:rsidR="0023790C" w:rsidRDefault="00972AA8">
      <w:pPr>
        <w:spacing w:line="580" w:lineRule="exact"/>
        <w:ind w:firstLineChars="200" w:firstLine="643"/>
        <w:rPr>
          <w:rFonts w:ascii="Times New Roman" w:eastAsia="仿宋_GB2312" w:hAnsi="Times New Roman" w:cs="Times New Roman"/>
          <w:b/>
        </w:rPr>
      </w:pPr>
      <w:r>
        <w:rPr>
          <w:rFonts w:ascii="Times New Roman" w:eastAsia="仿宋_GB2312" w:hAnsi="Times New Roman" w:cs="Times New Roman"/>
          <w:b/>
        </w:rPr>
        <w:t>（</w:t>
      </w:r>
      <w:r>
        <w:rPr>
          <w:rFonts w:ascii="Times New Roman" w:eastAsia="仿宋_GB2312" w:hAnsi="Times New Roman" w:cs="Times New Roman"/>
          <w:b/>
        </w:rPr>
        <w:t>4</w:t>
      </w:r>
      <w:r>
        <w:rPr>
          <w:rFonts w:ascii="Times New Roman" w:eastAsia="仿宋_GB2312" w:hAnsi="Times New Roman" w:cs="Times New Roman"/>
          <w:b/>
        </w:rPr>
        <w:t>）资本市场加速发展</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十三五</w:t>
      </w:r>
      <w:r>
        <w:rPr>
          <w:rFonts w:ascii="Times New Roman" w:eastAsia="仿宋_GB2312" w:hAnsi="Times New Roman" w:cs="Times New Roman"/>
        </w:rPr>
        <w:t>”</w:t>
      </w:r>
      <w:r>
        <w:rPr>
          <w:rFonts w:ascii="Times New Roman" w:eastAsia="仿宋_GB2312" w:hAnsi="Times New Roman" w:cs="Times New Roman"/>
        </w:rPr>
        <w:t>期间，太仓</w:t>
      </w:r>
      <w:r>
        <w:rPr>
          <w:rFonts w:ascii="Times New Roman" w:eastAsia="仿宋_GB2312" w:hAnsi="Times New Roman" w:cs="Times New Roman"/>
          <w:szCs w:val="32"/>
        </w:rPr>
        <w:t>大力支持企业挂牌上市，落地运作产业引导基金，全市直接融资水平有效提升。</w:t>
      </w:r>
      <w:r>
        <w:rPr>
          <w:rFonts w:ascii="Times New Roman" w:eastAsia="仿宋_GB2312" w:hAnsi="Times New Roman" w:cs="Times New Roman"/>
        </w:rPr>
        <w:t>2020</w:t>
      </w:r>
      <w:r>
        <w:rPr>
          <w:rFonts w:ascii="Times New Roman" w:eastAsia="仿宋_GB2312" w:hAnsi="Times New Roman" w:cs="Times New Roman"/>
        </w:rPr>
        <w:t>年，太仓市产业引导基金成立，母基金总规模</w:t>
      </w:r>
      <w:r>
        <w:rPr>
          <w:rFonts w:ascii="Times New Roman" w:eastAsia="仿宋_GB2312" w:hAnsi="Times New Roman" w:cs="Times New Roman"/>
        </w:rPr>
        <w:t>50</w:t>
      </w:r>
      <w:r>
        <w:rPr>
          <w:rFonts w:ascii="Times New Roman" w:eastAsia="仿宋_GB2312" w:hAnsi="Times New Roman" w:cs="Times New Roman"/>
        </w:rPr>
        <w:t>亿元，投资合作子基金</w:t>
      </w:r>
      <w:r>
        <w:rPr>
          <w:rFonts w:ascii="Times New Roman" w:eastAsia="仿宋_GB2312" w:hAnsi="Times New Roman" w:cs="Times New Roman"/>
        </w:rPr>
        <w:t>5</w:t>
      </w:r>
      <w:r>
        <w:rPr>
          <w:rFonts w:ascii="Times New Roman" w:eastAsia="仿宋_GB2312" w:hAnsi="Times New Roman" w:cs="Times New Roman"/>
        </w:rPr>
        <w:t>支，子基金总规模近</w:t>
      </w:r>
      <w:r>
        <w:rPr>
          <w:rFonts w:ascii="Times New Roman" w:eastAsia="仿宋_GB2312" w:hAnsi="Times New Roman" w:cs="Times New Roman"/>
        </w:rPr>
        <w:t>100</w:t>
      </w:r>
      <w:r>
        <w:rPr>
          <w:rFonts w:ascii="Times New Roman" w:eastAsia="仿宋_GB2312" w:hAnsi="Times New Roman" w:cs="Times New Roman"/>
        </w:rPr>
        <w:t>亿元，子基金已投项目</w:t>
      </w:r>
      <w:r>
        <w:rPr>
          <w:rFonts w:ascii="Times New Roman" w:eastAsia="仿宋_GB2312" w:hAnsi="Times New Roman" w:cs="Times New Roman"/>
        </w:rPr>
        <w:t>16</w:t>
      </w:r>
      <w:r>
        <w:rPr>
          <w:rFonts w:ascii="Times New Roman" w:eastAsia="仿宋_GB2312" w:hAnsi="Times New Roman" w:cs="Times New Roman"/>
        </w:rPr>
        <w:t>个，金额</w:t>
      </w:r>
      <w:r>
        <w:rPr>
          <w:rFonts w:ascii="Times New Roman" w:eastAsia="仿宋_GB2312" w:hAnsi="Times New Roman" w:cs="Times New Roman"/>
        </w:rPr>
        <w:t>13</w:t>
      </w:r>
      <w:r>
        <w:rPr>
          <w:rFonts w:ascii="Times New Roman" w:eastAsia="仿宋_GB2312" w:hAnsi="Times New Roman" w:cs="Times New Roman"/>
        </w:rPr>
        <w:t>亿元。</w:t>
      </w:r>
      <w:r>
        <w:rPr>
          <w:rFonts w:ascii="Times New Roman" w:eastAsia="仿宋_GB2312" w:hAnsi="Times New Roman" w:cs="Times New Roman"/>
        </w:rPr>
        <w:t>“</w:t>
      </w:r>
      <w:r>
        <w:rPr>
          <w:rFonts w:ascii="Times New Roman" w:eastAsia="仿宋_GB2312" w:hAnsi="Times New Roman" w:cs="Times New Roman"/>
        </w:rPr>
        <w:t>十三五</w:t>
      </w:r>
      <w:r>
        <w:rPr>
          <w:rFonts w:ascii="Times New Roman" w:eastAsia="仿宋_GB2312" w:hAnsi="Times New Roman" w:cs="Times New Roman"/>
        </w:rPr>
        <w:t>”</w:t>
      </w:r>
      <w:r>
        <w:rPr>
          <w:rFonts w:ascii="Times New Roman" w:eastAsia="仿宋_GB2312" w:hAnsi="Times New Roman" w:cs="Times New Roman"/>
        </w:rPr>
        <w:t>期末，全市已有</w:t>
      </w:r>
      <w:r>
        <w:rPr>
          <w:rFonts w:ascii="Times New Roman" w:eastAsia="仿宋_GB2312" w:hAnsi="Times New Roman" w:cs="Times New Roman"/>
        </w:rPr>
        <w:t>6</w:t>
      </w:r>
      <w:r>
        <w:rPr>
          <w:rFonts w:ascii="Times New Roman" w:eastAsia="仿宋_GB2312" w:hAnsi="Times New Roman" w:cs="Times New Roman"/>
        </w:rPr>
        <w:t>家企业在境内外上市，首发募资</w:t>
      </w:r>
      <w:r>
        <w:rPr>
          <w:rFonts w:ascii="Times New Roman" w:eastAsia="仿宋_GB2312" w:hAnsi="Times New Roman" w:cs="Times New Roman"/>
        </w:rPr>
        <w:t>39.28</w:t>
      </w:r>
      <w:r>
        <w:rPr>
          <w:rFonts w:ascii="Times New Roman" w:eastAsia="仿宋_GB2312" w:hAnsi="Times New Roman" w:cs="Times New Roman"/>
        </w:rPr>
        <w:t>亿元，</w:t>
      </w:r>
      <w:r>
        <w:rPr>
          <w:rFonts w:ascii="Times New Roman" w:eastAsia="仿宋_GB2312" w:hAnsi="Times New Roman" w:cs="Times New Roman"/>
        </w:rPr>
        <w:t>22</w:t>
      </w:r>
      <w:r>
        <w:rPr>
          <w:rFonts w:ascii="Times New Roman" w:eastAsia="仿宋_GB2312" w:hAnsi="Times New Roman" w:cs="Times New Roman"/>
        </w:rPr>
        <w:t>家企业在新三板挂牌，</w:t>
      </w:r>
      <w:r>
        <w:rPr>
          <w:rFonts w:ascii="Times New Roman" w:eastAsia="仿宋_GB2312" w:hAnsi="Times New Roman" w:cs="Times New Roman"/>
        </w:rPr>
        <w:t>68</w:t>
      </w:r>
      <w:r>
        <w:rPr>
          <w:rFonts w:ascii="Times New Roman" w:eastAsia="仿宋_GB2312" w:hAnsi="Times New Roman" w:cs="Times New Roman"/>
        </w:rPr>
        <w:t>家企业在区域市场挂牌，实现了主板、中小板、创业板、境外上市、新三板挂牌、区域股权市场挂牌全覆盖。全市上市后备企业已达</w:t>
      </w:r>
      <w:r>
        <w:rPr>
          <w:rFonts w:ascii="Times New Roman" w:eastAsia="仿宋_GB2312" w:hAnsi="Times New Roman" w:cs="Times New Roman"/>
        </w:rPr>
        <w:t>70</w:t>
      </w:r>
      <w:r>
        <w:rPr>
          <w:rFonts w:ascii="Times New Roman" w:eastAsia="仿宋_GB2312" w:hAnsi="Times New Roman" w:cs="Times New Roman"/>
        </w:rPr>
        <w:t>家（含重点后备</w:t>
      </w:r>
      <w:r>
        <w:rPr>
          <w:rFonts w:ascii="Times New Roman" w:eastAsia="仿宋_GB2312" w:hAnsi="Times New Roman" w:cs="Times New Roman"/>
        </w:rPr>
        <w:t>30</w:t>
      </w:r>
      <w:r>
        <w:rPr>
          <w:rFonts w:ascii="Times New Roman" w:eastAsia="仿宋_GB2312" w:hAnsi="Times New Roman" w:cs="Times New Roman"/>
        </w:rPr>
        <w:t>家）。发行企业债券</w:t>
      </w:r>
      <w:r>
        <w:rPr>
          <w:rFonts w:ascii="Times New Roman" w:eastAsia="仿宋_GB2312" w:hAnsi="Times New Roman" w:cs="Times New Roman"/>
        </w:rPr>
        <w:t>9</w:t>
      </w:r>
      <w:r>
        <w:rPr>
          <w:rFonts w:ascii="Times New Roman" w:eastAsia="仿宋_GB2312" w:hAnsi="Times New Roman" w:cs="Times New Roman"/>
        </w:rPr>
        <w:t>支，募集资金</w:t>
      </w:r>
      <w:r>
        <w:rPr>
          <w:rFonts w:ascii="Times New Roman" w:eastAsia="仿宋_GB2312" w:hAnsi="Times New Roman" w:cs="Times New Roman"/>
        </w:rPr>
        <w:t>92</w:t>
      </w:r>
      <w:r>
        <w:rPr>
          <w:rFonts w:ascii="Times New Roman" w:eastAsia="仿宋_GB2312" w:hAnsi="Times New Roman" w:cs="Times New Roman"/>
        </w:rPr>
        <w:t>亿元，娄城高新获批苏州地区首支双创孵化专项债</w:t>
      </w:r>
      <w:r>
        <w:rPr>
          <w:rFonts w:ascii="Times New Roman" w:eastAsia="仿宋_GB2312" w:hAnsi="Times New Roman" w:cs="Times New Roman"/>
        </w:rPr>
        <w:t>20</w:t>
      </w:r>
      <w:r>
        <w:rPr>
          <w:rFonts w:ascii="Times New Roman" w:eastAsia="仿宋_GB2312" w:hAnsi="Times New Roman" w:cs="Times New Roman"/>
        </w:rPr>
        <w:t>亿元。</w:t>
      </w:r>
      <w:r>
        <w:rPr>
          <w:rFonts w:ascii="Times New Roman" w:eastAsia="仿宋_GB2312" w:hAnsi="Times New Roman" w:cs="Times New Roman"/>
        </w:rPr>
        <w:t>8</w:t>
      </w:r>
      <w:r>
        <w:rPr>
          <w:rFonts w:ascii="Times New Roman" w:eastAsia="仿宋_GB2312" w:hAnsi="Times New Roman" w:cs="Times New Roman"/>
        </w:rPr>
        <w:t>家创投企业完成备案，注册资本</w:t>
      </w:r>
      <w:r>
        <w:rPr>
          <w:rFonts w:ascii="Times New Roman" w:eastAsia="仿宋_GB2312" w:hAnsi="Times New Roman" w:cs="Times New Roman"/>
        </w:rPr>
        <w:t>15.24</w:t>
      </w:r>
      <w:r>
        <w:rPr>
          <w:rFonts w:ascii="Times New Roman" w:eastAsia="仿宋_GB2312" w:hAnsi="Times New Roman" w:cs="Times New Roman"/>
        </w:rPr>
        <w:t>亿</w:t>
      </w:r>
      <w:r>
        <w:rPr>
          <w:rFonts w:ascii="Times New Roman" w:eastAsia="仿宋_GB2312" w:hAnsi="Times New Roman" w:cs="Times New Roman" w:hint="eastAsia"/>
        </w:rPr>
        <w:t>元</w:t>
      </w:r>
      <w:r>
        <w:rPr>
          <w:rFonts w:ascii="Times New Roman" w:eastAsia="仿宋_GB2312" w:hAnsi="Times New Roman" w:cs="Times New Roman"/>
        </w:rPr>
        <w:t>，实收资本</w:t>
      </w:r>
      <w:r>
        <w:rPr>
          <w:rFonts w:ascii="Times New Roman" w:eastAsia="仿宋_GB2312" w:hAnsi="Times New Roman" w:cs="Times New Roman"/>
        </w:rPr>
        <w:t>10.96</w:t>
      </w:r>
      <w:r>
        <w:rPr>
          <w:rFonts w:ascii="Times New Roman" w:eastAsia="仿宋_GB2312" w:hAnsi="Times New Roman" w:cs="Times New Roman"/>
        </w:rPr>
        <w:t>亿元。</w:t>
      </w:r>
    </w:p>
    <w:p w:rsidR="0023790C" w:rsidRDefault="00972AA8">
      <w:pPr>
        <w:spacing w:line="580" w:lineRule="exact"/>
        <w:ind w:firstLineChars="200" w:firstLine="643"/>
        <w:rPr>
          <w:rFonts w:ascii="Times New Roman" w:eastAsia="仿宋_GB2312" w:hAnsi="Times New Roman" w:cs="Times New Roman"/>
          <w:b/>
        </w:rPr>
      </w:pPr>
      <w:r>
        <w:rPr>
          <w:rFonts w:ascii="Times New Roman" w:eastAsia="仿宋_GB2312" w:hAnsi="Times New Roman" w:cs="Times New Roman"/>
          <w:b/>
        </w:rPr>
        <w:t>（</w:t>
      </w:r>
      <w:r>
        <w:rPr>
          <w:rFonts w:ascii="Times New Roman" w:eastAsia="仿宋_GB2312" w:hAnsi="Times New Roman" w:cs="Times New Roman"/>
          <w:b/>
        </w:rPr>
        <w:t>5</w:t>
      </w:r>
      <w:r>
        <w:rPr>
          <w:rFonts w:ascii="Times New Roman" w:eastAsia="仿宋_GB2312" w:hAnsi="Times New Roman" w:cs="Times New Roman"/>
          <w:b/>
        </w:rPr>
        <w:t>）金融风险防控有力</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十三五</w:t>
      </w:r>
      <w:r>
        <w:rPr>
          <w:rFonts w:ascii="Times New Roman" w:eastAsia="仿宋_GB2312" w:hAnsi="Times New Roman" w:cs="Times New Roman"/>
        </w:rPr>
        <w:t>”</w:t>
      </w:r>
      <w:r>
        <w:rPr>
          <w:rFonts w:ascii="Times New Roman" w:eastAsia="仿宋_GB2312" w:hAnsi="Times New Roman" w:cs="Times New Roman"/>
        </w:rPr>
        <w:t>期间，太仓市高度重视金融资本与产业发展的深度融合，扎实履行地方金融监管和风险防范属地责任，金融领域风险总体可控、稳中向好。建立金融领域重大风险防控机制，健全</w:t>
      </w:r>
      <w:r>
        <w:rPr>
          <w:rFonts w:ascii="Times New Roman" w:eastAsia="仿宋_GB2312" w:hAnsi="Times New Roman" w:cs="Times New Roman"/>
        </w:rPr>
        <w:lastRenderedPageBreak/>
        <w:t>地方金融监管、重大风险处置、部门信息共享等协作机制，有效提升应对金融突发事件应对能力。落实落细民营企业融资会诊帮扶机制，持续关注企业经营、财务状况，坚持在发展中化解风险、缓释风险，稳步运行应急转贷资金，有效缓解企业流动性资金压力。防范化解金融风险攻坚战取得阶段性胜利，重点领域风险进一步缓释，信用风险不断下降，</w:t>
      </w:r>
      <w:r>
        <w:rPr>
          <w:rFonts w:ascii="Times New Roman" w:eastAsia="仿宋_GB2312" w:hAnsi="Times New Roman" w:cs="Times New Roman"/>
        </w:rPr>
        <w:t>“</w:t>
      </w:r>
      <w:r>
        <w:rPr>
          <w:rFonts w:ascii="Times New Roman" w:eastAsia="仿宋_GB2312" w:hAnsi="Times New Roman" w:cs="Times New Roman"/>
        </w:rPr>
        <w:t>十三五</w:t>
      </w:r>
      <w:r>
        <w:rPr>
          <w:rFonts w:ascii="Times New Roman" w:eastAsia="仿宋_GB2312" w:hAnsi="Times New Roman" w:cs="Times New Roman"/>
        </w:rPr>
        <w:t>”</w:t>
      </w:r>
      <w:r>
        <w:rPr>
          <w:rFonts w:ascii="Times New Roman" w:eastAsia="仿宋_GB2312" w:hAnsi="Times New Roman" w:cs="Times New Roman"/>
        </w:rPr>
        <w:t>期末，全市不良贷款率</w:t>
      </w:r>
      <w:r>
        <w:rPr>
          <w:rFonts w:ascii="Times New Roman" w:eastAsia="仿宋_GB2312" w:hAnsi="Times New Roman" w:cs="Times New Roman"/>
        </w:rPr>
        <w:t>1.37</w:t>
      </w:r>
      <w:r>
        <w:rPr>
          <w:rFonts w:ascii="Times New Roman" w:eastAsia="仿宋_GB2312" w:hAnsi="Times New Roman" w:cs="Times New Roman"/>
        </w:rPr>
        <w:t>％。非法金融活动进一步压降，非法集资案件实现全面清零。在防范化解金融风险、营造诚实守信金融生态环境、维护良好金融秩序方面获得省政府通报激励表彰。位居</w:t>
      </w:r>
      <w:r>
        <w:rPr>
          <w:rFonts w:ascii="Times New Roman" w:eastAsia="仿宋_GB2312" w:hAnsi="Times New Roman" w:cs="Times New Roman"/>
        </w:rPr>
        <w:t>2020</w:t>
      </w:r>
      <w:r>
        <w:rPr>
          <w:rFonts w:ascii="Times New Roman" w:eastAsia="仿宋_GB2312" w:hAnsi="Times New Roman" w:cs="Times New Roman"/>
        </w:rPr>
        <w:t>年中国县域金融生态环境指数第四。</w:t>
      </w:r>
    </w:p>
    <w:p w:rsidR="0023790C" w:rsidRDefault="00972AA8">
      <w:pPr>
        <w:jc w:val="center"/>
        <w:rPr>
          <w:rFonts w:ascii="Times New Roman" w:eastAsia="黑体" w:hAnsi="Times New Roman" w:cs="Times New Roman"/>
          <w:sz w:val="28"/>
          <w:szCs w:val="28"/>
        </w:rPr>
      </w:pPr>
      <w:r>
        <w:rPr>
          <w:rFonts w:ascii="Times New Roman" w:eastAsia="黑体" w:hAnsi="Times New Roman" w:cs="Times New Roman"/>
          <w:sz w:val="28"/>
          <w:szCs w:val="28"/>
        </w:rPr>
        <w:t>表</w:t>
      </w:r>
      <w:r>
        <w:rPr>
          <w:rFonts w:ascii="Times New Roman" w:eastAsia="黑体" w:hAnsi="Times New Roman" w:cs="Times New Roman"/>
          <w:sz w:val="28"/>
          <w:szCs w:val="28"/>
        </w:rPr>
        <w:t>1</w:t>
      </w:r>
      <w:r>
        <w:rPr>
          <w:rFonts w:ascii="Times New Roman" w:eastAsia="黑体" w:hAnsi="Times New Roman" w:cs="Times New Roman"/>
          <w:sz w:val="28"/>
          <w:szCs w:val="28"/>
        </w:rPr>
        <w:t>：金融业发展成果对比表</w:t>
      </w:r>
    </w:p>
    <w:tbl>
      <w:tblPr>
        <w:tblW w:w="8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9"/>
        <w:gridCol w:w="3888"/>
        <w:gridCol w:w="1722"/>
        <w:gridCol w:w="1676"/>
      </w:tblGrid>
      <w:tr w:rsidR="0023790C">
        <w:trPr>
          <w:trHeight w:val="548"/>
          <w:jc w:val="center"/>
        </w:trPr>
        <w:tc>
          <w:tcPr>
            <w:tcW w:w="5387" w:type="dxa"/>
            <w:gridSpan w:val="2"/>
            <w:vAlign w:val="center"/>
          </w:tcPr>
          <w:p w:rsidR="0023790C" w:rsidRDefault="00972AA8">
            <w:pPr>
              <w:jc w:val="center"/>
              <w:rPr>
                <w:rFonts w:ascii="Times New Roman" w:eastAsia="仿宋_GB2312" w:hAnsi="Times New Roman" w:cs="Times New Roman"/>
                <w:b/>
                <w:sz w:val="24"/>
              </w:rPr>
            </w:pPr>
            <w:r>
              <w:rPr>
                <w:rFonts w:ascii="Times New Roman" w:eastAsia="仿宋_GB2312" w:hAnsi="Times New Roman" w:cs="Times New Roman"/>
                <w:b/>
                <w:sz w:val="24"/>
              </w:rPr>
              <w:t>指标</w:t>
            </w:r>
          </w:p>
        </w:tc>
        <w:tc>
          <w:tcPr>
            <w:tcW w:w="0" w:type="auto"/>
            <w:vAlign w:val="center"/>
          </w:tcPr>
          <w:p w:rsidR="0023790C" w:rsidRDefault="00972AA8">
            <w:pPr>
              <w:jc w:val="center"/>
              <w:rPr>
                <w:rFonts w:ascii="Times New Roman" w:eastAsia="仿宋_GB2312" w:hAnsi="Times New Roman" w:cs="Times New Roman"/>
                <w:b/>
                <w:sz w:val="24"/>
              </w:rPr>
            </w:pPr>
            <w:r>
              <w:rPr>
                <w:rFonts w:ascii="Times New Roman" w:eastAsia="仿宋_GB2312" w:hAnsi="Times New Roman" w:cs="Times New Roman"/>
                <w:b/>
                <w:sz w:val="24"/>
              </w:rPr>
              <w:t>“</w:t>
            </w:r>
            <w:r>
              <w:rPr>
                <w:rFonts w:ascii="Times New Roman" w:eastAsia="仿宋_GB2312" w:hAnsi="Times New Roman" w:cs="Times New Roman"/>
                <w:b/>
                <w:sz w:val="24"/>
              </w:rPr>
              <w:t>十二五</w:t>
            </w:r>
            <w:r>
              <w:rPr>
                <w:rFonts w:ascii="Times New Roman" w:eastAsia="仿宋_GB2312" w:hAnsi="Times New Roman" w:cs="Times New Roman"/>
                <w:b/>
                <w:sz w:val="24"/>
              </w:rPr>
              <w:t>”</w:t>
            </w:r>
            <w:r>
              <w:rPr>
                <w:rFonts w:ascii="Times New Roman" w:eastAsia="仿宋_GB2312" w:hAnsi="Times New Roman" w:cs="Times New Roman"/>
                <w:b/>
                <w:sz w:val="24"/>
              </w:rPr>
              <w:t>末</w:t>
            </w:r>
          </w:p>
        </w:tc>
        <w:tc>
          <w:tcPr>
            <w:tcW w:w="0" w:type="auto"/>
            <w:vAlign w:val="center"/>
          </w:tcPr>
          <w:p w:rsidR="0023790C" w:rsidRDefault="00972AA8">
            <w:pPr>
              <w:jc w:val="center"/>
              <w:rPr>
                <w:rFonts w:ascii="Times New Roman" w:eastAsia="仿宋_GB2312" w:hAnsi="Times New Roman" w:cs="Times New Roman"/>
                <w:b/>
                <w:sz w:val="24"/>
              </w:rPr>
            </w:pPr>
            <w:r>
              <w:rPr>
                <w:rFonts w:ascii="Times New Roman" w:eastAsia="仿宋_GB2312" w:hAnsi="Times New Roman" w:cs="Times New Roman"/>
                <w:b/>
                <w:sz w:val="24"/>
              </w:rPr>
              <w:t>“</w:t>
            </w:r>
            <w:r>
              <w:rPr>
                <w:rFonts w:ascii="Times New Roman" w:eastAsia="仿宋_GB2312" w:hAnsi="Times New Roman" w:cs="Times New Roman"/>
                <w:b/>
                <w:sz w:val="24"/>
              </w:rPr>
              <w:t>十三五</w:t>
            </w:r>
            <w:r>
              <w:rPr>
                <w:rFonts w:ascii="Times New Roman" w:eastAsia="仿宋_GB2312" w:hAnsi="Times New Roman" w:cs="Times New Roman"/>
                <w:b/>
                <w:sz w:val="24"/>
              </w:rPr>
              <w:t>”</w:t>
            </w:r>
            <w:r>
              <w:rPr>
                <w:rFonts w:ascii="Times New Roman" w:eastAsia="仿宋_GB2312" w:hAnsi="Times New Roman" w:cs="Times New Roman"/>
                <w:b/>
                <w:sz w:val="24"/>
              </w:rPr>
              <w:t>末</w:t>
            </w:r>
          </w:p>
        </w:tc>
      </w:tr>
      <w:tr w:rsidR="0023790C">
        <w:trPr>
          <w:trHeight w:val="247"/>
          <w:jc w:val="center"/>
        </w:trPr>
        <w:tc>
          <w:tcPr>
            <w:tcW w:w="1499" w:type="dxa"/>
            <w:vMerge w:val="restart"/>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总体指标</w:t>
            </w:r>
          </w:p>
        </w:tc>
        <w:tc>
          <w:tcPr>
            <w:tcW w:w="3888" w:type="dxa"/>
            <w:noWrap/>
            <w:vAlign w:val="center"/>
          </w:tcPr>
          <w:p w:rsidR="0023790C" w:rsidRDefault="00972AA8">
            <w:pPr>
              <w:rPr>
                <w:rFonts w:ascii="Times New Roman" w:eastAsia="仿宋_GB2312" w:hAnsi="Times New Roman" w:cs="Times New Roman"/>
                <w:sz w:val="24"/>
              </w:rPr>
            </w:pPr>
            <w:r>
              <w:rPr>
                <w:rFonts w:ascii="Times New Roman" w:eastAsia="仿宋_GB2312" w:hAnsi="Times New Roman" w:cs="Times New Roman"/>
                <w:sz w:val="24"/>
              </w:rPr>
              <w:t>1</w:t>
            </w:r>
            <w:r>
              <w:rPr>
                <w:rFonts w:ascii="Times New Roman" w:eastAsia="仿宋_GB2312" w:hAnsi="Times New Roman" w:cs="Times New Roman"/>
                <w:sz w:val="24"/>
              </w:rPr>
              <w:t>．金融业增加值（亿元）</w:t>
            </w:r>
          </w:p>
        </w:tc>
        <w:tc>
          <w:tcPr>
            <w:tcW w:w="1722" w:type="dxa"/>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59.85</w:t>
            </w:r>
          </w:p>
        </w:tc>
        <w:tc>
          <w:tcPr>
            <w:tcW w:w="1676" w:type="dxa"/>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118.20</w:t>
            </w:r>
          </w:p>
        </w:tc>
      </w:tr>
      <w:tr w:rsidR="0023790C">
        <w:trPr>
          <w:trHeight w:val="241"/>
          <w:jc w:val="center"/>
        </w:trPr>
        <w:tc>
          <w:tcPr>
            <w:tcW w:w="1499" w:type="dxa"/>
            <w:vMerge/>
            <w:vAlign w:val="center"/>
          </w:tcPr>
          <w:p w:rsidR="0023790C" w:rsidRDefault="0023790C">
            <w:pPr>
              <w:jc w:val="center"/>
              <w:rPr>
                <w:rFonts w:ascii="Times New Roman" w:eastAsia="仿宋_GB2312" w:hAnsi="Times New Roman" w:cs="Times New Roman"/>
                <w:sz w:val="24"/>
              </w:rPr>
            </w:pPr>
          </w:p>
        </w:tc>
        <w:tc>
          <w:tcPr>
            <w:tcW w:w="3888" w:type="dxa"/>
            <w:noWrap/>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2</w:t>
            </w:r>
            <w:r>
              <w:rPr>
                <w:rFonts w:ascii="Times New Roman" w:eastAsia="仿宋_GB2312" w:hAnsi="Times New Roman" w:cs="Times New Roman"/>
                <w:sz w:val="24"/>
              </w:rPr>
              <w:t>．金融业增加值占</w:t>
            </w:r>
            <w:r>
              <w:rPr>
                <w:rFonts w:ascii="Times New Roman" w:eastAsia="仿宋_GB2312" w:hAnsi="Times New Roman" w:cs="Times New Roman"/>
                <w:sz w:val="24"/>
              </w:rPr>
              <w:t>GDP</w:t>
            </w:r>
            <w:r>
              <w:rPr>
                <w:rFonts w:ascii="Times New Roman" w:eastAsia="仿宋_GB2312" w:hAnsi="Times New Roman" w:cs="Times New Roman"/>
                <w:sz w:val="24"/>
              </w:rPr>
              <w:t>比重（</w:t>
            </w:r>
            <w:r>
              <w:rPr>
                <w:rFonts w:ascii="Times New Roman" w:eastAsia="仿宋_GB2312" w:hAnsi="Times New Roman" w:cs="Times New Roman"/>
                <w:sz w:val="24"/>
              </w:rPr>
              <w:t>%</w:t>
            </w:r>
            <w:r>
              <w:rPr>
                <w:rFonts w:ascii="Times New Roman" w:eastAsia="仿宋_GB2312" w:hAnsi="Times New Roman" w:cs="Times New Roman"/>
                <w:sz w:val="24"/>
              </w:rPr>
              <w:t>）</w:t>
            </w:r>
          </w:p>
        </w:tc>
        <w:tc>
          <w:tcPr>
            <w:tcW w:w="1722" w:type="dxa"/>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5.44%</w:t>
            </w:r>
          </w:p>
        </w:tc>
        <w:tc>
          <w:tcPr>
            <w:tcW w:w="1676" w:type="dxa"/>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8.53%</w:t>
            </w:r>
          </w:p>
        </w:tc>
      </w:tr>
      <w:tr w:rsidR="0023790C">
        <w:trPr>
          <w:trHeight w:val="94"/>
          <w:jc w:val="center"/>
        </w:trPr>
        <w:tc>
          <w:tcPr>
            <w:tcW w:w="1499" w:type="dxa"/>
            <w:vMerge/>
            <w:vAlign w:val="center"/>
          </w:tcPr>
          <w:p w:rsidR="0023790C" w:rsidRDefault="0023790C">
            <w:pPr>
              <w:jc w:val="center"/>
              <w:rPr>
                <w:rFonts w:ascii="Times New Roman" w:eastAsia="仿宋_GB2312" w:hAnsi="Times New Roman" w:cs="Times New Roman"/>
                <w:sz w:val="24"/>
              </w:rPr>
            </w:pPr>
          </w:p>
        </w:tc>
        <w:tc>
          <w:tcPr>
            <w:tcW w:w="3888" w:type="dxa"/>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3</w:t>
            </w:r>
            <w:r>
              <w:rPr>
                <w:rFonts w:ascii="Times New Roman" w:eastAsia="仿宋_GB2312" w:hAnsi="Times New Roman" w:cs="Times New Roman"/>
                <w:sz w:val="24"/>
              </w:rPr>
              <w:t>．金融机构总数（家）</w:t>
            </w:r>
          </w:p>
        </w:tc>
        <w:tc>
          <w:tcPr>
            <w:tcW w:w="1722" w:type="dxa"/>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83</w:t>
            </w:r>
          </w:p>
        </w:tc>
        <w:tc>
          <w:tcPr>
            <w:tcW w:w="1676" w:type="dxa"/>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100</w:t>
            </w:r>
          </w:p>
        </w:tc>
      </w:tr>
      <w:tr w:rsidR="0023790C">
        <w:trPr>
          <w:trHeight w:val="87"/>
          <w:jc w:val="center"/>
        </w:trPr>
        <w:tc>
          <w:tcPr>
            <w:tcW w:w="1499" w:type="dxa"/>
            <w:vMerge w:val="restart"/>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银行</w:t>
            </w:r>
          </w:p>
        </w:tc>
        <w:tc>
          <w:tcPr>
            <w:tcW w:w="3888" w:type="dxa"/>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5</w:t>
            </w:r>
            <w:r>
              <w:rPr>
                <w:rFonts w:ascii="Times New Roman" w:eastAsia="仿宋_GB2312" w:hAnsi="Times New Roman" w:cs="Times New Roman"/>
                <w:sz w:val="24"/>
              </w:rPr>
              <w:t>．银行业金融机构（家）</w:t>
            </w:r>
          </w:p>
        </w:tc>
        <w:tc>
          <w:tcPr>
            <w:tcW w:w="1722" w:type="dxa"/>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26</w:t>
            </w:r>
          </w:p>
        </w:tc>
        <w:tc>
          <w:tcPr>
            <w:tcW w:w="1676" w:type="dxa"/>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29</w:t>
            </w:r>
          </w:p>
        </w:tc>
      </w:tr>
      <w:tr w:rsidR="0023790C">
        <w:trPr>
          <w:trHeight w:val="95"/>
          <w:jc w:val="center"/>
        </w:trPr>
        <w:tc>
          <w:tcPr>
            <w:tcW w:w="1499" w:type="dxa"/>
            <w:vMerge/>
            <w:vAlign w:val="center"/>
          </w:tcPr>
          <w:p w:rsidR="0023790C" w:rsidRDefault="0023790C">
            <w:pPr>
              <w:jc w:val="center"/>
              <w:rPr>
                <w:rFonts w:ascii="Times New Roman" w:eastAsia="仿宋_GB2312" w:hAnsi="Times New Roman" w:cs="Times New Roman"/>
                <w:sz w:val="24"/>
              </w:rPr>
            </w:pPr>
          </w:p>
        </w:tc>
        <w:tc>
          <w:tcPr>
            <w:tcW w:w="3888" w:type="dxa"/>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6</w:t>
            </w:r>
            <w:r>
              <w:rPr>
                <w:rFonts w:ascii="Times New Roman" w:eastAsia="仿宋_GB2312" w:hAnsi="Times New Roman" w:cs="Times New Roman"/>
                <w:sz w:val="24"/>
              </w:rPr>
              <w:t>．本外币存款规模（亿元）</w:t>
            </w:r>
          </w:p>
        </w:tc>
        <w:tc>
          <w:tcPr>
            <w:tcW w:w="1722" w:type="dxa"/>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1311.48</w:t>
            </w:r>
          </w:p>
        </w:tc>
        <w:tc>
          <w:tcPr>
            <w:tcW w:w="1676" w:type="dxa"/>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1930.87</w:t>
            </w:r>
          </w:p>
        </w:tc>
      </w:tr>
      <w:tr w:rsidR="0023790C">
        <w:trPr>
          <w:trHeight w:val="89"/>
          <w:jc w:val="center"/>
        </w:trPr>
        <w:tc>
          <w:tcPr>
            <w:tcW w:w="1499" w:type="dxa"/>
            <w:vMerge/>
            <w:vAlign w:val="center"/>
          </w:tcPr>
          <w:p w:rsidR="0023790C" w:rsidRDefault="0023790C">
            <w:pPr>
              <w:jc w:val="center"/>
              <w:rPr>
                <w:rFonts w:ascii="Times New Roman" w:eastAsia="仿宋_GB2312" w:hAnsi="Times New Roman" w:cs="Times New Roman"/>
                <w:sz w:val="24"/>
              </w:rPr>
            </w:pPr>
          </w:p>
        </w:tc>
        <w:tc>
          <w:tcPr>
            <w:tcW w:w="3888" w:type="dxa"/>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7</w:t>
            </w:r>
            <w:r>
              <w:rPr>
                <w:rFonts w:ascii="Times New Roman" w:eastAsia="仿宋_GB2312" w:hAnsi="Times New Roman" w:cs="Times New Roman"/>
                <w:sz w:val="24"/>
              </w:rPr>
              <w:t>．本外币贷款规模（亿元）</w:t>
            </w:r>
          </w:p>
        </w:tc>
        <w:tc>
          <w:tcPr>
            <w:tcW w:w="1722" w:type="dxa"/>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1166.68</w:t>
            </w:r>
          </w:p>
        </w:tc>
        <w:tc>
          <w:tcPr>
            <w:tcW w:w="1676" w:type="dxa"/>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1875.41</w:t>
            </w:r>
          </w:p>
        </w:tc>
      </w:tr>
      <w:tr w:rsidR="0023790C">
        <w:trPr>
          <w:trHeight w:val="268"/>
          <w:jc w:val="center"/>
        </w:trPr>
        <w:tc>
          <w:tcPr>
            <w:tcW w:w="1499" w:type="dxa"/>
            <w:vMerge w:val="restart"/>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保险</w:t>
            </w:r>
          </w:p>
        </w:tc>
        <w:tc>
          <w:tcPr>
            <w:tcW w:w="3888" w:type="dxa"/>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8</w:t>
            </w:r>
            <w:r>
              <w:rPr>
                <w:rFonts w:ascii="Times New Roman" w:eastAsia="仿宋_GB2312" w:hAnsi="Times New Roman" w:cs="Times New Roman"/>
                <w:sz w:val="24"/>
              </w:rPr>
              <w:t>．保险公司数量（家）</w:t>
            </w:r>
          </w:p>
        </w:tc>
        <w:tc>
          <w:tcPr>
            <w:tcW w:w="1722" w:type="dxa"/>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31</w:t>
            </w:r>
          </w:p>
        </w:tc>
        <w:tc>
          <w:tcPr>
            <w:tcW w:w="1676" w:type="dxa"/>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35</w:t>
            </w:r>
          </w:p>
        </w:tc>
      </w:tr>
      <w:tr w:rsidR="0023790C">
        <w:trPr>
          <w:trHeight w:val="120"/>
          <w:jc w:val="center"/>
        </w:trPr>
        <w:tc>
          <w:tcPr>
            <w:tcW w:w="1499" w:type="dxa"/>
            <w:vMerge/>
            <w:vAlign w:val="center"/>
          </w:tcPr>
          <w:p w:rsidR="0023790C" w:rsidRDefault="0023790C">
            <w:pPr>
              <w:jc w:val="center"/>
              <w:rPr>
                <w:rFonts w:ascii="Times New Roman" w:eastAsia="仿宋_GB2312" w:hAnsi="Times New Roman" w:cs="Times New Roman"/>
                <w:sz w:val="24"/>
              </w:rPr>
            </w:pPr>
          </w:p>
        </w:tc>
        <w:tc>
          <w:tcPr>
            <w:tcW w:w="3888" w:type="dxa"/>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9</w:t>
            </w:r>
            <w:r>
              <w:rPr>
                <w:rFonts w:ascii="Times New Roman" w:eastAsia="仿宋_GB2312" w:hAnsi="Times New Roman" w:cs="Times New Roman"/>
                <w:sz w:val="24"/>
              </w:rPr>
              <w:t>．保费收入（亿元）</w:t>
            </w:r>
          </w:p>
        </w:tc>
        <w:tc>
          <w:tcPr>
            <w:tcW w:w="1722" w:type="dxa"/>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20.33</w:t>
            </w:r>
          </w:p>
        </w:tc>
        <w:tc>
          <w:tcPr>
            <w:tcW w:w="1676" w:type="dxa"/>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32.08</w:t>
            </w:r>
          </w:p>
        </w:tc>
      </w:tr>
      <w:tr w:rsidR="0023790C">
        <w:trPr>
          <w:trHeight w:val="269"/>
          <w:jc w:val="center"/>
        </w:trPr>
        <w:tc>
          <w:tcPr>
            <w:tcW w:w="1499" w:type="dxa"/>
            <w:vMerge w:val="restart"/>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证券及创投</w:t>
            </w:r>
          </w:p>
        </w:tc>
        <w:tc>
          <w:tcPr>
            <w:tcW w:w="3888" w:type="dxa"/>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10</w:t>
            </w:r>
            <w:r>
              <w:rPr>
                <w:rFonts w:ascii="Times New Roman" w:eastAsia="仿宋_GB2312" w:hAnsi="Times New Roman" w:cs="Times New Roman"/>
                <w:sz w:val="24"/>
              </w:rPr>
              <w:t>．证券期货机构数量（家）</w:t>
            </w:r>
          </w:p>
        </w:tc>
        <w:tc>
          <w:tcPr>
            <w:tcW w:w="1722" w:type="dxa"/>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4</w:t>
            </w:r>
          </w:p>
        </w:tc>
        <w:tc>
          <w:tcPr>
            <w:tcW w:w="1676" w:type="dxa"/>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8</w:t>
            </w:r>
          </w:p>
        </w:tc>
      </w:tr>
      <w:tr w:rsidR="0023790C">
        <w:trPr>
          <w:trHeight w:val="548"/>
          <w:jc w:val="center"/>
        </w:trPr>
        <w:tc>
          <w:tcPr>
            <w:tcW w:w="1499" w:type="dxa"/>
            <w:vMerge/>
            <w:vAlign w:val="center"/>
          </w:tcPr>
          <w:p w:rsidR="0023790C" w:rsidRDefault="0023790C">
            <w:pPr>
              <w:jc w:val="center"/>
              <w:rPr>
                <w:rFonts w:ascii="Times New Roman" w:eastAsia="仿宋_GB2312" w:hAnsi="Times New Roman" w:cs="Times New Roman"/>
                <w:sz w:val="24"/>
              </w:rPr>
            </w:pPr>
          </w:p>
        </w:tc>
        <w:tc>
          <w:tcPr>
            <w:tcW w:w="3888" w:type="dxa"/>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11</w:t>
            </w:r>
            <w:r>
              <w:rPr>
                <w:rFonts w:ascii="Times New Roman" w:eastAsia="仿宋_GB2312" w:hAnsi="Times New Roman" w:cs="Times New Roman"/>
                <w:sz w:val="24"/>
              </w:rPr>
              <w:t>．备案创投公司（家）</w:t>
            </w:r>
          </w:p>
        </w:tc>
        <w:tc>
          <w:tcPr>
            <w:tcW w:w="1722" w:type="dxa"/>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6</w:t>
            </w:r>
          </w:p>
        </w:tc>
        <w:tc>
          <w:tcPr>
            <w:tcW w:w="1676" w:type="dxa"/>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8</w:t>
            </w:r>
          </w:p>
        </w:tc>
      </w:tr>
      <w:tr w:rsidR="0023790C">
        <w:trPr>
          <w:trHeight w:val="548"/>
          <w:jc w:val="center"/>
        </w:trPr>
        <w:tc>
          <w:tcPr>
            <w:tcW w:w="1499" w:type="dxa"/>
            <w:vMerge w:val="restart"/>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多层次</w:t>
            </w:r>
          </w:p>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资本市场</w:t>
            </w:r>
          </w:p>
        </w:tc>
        <w:tc>
          <w:tcPr>
            <w:tcW w:w="3888" w:type="dxa"/>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12</w:t>
            </w:r>
            <w:r>
              <w:rPr>
                <w:rFonts w:ascii="Times New Roman" w:eastAsia="仿宋_GB2312" w:hAnsi="Times New Roman" w:cs="Times New Roman"/>
                <w:sz w:val="24"/>
              </w:rPr>
              <w:t>．境内外上市公司数量（家）</w:t>
            </w:r>
          </w:p>
        </w:tc>
        <w:tc>
          <w:tcPr>
            <w:tcW w:w="1722" w:type="dxa"/>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6</w:t>
            </w:r>
          </w:p>
        </w:tc>
        <w:tc>
          <w:tcPr>
            <w:tcW w:w="1676" w:type="dxa"/>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6</w:t>
            </w:r>
          </w:p>
        </w:tc>
      </w:tr>
      <w:tr w:rsidR="0023790C">
        <w:trPr>
          <w:trHeight w:val="548"/>
          <w:jc w:val="center"/>
        </w:trPr>
        <w:tc>
          <w:tcPr>
            <w:tcW w:w="1499" w:type="dxa"/>
            <w:vMerge/>
            <w:vAlign w:val="center"/>
          </w:tcPr>
          <w:p w:rsidR="0023790C" w:rsidRDefault="0023790C">
            <w:pPr>
              <w:jc w:val="center"/>
              <w:rPr>
                <w:rFonts w:ascii="Times New Roman" w:eastAsia="仿宋_GB2312" w:hAnsi="Times New Roman" w:cs="Times New Roman"/>
                <w:sz w:val="24"/>
              </w:rPr>
            </w:pPr>
          </w:p>
        </w:tc>
        <w:tc>
          <w:tcPr>
            <w:tcW w:w="3888" w:type="dxa"/>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13</w:t>
            </w:r>
            <w:r>
              <w:rPr>
                <w:rFonts w:ascii="Times New Roman" w:eastAsia="仿宋_GB2312" w:hAnsi="Times New Roman" w:cs="Times New Roman"/>
                <w:sz w:val="24"/>
              </w:rPr>
              <w:t>．累计新三板挂牌企业（家）</w:t>
            </w:r>
          </w:p>
        </w:tc>
        <w:tc>
          <w:tcPr>
            <w:tcW w:w="1722" w:type="dxa"/>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5</w:t>
            </w:r>
          </w:p>
        </w:tc>
        <w:tc>
          <w:tcPr>
            <w:tcW w:w="1676" w:type="dxa"/>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22</w:t>
            </w:r>
          </w:p>
        </w:tc>
      </w:tr>
    </w:tbl>
    <w:p w:rsidR="0023790C" w:rsidRDefault="0023790C">
      <w:pPr>
        <w:spacing w:line="560" w:lineRule="exact"/>
        <w:ind w:firstLineChars="200" w:firstLine="640"/>
        <w:rPr>
          <w:rFonts w:ascii="Times New Roman" w:eastAsia="仿宋_GB2312" w:hAnsi="Times New Roman" w:cs="Times New Roman"/>
        </w:rPr>
      </w:pPr>
    </w:p>
    <w:p w:rsidR="0023790C" w:rsidRDefault="00972AA8">
      <w:pPr>
        <w:spacing w:line="580" w:lineRule="exact"/>
        <w:ind w:firstLineChars="200" w:firstLine="643"/>
        <w:rPr>
          <w:rFonts w:ascii="Times New Roman" w:eastAsia="仿宋_GB2312" w:hAnsi="Times New Roman" w:cs="Times New Roman"/>
          <w:b/>
        </w:rPr>
      </w:pPr>
      <w:bookmarkStart w:id="5" w:name="_Toc87626009"/>
      <w:r>
        <w:rPr>
          <w:rFonts w:ascii="Times New Roman" w:eastAsia="仿宋_GB2312" w:hAnsi="Times New Roman" w:cs="Times New Roman"/>
          <w:b/>
        </w:rPr>
        <w:lastRenderedPageBreak/>
        <w:t>2.“</w:t>
      </w:r>
      <w:r>
        <w:rPr>
          <w:rFonts w:ascii="Times New Roman" w:eastAsia="仿宋_GB2312" w:hAnsi="Times New Roman" w:cs="Times New Roman"/>
          <w:b/>
        </w:rPr>
        <w:t>十三五</w:t>
      </w:r>
      <w:r>
        <w:rPr>
          <w:rFonts w:ascii="Times New Roman" w:eastAsia="仿宋_GB2312" w:hAnsi="Times New Roman" w:cs="Times New Roman"/>
          <w:b/>
        </w:rPr>
        <w:t>”</w:t>
      </w:r>
      <w:r>
        <w:rPr>
          <w:rFonts w:ascii="Times New Roman" w:eastAsia="仿宋_GB2312" w:hAnsi="Times New Roman" w:cs="Times New Roman"/>
          <w:b/>
        </w:rPr>
        <w:t>存在的问题</w:t>
      </w:r>
      <w:bookmarkEnd w:id="5"/>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整体上看，</w:t>
      </w:r>
      <w:r>
        <w:rPr>
          <w:rFonts w:ascii="Times New Roman" w:eastAsia="仿宋_GB2312" w:hAnsi="Times New Roman" w:cs="Times New Roman"/>
        </w:rPr>
        <w:t>“</w:t>
      </w:r>
      <w:r>
        <w:rPr>
          <w:rFonts w:ascii="Times New Roman" w:eastAsia="仿宋_GB2312" w:hAnsi="Times New Roman" w:cs="Times New Roman"/>
        </w:rPr>
        <w:t>十三五</w:t>
      </w:r>
      <w:r>
        <w:rPr>
          <w:rFonts w:ascii="Times New Roman" w:eastAsia="仿宋_GB2312" w:hAnsi="Times New Roman" w:cs="Times New Roman"/>
        </w:rPr>
        <w:t>”</w:t>
      </w:r>
      <w:r>
        <w:rPr>
          <w:rFonts w:ascii="Times New Roman" w:eastAsia="仿宋_GB2312" w:hAnsi="Times New Roman" w:cs="Times New Roman"/>
        </w:rPr>
        <w:t>时期，太仓市金融业快速发展、成果丰硕。同时，在国际格局和政治力量对比加速演变、国内</w:t>
      </w:r>
      <w:r>
        <w:rPr>
          <w:rFonts w:ascii="Times New Roman" w:eastAsia="仿宋_GB2312" w:hAnsi="Times New Roman" w:cs="Times New Roman"/>
        </w:rPr>
        <w:t>“</w:t>
      </w:r>
      <w:r>
        <w:rPr>
          <w:rFonts w:ascii="Times New Roman" w:eastAsia="仿宋_GB2312" w:hAnsi="Times New Roman" w:cs="Times New Roman"/>
        </w:rPr>
        <w:t>双循环</w:t>
      </w:r>
      <w:r>
        <w:rPr>
          <w:rFonts w:ascii="Times New Roman" w:eastAsia="仿宋_GB2312" w:hAnsi="Times New Roman" w:cs="Times New Roman"/>
        </w:rPr>
        <w:t>”</w:t>
      </w:r>
      <w:r>
        <w:rPr>
          <w:rFonts w:ascii="Times New Roman" w:eastAsia="仿宋_GB2312" w:hAnsi="Times New Roman" w:cs="Times New Roman"/>
        </w:rPr>
        <w:t>新发展格局加快推进的背景下，在融入上海国际金融中心、链接苏州功能性金融中心的征程中，太仓</w:t>
      </w:r>
      <w:r>
        <w:rPr>
          <w:rFonts w:ascii="Times New Roman" w:eastAsia="仿宋_GB2312" w:hAnsi="Times New Roman" w:cs="Times New Roman"/>
          <w:szCs w:val="32"/>
        </w:rPr>
        <w:t>金融业发展</w:t>
      </w:r>
      <w:r>
        <w:rPr>
          <w:rFonts w:ascii="Times New Roman" w:eastAsia="仿宋_GB2312" w:hAnsi="Times New Roman" w:cs="Times New Roman"/>
        </w:rPr>
        <w:t>还存在着一些短板领域。</w:t>
      </w:r>
      <w:r>
        <w:rPr>
          <w:rFonts w:ascii="Times New Roman" w:eastAsia="仿宋_GB2312" w:hAnsi="Times New Roman" w:cs="Times New Roman"/>
        </w:rPr>
        <w:t xml:space="preserve"> </w:t>
      </w:r>
    </w:p>
    <w:p w:rsidR="0023790C" w:rsidRDefault="00972AA8">
      <w:pPr>
        <w:spacing w:line="580" w:lineRule="exact"/>
        <w:ind w:firstLineChars="200" w:firstLine="643"/>
        <w:rPr>
          <w:rFonts w:ascii="Times New Roman" w:eastAsia="仿宋_GB2312" w:hAnsi="Times New Roman" w:cs="Times New Roman"/>
          <w:b/>
        </w:rPr>
      </w:pPr>
      <w:r>
        <w:rPr>
          <w:rFonts w:ascii="Times New Roman" w:eastAsia="仿宋_GB2312" w:hAnsi="Times New Roman" w:cs="Times New Roman"/>
          <w:b/>
        </w:rPr>
        <w:t>（</w:t>
      </w:r>
      <w:r>
        <w:rPr>
          <w:rFonts w:ascii="Times New Roman" w:eastAsia="仿宋_GB2312" w:hAnsi="Times New Roman" w:cs="Times New Roman"/>
          <w:b/>
        </w:rPr>
        <w:t>1</w:t>
      </w:r>
      <w:r>
        <w:rPr>
          <w:rFonts w:ascii="Times New Roman" w:eastAsia="仿宋_GB2312" w:hAnsi="Times New Roman" w:cs="Times New Roman"/>
          <w:b/>
        </w:rPr>
        <w:t>）金融产业规模能级亟需提升</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金融机构结构不平衡、发展不充分。地方法人机构、区域性和功能性总部欠缺，资金来源单一。在太仓，银行多、非银机构少，分支机构多、法人和总部少，金融机构多元化的不足和能级的偏低制约着金融业的发展。相对于全国百强县的经济实力，太仓市多元化的金融体系尚未释放动能，能级不匹配，难以适应人们日益增长的多层次、多样化金融服务需求。</w:t>
      </w:r>
    </w:p>
    <w:p w:rsidR="0023790C" w:rsidRDefault="00972AA8">
      <w:pPr>
        <w:spacing w:line="580" w:lineRule="exact"/>
        <w:ind w:firstLineChars="200" w:firstLine="643"/>
        <w:rPr>
          <w:rFonts w:ascii="Times New Roman" w:eastAsia="仿宋_GB2312" w:hAnsi="Times New Roman" w:cs="Times New Roman"/>
          <w:b/>
        </w:rPr>
      </w:pPr>
      <w:r>
        <w:rPr>
          <w:rFonts w:ascii="Times New Roman" w:eastAsia="仿宋_GB2312" w:hAnsi="Times New Roman" w:cs="Times New Roman"/>
          <w:b/>
        </w:rPr>
        <w:t>（</w:t>
      </w:r>
      <w:r>
        <w:rPr>
          <w:rFonts w:ascii="Times New Roman" w:eastAsia="仿宋_GB2312" w:hAnsi="Times New Roman" w:cs="Times New Roman"/>
          <w:b/>
        </w:rPr>
        <w:t>2</w:t>
      </w:r>
      <w:r>
        <w:rPr>
          <w:rFonts w:ascii="Times New Roman" w:eastAsia="仿宋_GB2312" w:hAnsi="Times New Roman" w:cs="Times New Roman"/>
          <w:b/>
        </w:rPr>
        <w:t>）地方法人机构实力亟需提高</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szCs w:val="32"/>
        </w:rPr>
        <w:t>在经济双循环格局下，国有大型银行资源和服务进一步下沉，并通过低价竞争拓展过去无人问津的普惠客户，小微企业成为竞争主战场之一。</w:t>
      </w:r>
      <w:r>
        <w:rPr>
          <w:rFonts w:ascii="Times New Roman" w:eastAsia="仿宋_GB2312" w:hAnsi="Times New Roman" w:cs="Times New Roman"/>
        </w:rPr>
        <w:t>太仓地方法人金融机构整体规模不大，实力不强，同质化竞争严重</w:t>
      </w:r>
      <w:r>
        <w:rPr>
          <w:rFonts w:ascii="Times New Roman" w:eastAsia="仿宋_GB2312" w:hAnsi="Times New Roman" w:cs="Times New Roman"/>
          <w:szCs w:val="32"/>
        </w:rPr>
        <w:t>，客户维系难度陡增</w:t>
      </w:r>
      <w:r>
        <w:rPr>
          <w:rFonts w:ascii="Times New Roman" w:eastAsia="仿宋_GB2312" w:hAnsi="Times New Roman" w:cs="Times New Roman"/>
        </w:rPr>
        <w:t>。</w:t>
      </w:r>
    </w:p>
    <w:p w:rsidR="0023790C" w:rsidRDefault="00972AA8">
      <w:pPr>
        <w:spacing w:line="580" w:lineRule="exact"/>
        <w:ind w:firstLineChars="200" w:firstLine="643"/>
        <w:rPr>
          <w:rFonts w:ascii="Times New Roman" w:eastAsia="仿宋_GB2312" w:hAnsi="Times New Roman" w:cs="Times New Roman"/>
          <w:b/>
        </w:rPr>
      </w:pPr>
      <w:r>
        <w:rPr>
          <w:rFonts w:ascii="Times New Roman" w:eastAsia="仿宋_GB2312" w:hAnsi="Times New Roman" w:cs="Times New Roman"/>
          <w:b/>
        </w:rPr>
        <w:t>（</w:t>
      </w:r>
      <w:r>
        <w:rPr>
          <w:rFonts w:ascii="Times New Roman" w:eastAsia="仿宋_GB2312" w:hAnsi="Times New Roman" w:cs="Times New Roman"/>
          <w:b/>
        </w:rPr>
        <w:t>3</w:t>
      </w:r>
      <w:r>
        <w:rPr>
          <w:rFonts w:ascii="Times New Roman" w:eastAsia="仿宋_GB2312" w:hAnsi="Times New Roman" w:cs="Times New Roman"/>
          <w:b/>
        </w:rPr>
        <w:t>）金融发展生态环境亟需完善</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金融政策环境、市场环境、法治环境、信用环境和监管环境的整体水平依然不高。金融政策法规难以有效适应金融监管的扁平化趋势。金融人才政策服务环境有待改善，金融人才集聚度不</w:t>
      </w:r>
      <w:r>
        <w:rPr>
          <w:rFonts w:ascii="Times New Roman" w:eastAsia="仿宋_GB2312" w:hAnsi="Times New Roman" w:cs="Times New Roman"/>
        </w:rPr>
        <w:lastRenderedPageBreak/>
        <w:t>高。社会信用体系、金融法治建设和协同共治体系仍需深入推进，信用信息的整合共享平台亟待建设。防范化解金融系统性风险的机制有待进一步完善，金融服务实体经济的运行管理机制有待强化。</w:t>
      </w:r>
    </w:p>
    <w:p w:rsidR="0023790C" w:rsidRDefault="00972AA8">
      <w:pPr>
        <w:spacing w:line="580" w:lineRule="exact"/>
        <w:ind w:firstLineChars="200" w:firstLine="643"/>
        <w:rPr>
          <w:rFonts w:ascii="Times New Roman" w:eastAsia="仿宋_GB2312" w:hAnsi="Times New Roman" w:cs="Times New Roman"/>
          <w:b/>
        </w:rPr>
      </w:pPr>
      <w:r>
        <w:rPr>
          <w:rFonts w:ascii="Times New Roman" w:eastAsia="仿宋_GB2312" w:hAnsi="Times New Roman" w:cs="Times New Roman"/>
          <w:b/>
        </w:rPr>
        <w:t>（</w:t>
      </w:r>
      <w:r>
        <w:rPr>
          <w:rFonts w:ascii="Times New Roman" w:eastAsia="仿宋_GB2312" w:hAnsi="Times New Roman" w:cs="Times New Roman"/>
          <w:b/>
        </w:rPr>
        <w:t>4</w:t>
      </w:r>
      <w:r>
        <w:rPr>
          <w:rFonts w:ascii="Times New Roman" w:eastAsia="仿宋_GB2312" w:hAnsi="Times New Roman" w:cs="Times New Roman"/>
          <w:b/>
        </w:rPr>
        <w:t>）资本市场发展步伐亟需加快</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资本市场发展步伐缓慢，上市企业数量不多，全市融资结构不够合理，以银行信贷融资为主的间接融资仍占据主导地位，直接融资比重不高。股权投资基金数量较少，吸引创新资本、创新项目的能力有限。资本市场融入上海国际金融中心、链接苏州功能性金融中心的程度不高，缺乏足够的业务规模、定价能力。</w:t>
      </w:r>
    </w:p>
    <w:p w:rsidR="0023790C" w:rsidRDefault="00972AA8">
      <w:pPr>
        <w:spacing w:line="580" w:lineRule="exact"/>
        <w:ind w:firstLineChars="200" w:firstLine="640"/>
        <w:jc w:val="left"/>
        <w:rPr>
          <w:rFonts w:ascii="Times New Roman" w:eastAsia="楷体_GB2312" w:hAnsi="Times New Roman" w:cs="Times New Roman"/>
        </w:rPr>
      </w:pPr>
      <w:bookmarkStart w:id="6" w:name="_Toc87626010"/>
      <w:r>
        <w:rPr>
          <w:rFonts w:ascii="Times New Roman" w:eastAsia="楷体_GB2312" w:hAnsi="Times New Roman" w:cs="Times New Roman"/>
        </w:rPr>
        <w:t>（二）发展环境</w:t>
      </w:r>
      <w:bookmarkEnd w:id="6"/>
    </w:p>
    <w:p w:rsidR="0023790C" w:rsidRDefault="00972AA8">
      <w:pPr>
        <w:spacing w:line="580" w:lineRule="exact"/>
        <w:ind w:firstLineChars="200" w:firstLine="643"/>
        <w:rPr>
          <w:rFonts w:ascii="Times New Roman" w:eastAsia="仿宋_GB2312" w:hAnsi="Times New Roman" w:cs="Times New Roman"/>
          <w:b/>
        </w:rPr>
      </w:pPr>
      <w:bookmarkStart w:id="7" w:name="_Toc87626011"/>
      <w:r>
        <w:rPr>
          <w:rFonts w:ascii="Times New Roman" w:eastAsia="仿宋_GB2312" w:hAnsi="Times New Roman" w:cs="Times New Roman"/>
          <w:b/>
        </w:rPr>
        <w:t>1.</w:t>
      </w:r>
      <w:r>
        <w:rPr>
          <w:rFonts w:ascii="Times New Roman" w:eastAsia="仿宋_GB2312" w:hAnsi="Times New Roman" w:cs="Times New Roman"/>
          <w:b/>
        </w:rPr>
        <w:t>发展机遇</w:t>
      </w:r>
      <w:bookmarkEnd w:id="7"/>
    </w:p>
    <w:p w:rsidR="0023790C" w:rsidRDefault="00972AA8">
      <w:pPr>
        <w:spacing w:line="580" w:lineRule="exact"/>
        <w:rPr>
          <w:rFonts w:ascii="Times New Roman" w:eastAsia="仿宋_GB2312" w:hAnsi="Times New Roman" w:cs="Times New Roman"/>
        </w:rPr>
      </w:pPr>
      <w:r>
        <w:rPr>
          <w:rFonts w:ascii="Times New Roman" w:eastAsia="仿宋_GB2312" w:hAnsi="Times New Roman" w:cs="Times New Roman"/>
        </w:rPr>
        <w:t xml:space="preserve"> </w:t>
      </w:r>
      <w:r>
        <w:rPr>
          <w:rFonts w:ascii="Times New Roman" w:eastAsia="仿宋_GB2312" w:hAnsi="Times New Roman" w:cs="Times New Roman"/>
        </w:rPr>
        <w:t>从区域发展政策和环境来看，长三角一体化发展等国家战略纵深推进，将进一步强化长三角地区的国际经济、金融中心地位。太仓紧邻虹桥枢纽核心区，是位于虹桥国际开放枢纽</w:t>
      </w:r>
      <w:r>
        <w:rPr>
          <w:rFonts w:ascii="Times New Roman" w:eastAsia="仿宋_GB2312" w:hAnsi="Times New Roman" w:cs="Times New Roman"/>
        </w:rPr>
        <w:t>“</w:t>
      </w:r>
      <w:r>
        <w:rPr>
          <w:rFonts w:ascii="Times New Roman" w:eastAsia="仿宋_GB2312" w:hAnsi="Times New Roman" w:cs="Times New Roman"/>
        </w:rPr>
        <w:t>一核两带</w:t>
      </w:r>
      <w:r>
        <w:rPr>
          <w:rFonts w:ascii="Times New Roman" w:eastAsia="仿宋_GB2312" w:hAnsi="Times New Roman" w:cs="Times New Roman"/>
        </w:rPr>
        <w:t>”</w:t>
      </w:r>
      <w:r>
        <w:rPr>
          <w:rFonts w:ascii="Times New Roman" w:eastAsia="仿宋_GB2312" w:hAnsi="Times New Roman" w:cs="Times New Roman"/>
        </w:rPr>
        <w:t>功能布局北向拓展带上的重要节点城市。太仓正加快打造虹桥国际开放枢纽北翼发展极，深度对接虹桥商务区，大力发展商务服务业，金融业的发展也将迎来重大机遇。</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与此同时，作为太仓市市域发展的主中心，娄江新城建设正提速推进，金融载体建设步入快车道。太仓将以娄江新城为重点，发展高端装备、新能源及智能网联汽车、航空、新一代信息技术、生物医药等高新技术产业。实体经济的快速发展伴随着对金融服</w:t>
      </w:r>
      <w:r>
        <w:rPr>
          <w:rFonts w:ascii="Times New Roman" w:eastAsia="仿宋_GB2312" w:hAnsi="Times New Roman" w:cs="Times New Roman"/>
        </w:rPr>
        <w:lastRenderedPageBreak/>
        <w:t>务的需求增长，为太仓市金融业实现规模发展、全面提升服务实体经济能力提供了有利条件，将推动太仓金融业全面迈上更高能级。</w:t>
      </w:r>
    </w:p>
    <w:p w:rsidR="0023790C" w:rsidRDefault="00972AA8">
      <w:pPr>
        <w:spacing w:line="580" w:lineRule="exact"/>
        <w:ind w:firstLineChars="200" w:firstLine="643"/>
        <w:rPr>
          <w:rFonts w:ascii="Times New Roman" w:eastAsia="仿宋_GB2312" w:hAnsi="Times New Roman" w:cs="Times New Roman"/>
          <w:b/>
        </w:rPr>
      </w:pPr>
      <w:bookmarkStart w:id="8" w:name="_Toc87626012"/>
      <w:r>
        <w:rPr>
          <w:rFonts w:ascii="Times New Roman" w:eastAsia="仿宋_GB2312" w:hAnsi="Times New Roman" w:cs="Times New Roman"/>
          <w:b/>
        </w:rPr>
        <w:t>2.</w:t>
      </w:r>
      <w:r>
        <w:rPr>
          <w:rFonts w:ascii="Times New Roman" w:eastAsia="仿宋_GB2312" w:hAnsi="Times New Roman" w:cs="Times New Roman"/>
          <w:b/>
        </w:rPr>
        <w:t>发展挑战</w:t>
      </w:r>
      <w:bookmarkEnd w:id="8"/>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区域金融业竞争激烈。就全国范围来看，目前国内金融中心城市竞争日益激烈，而太仓市受限于城市能级，在金融业发展上与领先城市相比竞争力相对较弱。从苏州大市范围来看，苏州下辖各区市正在推动金融集聚区差异化、特色化发展，如工业园区打造苏州总部金融基地、聚焦创投产业发展，相城区着力发展数字金融产业，高新区深化科技保险创新，昆山市打造两岸金融开放合作高地等。太仓市在面对区域金融资源激烈竞争时，需要充分利用自身优势，尽量避免同质化发展。</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金融风险防控压力加大。在后疫情时代，全球经济复苏仍存在不确定因素，货币宽松政策导致的长期风险不容忽视，制造业</w:t>
      </w:r>
      <w:r>
        <w:rPr>
          <w:rFonts w:ascii="Times New Roman" w:eastAsia="仿宋_GB2312" w:hAnsi="Times New Roman" w:cs="Times New Roman"/>
        </w:rPr>
        <w:t>“</w:t>
      </w:r>
      <w:r>
        <w:rPr>
          <w:rFonts w:ascii="Times New Roman" w:eastAsia="仿宋_GB2312" w:hAnsi="Times New Roman" w:cs="Times New Roman"/>
        </w:rPr>
        <w:t>高端回流</w:t>
      </w:r>
      <w:r>
        <w:rPr>
          <w:rFonts w:ascii="Times New Roman" w:eastAsia="仿宋_GB2312" w:hAnsi="Times New Roman" w:cs="Times New Roman"/>
        </w:rPr>
        <w:t>”</w:t>
      </w:r>
      <w:r>
        <w:rPr>
          <w:rFonts w:ascii="Times New Roman" w:eastAsia="仿宋_GB2312" w:hAnsi="Times New Roman" w:cs="Times New Roman"/>
        </w:rPr>
        <w:t>和</w:t>
      </w:r>
      <w:r>
        <w:rPr>
          <w:rFonts w:ascii="Times New Roman" w:eastAsia="仿宋_GB2312" w:hAnsi="Times New Roman" w:cs="Times New Roman"/>
        </w:rPr>
        <w:t>“</w:t>
      </w:r>
      <w:r>
        <w:rPr>
          <w:rFonts w:ascii="Times New Roman" w:eastAsia="仿宋_GB2312" w:hAnsi="Times New Roman" w:cs="Times New Roman"/>
        </w:rPr>
        <w:t>中低端分流</w:t>
      </w:r>
      <w:r>
        <w:rPr>
          <w:rFonts w:ascii="Times New Roman" w:eastAsia="仿宋_GB2312" w:hAnsi="Times New Roman" w:cs="Times New Roman"/>
        </w:rPr>
        <w:t>”</w:t>
      </w:r>
      <w:r>
        <w:rPr>
          <w:rFonts w:ascii="Times New Roman" w:eastAsia="仿宋_GB2312" w:hAnsi="Times New Roman" w:cs="Times New Roman"/>
        </w:rPr>
        <w:t>的影响取决于全球疫情防控的情况，具有很大不确定性，金融业面临不良贷款率上升的风险。</w:t>
      </w:r>
    </w:p>
    <w:p w:rsidR="0023790C" w:rsidRDefault="00972AA8">
      <w:pPr>
        <w:spacing w:line="580" w:lineRule="exact"/>
        <w:ind w:firstLineChars="200" w:firstLine="640"/>
        <w:rPr>
          <w:rFonts w:ascii="Times New Roman" w:hAnsi="Times New Roman" w:cs="Times New Roman"/>
        </w:rPr>
      </w:pPr>
      <w:r>
        <w:rPr>
          <w:rFonts w:ascii="Times New Roman" w:eastAsia="仿宋_GB2312" w:hAnsi="Times New Roman" w:cs="Times New Roman"/>
        </w:rPr>
        <w:t>地方金融监管复杂性加大。随着数字金融和智能金融的不断发展，各领域潜在金融风险日益复杂，传统金融监管方式暴露出其难以适应跨市场、跨领域、跨区域金融创新的短板，这对深化金融科技创新监管提出了非常现实的要求。</w:t>
      </w:r>
      <w:bookmarkStart w:id="9" w:name="_Toc87626013"/>
    </w:p>
    <w:p w:rsidR="0023790C" w:rsidRDefault="00972AA8">
      <w:pPr>
        <w:spacing w:line="580" w:lineRule="exact"/>
        <w:ind w:firstLineChars="200" w:firstLine="640"/>
        <w:rPr>
          <w:rFonts w:ascii="Times New Roman" w:hAnsi="Times New Roman" w:cs="Times New Roman"/>
        </w:rPr>
      </w:pPr>
      <w:r>
        <w:rPr>
          <w:rFonts w:ascii="Times New Roman" w:eastAsia="黑体" w:hAnsi="Times New Roman" w:cs="Times New Roman"/>
        </w:rPr>
        <w:t>二、发展思路与目标</w:t>
      </w:r>
      <w:bookmarkEnd w:id="9"/>
    </w:p>
    <w:p w:rsidR="0023790C" w:rsidRDefault="00972AA8">
      <w:pPr>
        <w:spacing w:line="580" w:lineRule="exact"/>
        <w:ind w:firstLineChars="200" w:firstLine="640"/>
        <w:rPr>
          <w:rFonts w:ascii="Times New Roman" w:eastAsia="楷体_GB2312" w:hAnsi="Times New Roman" w:cs="Times New Roman"/>
        </w:rPr>
      </w:pPr>
      <w:bookmarkStart w:id="10" w:name="_Toc87626014"/>
      <w:r>
        <w:rPr>
          <w:rFonts w:ascii="Times New Roman" w:eastAsia="楷体_GB2312" w:hAnsi="Times New Roman" w:cs="Times New Roman"/>
        </w:rPr>
        <w:t>（一）指导思想</w:t>
      </w:r>
      <w:bookmarkEnd w:id="10"/>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szCs w:val="32"/>
        </w:rPr>
        <w:lastRenderedPageBreak/>
        <w:t>以习近平新时代中国特色社会主义思想为指导，全面</w:t>
      </w:r>
      <w:r>
        <w:rPr>
          <w:rFonts w:ascii="Times New Roman" w:eastAsia="仿宋_GB2312" w:hAnsi="Times New Roman" w:cs="Times New Roman"/>
        </w:rPr>
        <w:t>贯彻党的十九大和十九届二中、三中、四中、五中、六中全会精神，深入落实习近平总书记视察江苏重要讲话指示精神，科学把握新发展阶段，坚决贯彻新发展理念，服务和融入新发展格局。抢抓长三角一体化发展的历史性机遇，以金融创新为根本动力，以满足人民日益增长的多层次、多样化金融服务需求为根本目的，深度融入上海国际金融中心和苏州功能性金融中心。通过育新态、提能级、建平台、聚人才、优质效，加快构建实体经济、现代金融、科技创新协同发展的产业体系，推动全市金融业高质量发展取得新成效，实现经济行稳致远、社会安定和谐。</w:t>
      </w:r>
    </w:p>
    <w:p w:rsidR="0023790C" w:rsidRDefault="00972AA8">
      <w:pPr>
        <w:spacing w:line="580" w:lineRule="exact"/>
        <w:ind w:firstLineChars="200" w:firstLine="640"/>
        <w:rPr>
          <w:rFonts w:ascii="Times New Roman" w:eastAsia="楷体_GB2312" w:hAnsi="Times New Roman" w:cs="Times New Roman"/>
        </w:rPr>
      </w:pPr>
      <w:bookmarkStart w:id="11" w:name="_Toc87626015"/>
      <w:r>
        <w:rPr>
          <w:rFonts w:ascii="Times New Roman" w:eastAsia="楷体_GB2312" w:hAnsi="Times New Roman" w:cs="Times New Roman"/>
        </w:rPr>
        <w:t>（二）基本原则</w:t>
      </w:r>
      <w:bookmarkEnd w:id="11"/>
    </w:p>
    <w:p w:rsidR="0023790C" w:rsidRDefault="00972AA8">
      <w:pPr>
        <w:spacing w:line="580" w:lineRule="exact"/>
        <w:ind w:firstLineChars="200" w:firstLine="643"/>
        <w:rPr>
          <w:rFonts w:ascii="Times New Roman" w:eastAsia="仿宋_GB2312" w:hAnsi="Times New Roman" w:cs="Times New Roman"/>
        </w:rPr>
      </w:pPr>
      <w:r>
        <w:rPr>
          <w:rFonts w:ascii="Times New Roman" w:eastAsia="仿宋_GB2312" w:hAnsi="Times New Roman" w:cs="Times New Roman"/>
          <w:b/>
          <w:szCs w:val="32"/>
        </w:rPr>
        <w:t>坚持市场主导，注重要素保障</w:t>
      </w:r>
      <w:r>
        <w:rPr>
          <w:rFonts w:ascii="Times New Roman" w:eastAsia="仿宋_GB2312" w:hAnsi="Times New Roman" w:cs="Times New Roman"/>
          <w:b/>
        </w:rPr>
        <w:t>。</w:t>
      </w:r>
      <w:r>
        <w:rPr>
          <w:rFonts w:ascii="Times New Roman" w:eastAsia="仿宋_GB2312" w:hAnsi="Times New Roman" w:cs="Times New Roman"/>
        </w:rPr>
        <w:t>尊重市场规律，坚持以金融机构作为金融产业发展和服务实体经济的主导力量，强调政府的引导作用，为金融业发展提供政策支持、人力资本、基础设施等核心要素，营造良好的营商环境。</w:t>
      </w:r>
    </w:p>
    <w:p w:rsidR="0023790C" w:rsidRDefault="00972AA8">
      <w:pPr>
        <w:spacing w:line="580" w:lineRule="exact"/>
        <w:ind w:firstLineChars="200" w:firstLine="643"/>
        <w:rPr>
          <w:rFonts w:ascii="Times New Roman" w:eastAsia="仿宋_GB2312" w:hAnsi="Times New Roman" w:cs="Times New Roman"/>
        </w:rPr>
      </w:pPr>
      <w:r>
        <w:rPr>
          <w:rFonts w:ascii="Times New Roman" w:eastAsia="仿宋_GB2312" w:hAnsi="Times New Roman" w:cs="Times New Roman"/>
          <w:b/>
        </w:rPr>
        <w:t>坚持服务实体，注重融合发展。</w:t>
      </w:r>
      <w:r>
        <w:rPr>
          <w:rFonts w:ascii="Times New Roman" w:eastAsia="仿宋_GB2312" w:hAnsi="Times New Roman" w:cs="Times New Roman"/>
        </w:rPr>
        <w:t>树立服务实体经济是金融发展宗旨的理念，紧密围绕制造业升级、数字化转型等重点领域，保障重大项目建设和投资增长，加快推动金融结构与产业结构匹配协调，实现金融资本和实体经济的有效融合。</w:t>
      </w:r>
    </w:p>
    <w:p w:rsidR="0023790C" w:rsidRDefault="00972AA8">
      <w:pPr>
        <w:spacing w:line="580" w:lineRule="exact"/>
        <w:ind w:firstLineChars="200" w:firstLine="643"/>
        <w:rPr>
          <w:rFonts w:ascii="Times New Roman" w:eastAsia="仿宋_GB2312" w:hAnsi="Times New Roman" w:cs="Times New Roman"/>
        </w:rPr>
      </w:pPr>
      <w:r>
        <w:rPr>
          <w:rFonts w:ascii="Times New Roman" w:eastAsia="仿宋_GB2312" w:hAnsi="Times New Roman" w:cs="Times New Roman"/>
          <w:b/>
        </w:rPr>
        <w:t>坚持重点突破，注重协同推进。</w:t>
      </w:r>
      <w:r>
        <w:rPr>
          <w:rFonts w:ascii="Times New Roman" w:eastAsia="仿宋_GB2312" w:hAnsi="Times New Roman" w:cs="Times New Roman"/>
        </w:rPr>
        <w:t>立足传统优势和当前契机，加快融入上海国际金融中心和苏州功能性金融中心，集聚和发展新型金融业态，丰富金融市场的产品和层次。加快发展普惠金融、</w:t>
      </w:r>
      <w:r>
        <w:rPr>
          <w:rFonts w:ascii="Times New Roman" w:eastAsia="仿宋_GB2312" w:hAnsi="Times New Roman" w:cs="Times New Roman"/>
        </w:rPr>
        <w:lastRenderedPageBreak/>
        <w:t>科技金融、绿色金融、物流金融等特色金融</w:t>
      </w:r>
      <w:r>
        <w:rPr>
          <w:rFonts w:ascii="Times New Roman" w:eastAsia="仿宋_GB2312" w:hAnsi="Times New Roman" w:cs="Times New Roman"/>
          <w:szCs w:val="32"/>
        </w:rPr>
        <w:t>，集中优势资源拉长板、补短板，</w:t>
      </w:r>
      <w:r>
        <w:rPr>
          <w:rFonts w:ascii="Times New Roman" w:eastAsia="仿宋_GB2312" w:hAnsi="Times New Roman" w:cs="Times New Roman"/>
        </w:rPr>
        <w:t>构筑高效的金融协调推进机制。</w:t>
      </w:r>
    </w:p>
    <w:p w:rsidR="0023790C" w:rsidRDefault="00972AA8">
      <w:pPr>
        <w:spacing w:line="580" w:lineRule="exact"/>
        <w:ind w:firstLineChars="200" w:firstLine="643"/>
        <w:rPr>
          <w:rFonts w:ascii="Times New Roman" w:eastAsia="仿宋_GB2312" w:hAnsi="Times New Roman" w:cs="Times New Roman"/>
        </w:rPr>
      </w:pPr>
      <w:r>
        <w:rPr>
          <w:rFonts w:ascii="Times New Roman" w:eastAsia="仿宋_GB2312" w:hAnsi="Times New Roman" w:cs="Times New Roman"/>
          <w:b/>
        </w:rPr>
        <w:t>坚持开放创新，注重防范风险。</w:t>
      </w:r>
      <w:r>
        <w:rPr>
          <w:rFonts w:ascii="Times New Roman" w:eastAsia="仿宋_GB2312" w:hAnsi="Times New Roman" w:cs="Times New Roman"/>
        </w:rPr>
        <w:t>贯彻落实新发展理念，破除制约金融业健康稳定高质量发展的体制机制障碍，支持金融新技术、新产业、新业态、新模式发展。坚持金融改革创新与金融风险防控</w:t>
      </w:r>
      <w:r>
        <w:rPr>
          <w:rFonts w:ascii="Times New Roman" w:eastAsia="仿宋_GB2312" w:hAnsi="Times New Roman" w:cs="Times New Roman"/>
        </w:rPr>
        <w:t>“</w:t>
      </w:r>
      <w:r>
        <w:rPr>
          <w:rFonts w:ascii="Times New Roman" w:eastAsia="仿宋_GB2312" w:hAnsi="Times New Roman" w:cs="Times New Roman"/>
        </w:rPr>
        <w:t>两手抓</w:t>
      </w:r>
      <w:r>
        <w:rPr>
          <w:rFonts w:ascii="Times New Roman" w:eastAsia="仿宋_GB2312" w:hAnsi="Times New Roman" w:cs="Times New Roman"/>
        </w:rPr>
        <w:t>”</w:t>
      </w:r>
      <w:r>
        <w:rPr>
          <w:rFonts w:ascii="Times New Roman" w:eastAsia="仿宋_GB2312" w:hAnsi="Times New Roman" w:cs="Times New Roman"/>
        </w:rPr>
        <w:t>，提高底线思维能力，强化动态监管和联动监管，牢牢守住不发生系统性、区域性金融风险的底线。</w:t>
      </w:r>
    </w:p>
    <w:p w:rsidR="0023790C" w:rsidRDefault="00972AA8">
      <w:pPr>
        <w:spacing w:line="580" w:lineRule="exact"/>
        <w:ind w:firstLineChars="200" w:firstLine="640"/>
        <w:rPr>
          <w:rFonts w:ascii="Times New Roman" w:eastAsia="楷体_GB2312" w:hAnsi="Times New Roman" w:cs="Times New Roman"/>
        </w:rPr>
      </w:pPr>
      <w:bookmarkStart w:id="12" w:name="_Toc87626016"/>
      <w:r>
        <w:rPr>
          <w:rFonts w:ascii="Times New Roman" w:eastAsia="楷体_GB2312" w:hAnsi="Times New Roman" w:cs="Times New Roman"/>
        </w:rPr>
        <w:t>（三）发展目标</w:t>
      </w:r>
      <w:bookmarkEnd w:id="12"/>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全方位融入长三角一体化，做亮</w:t>
      </w:r>
      <w:r>
        <w:rPr>
          <w:rFonts w:ascii="Times New Roman" w:eastAsia="仿宋_GB2312" w:hAnsi="Times New Roman" w:cs="Times New Roman"/>
        </w:rPr>
        <w:t>“</w:t>
      </w:r>
      <w:r>
        <w:rPr>
          <w:rFonts w:ascii="Times New Roman" w:eastAsia="仿宋_GB2312" w:hAnsi="Times New Roman" w:cs="Times New Roman"/>
        </w:rPr>
        <w:t>上海下一站、下一站上海</w:t>
      </w:r>
      <w:r>
        <w:rPr>
          <w:rFonts w:ascii="Times New Roman" w:eastAsia="仿宋_GB2312" w:hAnsi="Times New Roman" w:cs="Times New Roman"/>
        </w:rPr>
        <w:t>”</w:t>
      </w:r>
      <w:r>
        <w:rPr>
          <w:rFonts w:ascii="Times New Roman" w:eastAsia="仿宋_GB2312" w:hAnsi="Times New Roman" w:cs="Times New Roman"/>
        </w:rPr>
        <w:t>城市标识，链接上海国际金融中心，融入苏州功能性金融中心。围绕打造金融服务实体经济示范城市、产业资本集聚发展示范城市、优质金融生态环境示范城市的发展目标，聚焦</w:t>
      </w:r>
      <w:r>
        <w:rPr>
          <w:rFonts w:ascii="Times New Roman" w:eastAsia="仿宋_GB2312" w:hAnsi="Times New Roman" w:cs="Times New Roman"/>
        </w:rPr>
        <w:t>“</w:t>
      </w:r>
      <w:r>
        <w:rPr>
          <w:rFonts w:ascii="Times New Roman" w:eastAsia="仿宋_GB2312" w:hAnsi="Times New Roman" w:cs="Times New Roman"/>
        </w:rPr>
        <w:t>融入上海、对德合作、以港强市</w:t>
      </w:r>
      <w:r>
        <w:rPr>
          <w:rFonts w:ascii="Times New Roman" w:eastAsia="仿宋_GB2312" w:hAnsi="Times New Roman" w:cs="Times New Roman"/>
        </w:rPr>
        <w:t>”</w:t>
      </w:r>
      <w:r>
        <w:rPr>
          <w:rFonts w:ascii="Times New Roman" w:eastAsia="仿宋_GB2312" w:hAnsi="Times New Roman" w:cs="Times New Roman"/>
        </w:rPr>
        <w:t>三篇文章，吸引关键金融要素集聚，以协同集成提升资本配置效率，以金融</w:t>
      </w:r>
      <w:r>
        <w:rPr>
          <w:rFonts w:ascii="Times New Roman" w:eastAsia="仿宋_GB2312" w:hAnsi="Times New Roman" w:cs="Times New Roman"/>
        </w:rPr>
        <w:t>“</w:t>
      </w:r>
      <w:r>
        <w:rPr>
          <w:rFonts w:ascii="Times New Roman" w:eastAsia="仿宋_GB2312" w:hAnsi="Times New Roman" w:cs="Times New Roman"/>
        </w:rPr>
        <w:t>活水</w:t>
      </w:r>
      <w:r>
        <w:rPr>
          <w:rFonts w:ascii="Times New Roman" w:eastAsia="仿宋_GB2312" w:hAnsi="Times New Roman" w:cs="Times New Roman"/>
        </w:rPr>
        <w:t>”</w:t>
      </w:r>
      <w:r>
        <w:rPr>
          <w:rFonts w:ascii="Times New Roman" w:eastAsia="仿宋_GB2312" w:hAnsi="Times New Roman" w:cs="Times New Roman"/>
        </w:rPr>
        <w:t>提升产业能级，促进金融与实体深度融合发展，为奋力拼出</w:t>
      </w:r>
      <w:r>
        <w:rPr>
          <w:rFonts w:ascii="Times New Roman" w:eastAsia="仿宋_GB2312" w:hAnsi="Times New Roman" w:cs="Times New Roman"/>
        </w:rPr>
        <w:t>“</w:t>
      </w:r>
      <w:r>
        <w:rPr>
          <w:rFonts w:ascii="Times New Roman" w:eastAsia="仿宋_GB2312" w:hAnsi="Times New Roman" w:cs="Times New Roman"/>
        </w:rPr>
        <w:t>太仓速度</w:t>
      </w:r>
      <w:r>
        <w:rPr>
          <w:rFonts w:ascii="Times New Roman" w:eastAsia="仿宋_GB2312" w:hAnsi="Times New Roman" w:cs="Times New Roman"/>
        </w:rPr>
        <w:t>”</w:t>
      </w:r>
      <w:r>
        <w:rPr>
          <w:rFonts w:ascii="Times New Roman" w:eastAsia="仿宋_GB2312" w:hAnsi="Times New Roman" w:cs="Times New Roman"/>
        </w:rPr>
        <w:t>，在推动高质量发展、建设</w:t>
      </w:r>
      <w:r>
        <w:rPr>
          <w:rFonts w:ascii="Times New Roman" w:eastAsia="仿宋_GB2312" w:hAnsi="Times New Roman" w:cs="Times New Roman"/>
        </w:rPr>
        <w:t>“</w:t>
      </w:r>
      <w:r>
        <w:rPr>
          <w:rFonts w:ascii="Times New Roman" w:eastAsia="仿宋_GB2312" w:hAnsi="Times New Roman" w:cs="Times New Roman"/>
        </w:rPr>
        <w:t>现代田园城、幸福金太仓</w:t>
      </w:r>
      <w:r>
        <w:rPr>
          <w:rFonts w:ascii="Times New Roman" w:eastAsia="仿宋_GB2312" w:hAnsi="Times New Roman" w:cs="Times New Roman"/>
        </w:rPr>
        <w:t>”</w:t>
      </w:r>
      <w:r>
        <w:rPr>
          <w:rFonts w:ascii="Times New Roman" w:eastAsia="仿宋_GB2312" w:hAnsi="Times New Roman" w:cs="Times New Roman"/>
        </w:rPr>
        <w:t>的跑道上振翅高飞提供有力的金融支撑。</w:t>
      </w:r>
    </w:p>
    <w:p w:rsidR="0023790C" w:rsidRDefault="00972AA8">
      <w:pPr>
        <w:spacing w:line="580" w:lineRule="exact"/>
        <w:ind w:firstLineChars="200" w:firstLine="643"/>
        <w:rPr>
          <w:rFonts w:ascii="Times New Roman" w:eastAsia="仿宋_GB2312" w:hAnsi="Times New Roman" w:cs="Times New Roman"/>
          <w:b/>
        </w:rPr>
      </w:pPr>
      <w:bookmarkStart w:id="13" w:name="_Toc87626017"/>
      <w:r>
        <w:rPr>
          <w:rFonts w:ascii="Times New Roman" w:eastAsia="仿宋_GB2312" w:hAnsi="Times New Roman" w:cs="Times New Roman"/>
          <w:b/>
        </w:rPr>
        <w:t>1.</w:t>
      </w:r>
      <w:r>
        <w:rPr>
          <w:rFonts w:ascii="Times New Roman" w:eastAsia="仿宋_GB2312" w:hAnsi="Times New Roman" w:cs="Times New Roman"/>
          <w:b/>
        </w:rPr>
        <w:t>战略目标</w:t>
      </w:r>
      <w:bookmarkEnd w:id="13"/>
    </w:p>
    <w:p w:rsidR="0023790C" w:rsidRDefault="00972AA8">
      <w:pPr>
        <w:spacing w:line="580" w:lineRule="exact"/>
        <w:ind w:firstLineChars="200" w:firstLine="643"/>
        <w:rPr>
          <w:rFonts w:ascii="Times New Roman" w:eastAsia="仿宋_GB2312" w:hAnsi="Times New Roman" w:cs="Times New Roman"/>
          <w:b/>
        </w:rPr>
      </w:pPr>
      <w:r>
        <w:rPr>
          <w:rFonts w:ascii="Times New Roman" w:eastAsia="仿宋_GB2312" w:hAnsi="Times New Roman" w:cs="Times New Roman"/>
          <w:b/>
        </w:rPr>
        <w:t>（</w:t>
      </w:r>
      <w:r>
        <w:rPr>
          <w:rFonts w:ascii="Times New Roman" w:eastAsia="仿宋_GB2312" w:hAnsi="Times New Roman" w:cs="Times New Roman"/>
          <w:b/>
        </w:rPr>
        <w:t>1</w:t>
      </w:r>
      <w:r>
        <w:rPr>
          <w:rFonts w:ascii="Times New Roman" w:eastAsia="仿宋_GB2312" w:hAnsi="Times New Roman" w:cs="Times New Roman"/>
          <w:b/>
        </w:rPr>
        <w:t>）金融服务实体经济示范城市</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坚持金融服务实体经济的战略定位，构建金融、科技、产业三角互动关系，畅通资金对接实体经济渠道。积极探索金融服务创新、产品创新，多渠道、多形式扩大直接融资规模。健全完善</w:t>
      </w:r>
      <w:r>
        <w:rPr>
          <w:rFonts w:ascii="Times New Roman" w:eastAsia="仿宋_GB2312" w:hAnsi="Times New Roman" w:cs="Times New Roman"/>
        </w:rPr>
        <w:lastRenderedPageBreak/>
        <w:t>政府增信金融产品体系和政府性融资担保体系，有效降低实体经济综合融资成本，打造金融服务实体经济示范城市。</w:t>
      </w:r>
    </w:p>
    <w:p w:rsidR="0023790C" w:rsidRDefault="00972AA8">
      <w:pPr>
        <w:spacing w:line="580" w:lineRule="exact"/>
        <w:ind w:firstLineChars="200" w:firstLine="643"/>
        <w:rPr>
          <w:rFonts w:ascii="Times New Roman" w:eastAsia="仿宋_GB2312" w:hAnsi="Times New Roman" w:cs="Times New Roman"/>
          <w:b/>
        </w:rPr>
      </w:pPr>
      <w:r>
        <w:rPr>
          <w:rFonts w:ascii="Times New Roman" w:eastAsia="仿宋_GB2312" w:hAnsi="Times New Roman" w:cs="Times New Roman"/>
          <w:b/>
        </w:rPr>
        <w:t>（</w:t>
      </w:r>
      <w:r>
        <w:rPr>
          <w:rFonts w:ascii="Times New Roman" w:eastAsia="仿宋_GB2312" w:hAnsi="Times New Roman" w:cs="Times New Roman"/>
          <w:b/>
        </w:rPr>
        <w:t>2</w:t>
      </w:r>
      <w:r>
        <w:rPr>
          <w:rFonts w:ascii="Times New Roman" w:eastAsia="仿宋_GB2312" w:hAnsi="Times New Roman" w:cs="Times New Roman"/>
          <w:b/>
        </w:rPr>
        <w:t>）产业资本集聚发展示范城市</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加快推动各类法人金融机构的设立进程，不断丰富地方法人金融机构业态。发挥太仓市产业引导基金招引作用，吸引国际国内知名基金管理机构带动科创项目落户太仓。优化上市后备企业培育服务，推动企业开展并购重组。完善产业资本配套生态体系，促进资本循环支持实体，实现产业资本与金融资本的有机结合、相互促进、互补发展，打造产业资本集聚发展示范城市。</w:t>
      </w:r>
    </w:p>
    <w:p w:rsidR="0023790C" w:rsidRDefault="00972AA8">
      <w:pPr>
        <w:spacing w:line="580" w:lineRule="exact"/>
        <w:ind w:firstLineChars="200" w:firstLine="643"/>
        <w:rPr>
          <w:rFonts w:ascii="Times New Roman" w:eastAsia="仿宋_GB2312" w:hAnsi="Times New Roman" w:cs="Times New Roman"/>
          <w:b/>
        </w:rPr>
      </w:pPr>
      <w:r>
        <w:rPr>
          <w:rFonts w:ascii="Times New Roman" w:eastAsia="仿宋_GB2312" w:hAnsi="Times New Roman" w:cs="Times New Roman"/>
          <w:b/>
        </w:rPr>
        <w:t>（</w:t>
      </w:r>
      <w:r>
        <w:rPr>
          <w:rFonts w:ascii="Times New Roman" w:eastAsia="仿宋_GB2312" w:hAnsi="Times New Roman" w:cs="Times New Roman"/>
          <w:b/>
        </w:rPr>
        <w:t>3</w:t>
      </w:r>
      <w:r>
        <w:rPr>
          <w:rFonts w:ascii="Times New Roman" w:eastAsia="仿宋_GB2312" w:hAnsi="Times New Roman" w:cs="Times New Roman"/>
          <w:b/>
        </w:rPr>
        <w:t>）优质金融生态环境示范城市</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强化政府对中小金融机构的管理职责和风险处置责任，健全完善中小银行流动性风险救助机制。强化金融风险监测、分析和预警，完善金融服务基础设施，持续改善金融信用环境。加强社会信用体系建设，普及宣传金融法律知识，加大金融人才培养力度，打造优质金融生态环境示范城市。</w:t>
      </w:r>
    </w:p>
    <w:p w:rsidR="0023790C" w:rsidRDefault="00972AA8">
      <w:pPr>
        <w:spacing w:line="580" w:lineRule="exact"/>
        <w:ind w:firstLineChars="200" w:firstLine="643"/>
        <w:rPr>
          <w:rFonts w:ascii="Times New Roman" w:eastAsia="仿宋_GB2312" w:hAnsi="Times New Roman" w:cs="Times New Roman"/>
          <w:b/>
        </w:rPr>
      </w:pPr>
      <w:bookmarkStart w:id="14" w:name="_Toc87626018"/>
      <w:r>
        <w:rPr>
          <w:rFonts w:ascii="Times New Roman" w:eastAsia="仿宋_GB2312" w:hAnsi="Times New Roman" w:cs="Times New Roman"/>
          <w:b/>
        </w:rPr>
        <w:t>2.</w:t>
      </w:r>
      <w:r>
        <w:rPr>
          <w:rFonts w:ascii="Times New Roman" w:eastAsia="仿宋_GB2312" w:hAnsi="Times New Roman" w:cs="Times New Roman"/>
          <w:b/>
        </w:rPr>
        <w:t>具体目标</w:t>
      </w:r>
      <w:bookmarkEnd w:id="14"/>
    </w:p>
    <w:p w:rsidR="0023790C" w:rsidRDefault="00972AA8">
      <w:pPr>
        <w:spacing w:line="580" w:lineRule="exact"/>
        <w:ind w:firstLineChars="200" w:firstLine="643"/>
        <w:rPr>
          <w:rFonts w:ascii="Times New Roman" w:eastAsia="仿宋_GB2312" w:hAnsi="Times New Roman" w:cs="Times New Roman"/>
          <w:b/>
        </w:rPr>
      </w:pPr>
      <w:r>
        <w:rPr>
          <w:rFonts w:ascii="Times New Roman" w:eastAsia="仿宋_GB2312" w:hAnsi="Times New Roman" w:cs="Times New Roman"/>
          <w:b/>
        </w:rPr>
        <w:t>（</w:t>
      </w:r>
      <w:r>
        <w:rPr>
          <w:rFonts w:ascii="Times New Roman" w:eastAsia="仿宋_GB2312" w:hAnsi="Times New Roman" w:cs="Times New Roman"/>
          <w:b/>
        </w:rPr>
        <w:t>1</w:t>
      </w:r>
      <w:r>
        <w:rPr>
          <w:rFonts w:ascii="Times New Roman" w:eastAsia="仿宋_GB2312" w:hAnsi="Times New Roman" w:cs="Times New Roman"/>
          <w:b/>
        </w:rPr>
        <w:t>）金融产业综合实力显著提升</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力争到</w:t>
      </w:r>
      <w:r>
        <w:rPr>
          <w:rFonts w:ascii="Times New Roman" w:eastAsia="仿宋_GB2312" w:hAnsi="Times New Roman" w:cs="Times New Roman"/>
        </w:rPr>
        <w:t>2025</w:t>
      </w:r>
      <w:r>
        <w:rPr>
          <w:rFonts w:ascii="Times New Roman" w:eastAsia="仿宋_GB2312" w:hAnsi="Times New Roman" w:cs="Times New Roman"/>
        </w:rPr>
        <w:t>年，全市金融业增加值占</w:t>
      </w:r>
      <w:r>
        <w:rPr>
          <w:rFonts w:ascii="Times New Roman" w:eastAsia="仿宋_GB2312" w:hAnsi="Times New Roman" w:cs="Times New Roman"/>
        </w:rPr>
        <w:t>GDP</w:t>
      </w:r>
      <w:r>
        <w:rPr>
          <w:rFonts w:ascii="Times New Roman" w:eastAsia="仿宋_GB2312" w:hAnsi="Times New Roman" w:cs="Times New Roman"/>
        </w:rPr>
        <w:t>比重达到</w:t>
      </w:r>
      <w:r>
        <w:rPr>
          <w:rFonts w:ascii="Times New Roman" w:eastAsia="仿宋_GB2312" w:hAnsi="Times New Roman" w:cs="Times New Roman"/>
        </w:rPr>
        <w:t>10%</w:t>
      </w:r>
      <w:r>
        <w:rPr>
          <w:rFonts w:ascii="Times New Roman" w:eastAsia="仿宋_GB2312" w:hAnsi="Times New Roman" w:cs="Times New Roman"/>
        </w:rPr>
        <w:t>，全市金融机构本外币各项存贷款余额均达到</w:t>
      </w:r>
      <w:r>
        <w:rPr>
          <w:rFonts w:ascii="Times New Roman" w:eastAsia="仿宋_GB2312" w:hAnsi="Times New Roman" w:cs="Times New Roman"/>
        </w:rPr>
        <w:t>3000</w:t>
      </w:r>
      <w:r>
        <w:rPr>
          <w:rFonts w:ascii="Times New Roman" w:eastAsia="仿宋_GB2312" w:hAnsi="Times New Roman" w:cs="Times New Roman"/>
        </w:rPr>
        <w:t>亿元，全市保费收入达</w:t>
      </w:r>
      <w:r>
        <w:rPr>
          <w:rFonts w:ascii="Times New Roman" w:eastAsia="仿宋_GB2312" w:hAnsi="Times New Roman" w:cs="Times New Roman"/>
        </w:rPr>
        <w:t>40</w:t>
      </w:r>
      <w:r>
        <w:rPr>
          <w:rFonts w:ascii="Times New Roman" w:eastAsia="仿宋_GB2312" w:hAnsi="Times New Roman" w:cs="Times New Roman"/>
        </w:rPr>
        <w:t>亿元。</w:t>
      </w:r>
    </w:p>
    <w:p w:rsidR="0023790C" w:rsidRDefault="00972AA8">
      <w:pPr>
        <w:spacing w:line="580" w:lineRule="exact"/>
        <w:ind w:firstLineChars="200" w:firstLine="643"/>
        <w:rPr>
          <w:rFonts w:ascii="Times New Roman" w:eastAsia="仿宋_GB2312" w:hAnsi="Times New Roman" w:cs="Times New Roman"/>
          <w:b/>
        </w:rPr>
      </w:pPr>
      <w:r>
        <w:rPr>
          <w:rFonts w:ascii="Times New Roman" w:eastAsia="仿宋_GB2312" w:hAnsi="Times New Roman" w:cs="Times New Roman"/>
          <w:b/>
        </w:rPr>
        <w:t>（</w:t>
      </w:r>
      <w:r>
        <w:rPr>
          <w:rFonts w:ascii="Times New Roman" w:eastAsia="仿宋_GB2312" w:hAnsi="Times New Roman" w:cs="Times New Roman"/>
          <w:b/>
        </w:rPr>
        <w:t>2</w:t>
      </w:r>
      <w:r>
        <w:rPr>
          <w:rFonts w:ascii="Times New Roman" w:eastAsia="仿宋_GB2312" w:hAnsi="Times New Roman" w:cs="Times New Roman"/>
          <w:b/>
        </w:rPr>
        <w:t>）金融机构总体实力显著提升</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力争到</w:t>
      </w:r>
      <w:r>
        <w:rPr>
          <w:rFonts w:ascii="Times New Roman" w:eastAsia="仿宋_GB2312" w:hAnsi="Times New Roman" w:cs="Times New Roman"/>
        </w:rPr>
        <w:t>2025</w:t>
      </w:r>
      <w:r>
        <w:rPr>
          <w:rFonts w:ascii="Times New Roman" w:eastAsia="仿宋_GB2312" w:hAnsi="Times New Roman" w:cs="Times New Roman"/>
        </w:rPr>
        <w:t>年，全市期货公司、小额贷款公司、融资担保</w:t>
      </w:r>
      <w:r>
        <w:rPr>
          <w:rFonts w:ascii="Times New Roman" w:eastAsia="仿宋_GB2312" w:hAnsi="Times New Roman" w:cs="Times New Roman"/>
        </w:rPr>
        <w:lastRenderedPageBreak/>
        <w:t>公司、融资租赁公司、中介服务机构等得到稳步发展，形成各类金融机构集聚、金融功能完善的金融机构体系。</w:t>
      </w:r>
    </w:p>
    <w:p w:rsidR="0023790C" w:rsidRDefault="00972AA8">
      <w:pPr>
        <w:spacing w:line="580" w:lineRule="exact"/>
        <w:ind w:firstLineChars="200" w:firstLine="643"/>
        <w:rPr>
          <w:rFonts w:ascii="Times New Roman" w:eastAsia="仿宋_GB2312" w:hAnsi="Times New Roman" w:cs="Times New Roman"/>
          <w:b/>
        </w:rPr>
      </w:pPr>
      <w:r>
        <w:rPr>
          <w:rFonts w:ascii="Times New Roman" w:eastAsia="仿宋_GB2312" w:hAnsi="Times New Roman" w:cs="Times New Roman"/>
          <w:b/>
        </w:rPr>
        <w:t>（</w:t>
      </w:r>
      <w:r>
        <w:rPr>
          <w:rFonts w:ascii="Times New Roman" w:eastAsia="仿宋_GB2312" w:hAnsi="Times New Roman" w:cs="Times New Roman"/>
          <w:b/>
        </w:rPr>
        <w:t>3</w:t>
      </w:r>
      <w:r>
        <w:rPr>
          <w:rFonts w:ascii="Times New Roman" w:eastAsia="仿宋_GB2312" w:hAnsi="Times New Roman" w:cs="Times New Roman"/>
          <w:b/>
        </w:rPr>
        <w:t>）企业上市挂牌数量显著提升</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力争到</w:t>
      </w:r>
      <w:r>
        <w:rPr>
          <w:rFonts w:ascii="Times New Roman" w:eastAsia="仿宋_GB2312" w:hAnsi="Times New Roman" w:cs="Times New Roman"/>
        </w:rPr>
        <w:t>2025</w:t>
      </w:r>
      <w:r>
        <w:rPr>
          <w:rFonts w:ascii="Times New Roman" w:eastAsia="仿宋_GB2312" w:hAnsi="Times New Roman" w:cs="Times New Roman"/>
        </w:rPr>
        <w:t>年，全市在境内外证券交易所上市的企业达到</w:t>
      </w:r>
      <w:r>
        <w:rPr>
          <w:rFonts w:ascii="Times New Roman" w:eastAsia="仿宋_GB2312" w:hAnsi="Times New Roman" w:cs="Times New Roman" w:hint="eastAsia"/>
        </w:rPr>
        <w:t>20</w:t>
      </w:r>
      <w:r>
        <w:rPr>
          <w:rFonts w:ascii="Times New Roman" w:eastAsia="仿宋_GB2312" w:hAnsi="Times New Roman" w:cs="Times New Roman"/>
        </w:rPr>
        <w:t>家，上市公司总市值规模超</w:t>
      </w:r>
      <w:r>
        <w:rPr>
          <w:rFonts w:ascii="Times New Roman" w:eastAsia="仿宋_GB2312" w:hAnsi="Times New Roman" w:cs="Times New Roman"/>
        </w:rPr>
        <w:t>1000</w:t>
      </w:r>
      <w:r>
        <w:rPr>
          <w:rFonts w:ascii="Times New Roman" w:eastAsia="仿宋_GB2312" w:hAnsi="Times New Roman" w:cs="Times New Roman"/>
        </w:rPr>
        <w:t>亿元，上市公司规模实力明显提升。</w:t>
      </w:r>
    </w:p>
    <w:p w:rsidR="0023790C" w:rsidRDefault="00972AA8">
      <w:pPr>
        <w:spacing w:line="580" w:lineRule="exact"/>
        <w:ind w:firstLineChars="200" w:firstLine="643"/>
        <w:rPr>
          <w:rFonts w:ascii="Times New Roman" w:eastAsia="仿宋_GB2312" w:hAnsi="Times New Roman" w:cs="Times New Roman"/>
          <w:b/>
        </w:rPr>
      </w:pPr>
      <w:r>
        <w:rPr>
          <w:rFonts w:ascii="Times New Roman" w:eastAsia="仿宋_GB2312" w:hAnsi="Times New Roman" w:cs="Times New Roman"/>
          <w:b/>
        </w:rPr>
        <w:t>（</w:t>
      </w:r>
      <w:r>
        <w:rPr>
          <w:rFonts w:ascii="Times New Roman" w:eastAsia="仿宋_GB2312" w:hAnsi="Times New Roman" w:cs="Times New Roman"/>
          <w:b/>
        </w:rPr>
        <w:t>4</w:t>
      </w:r>
      <w:r>
        <w:rPr>
          <w:rFonts w:ascii="Times New Roman" w:eastAsia="仿宋_GB2312" w:hAnsi="Times New Roman" w:cs="Times New Roman"/>
          <w:b/>
        </w:rPr>
        <w:t>）股权基金引育质效显著提升</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力争到</w:t>
      </w:r>
      <w:r>
        <w:rPr>
          <w:rFonts w:ascii="Times New Roman" w:eastAsia="仿宋_GB2312" w:hAnsi="Times New Roman" w:cs="Times New Roman"/>
        </w:rPr>
        <w:t>2025</w:t>
      </w:r>
      <w:r>
        <w:rPr>
          <w:rFonts w:ascii="Times New Roman" w:eastAsia="仿宋_GB2312" w:hAnsi="Times New Roman" w:cs="Times New Roman"/>
        </w:rPr>
        <w:t>年，产业引导基金快速增长，投资成立产业引导子基金</w:t>
      </w:r>
      <w:r>
        <w:rPr>
          <w:rFonts w:ascii="Times New Roman" w:eastAsia="仿宋_GB2312" w:hAnsi="Times New Roman" w:cs="Times New Roman"/>
        </w:rPr>
        <w:t>20</w:t>
      </w:r>
      <w:r>
        <w:rPr>
          <w:rFonts w:ascii="Times New Roman" w:eastAsia="仿宋_GB2312" w:hAnsi="Times New Roman" w:cs="Times New Roman"/>
        </w:rPr>
        <w:t>支，产业引导基金及子基金总规模达到</w:t>
      </w:r>
      <w:r>
        <w:rPr>
          <w:rFonts w:ascii="Times New Roman" w:eastAsia="仿宋_GB2312" w:hAnsi="Times New Roman" w:cs="Times New Roman"/>
        </w:rPr>
        <w:t>500</w:t>
      </w:r>
      <w:r>
        <w:rPr>
          <w:rFonts w:ascii="Times New Roman" w:eastAsia="仿宋_GB2312" w:hAnsi="Times New Roman" w:cs="Times New Roman"/>
        </w:rPr>
        <w:t>亿元。</w:t>
      </w:r>
    </w:p>
    <w:p w:rsidR="0023790C" w:rsidRDefault="00972AA8">
      <w:pPr>
        <w:spacing w:line="580" w:lineRule="exact"/>
        <w:ind w:firstLineChars="200" w:firstLine="643"/>
        <w:rPr>
          <w:rFonts w:ascii="Times New Roman" w:eastAsia="仿宋_GB2312" w:hAnsi="Times New Roman" w:cs="Times New Roman"/>
          <w:b/>
        </w:rPr>
      </w:pPr>
      <w:r>
        <w:rPr>
          <w:rFonts w:ascii="Times New Roman" w:eastAsia="仿宋_GB2312" w:hAnsi="Times New Roman" w:cs="Times New Roman"/>
          <w:b/>
        </w:rPr>
        <w:t>（</w:t>
      </w:r>
      <w:r>
        <w:rPr>
          <w:rFonts w:ascii="Times New Roman" w:eastAsia="仿宋_GB2312" w:hAnsi="Times New Roman" w:cs="Times New Roman"/>
          <w:b/>
        </w:rPr>
        <w:t>5</w:t>
      </w:r>
      <w:r>
        <w:rPr>
          <w:rFonts w:ascii="Times New Roman" w:eastAsia="仿宋_GB2312" w:hAnsi="Times New Roman" w:cs="Times New Roman"/>
          <w:b/>
        </w:rPr>
        <w:t>）金融生态环境建设走在前列</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力争到</w:t>
      </w:r>
      <w:r>
        <w:rPr>
          <w:rFonts w:ascii="Times New Roman" w:eastAsia="仿宋_GB2312" w:hAnsi="Times New Roman" w:cs="Times New Roman"/>
        </w:rPr>
        <w:t>2025</w:t>
      </w:r>
      <w:r>
        <w:rPr>
          <w:rFonts w:ascii="Times New Roman" w:eastAsia="仿宋_GB2312" w:hAnsi="Times New Roman" w:cs="Times New Roman"/>
        </w:rPr>
        <w:t>年，建立以政府监管、行业自律、市场主体自我约束和社会监督组成的全方位监管体系和模式，银行业不良率维持在较低水平，保险市场秩序总体稳定，严厉打击非法集资等非法金融活动，</w:t>
      </w:r>
      <w:r>
        <w:rPr>
          <w:rFonts w:ascii="Times New Roman" w:eastAsia="仿宋_GB2312" w:hAnsi="Times New Roman" w:cs="Times New Roman"/>
          <w:szCs w:val="32"/>
        </w:rPr>
        <w:t>在营造</w:t>
      </w:r>
      <w:r>
        <w:rPr>
          <w:rFonts w:ascii="Times New Roman" w:eastAsia="仿宋_GB2312" w:hAnsi="Times New Roman" w:cs="Times New Roman"/>
          <w:szCs w:val="32"/>
        </w:rPr>
        <w:t>“</w:t>
      </w:r>
      <w:r>
        <w:rPr>
          <w:rFonts w:ascii="Times New Roman" w:eastAsia="仿宋_GB2312" w:hAnsi="Times New Roman" w:cs="Times New Roman"/>
          <w:szCs w:val="32"/>
        </w:rPr>
        <w:t>最安心</w:t>
      </w:r>
      <w:r>
        <w:rPr>
          <w:rFonts w:ascii="Times New Roman" w:eastAsia="仿宋_GB2312" w:hAnsi="Times New Roman" w:cs="Times New Roman"/>
          <w:szCs w:val="32"/>
        </w:rPr>
        <w:t>”</w:t>
      </w:r>
      <w:r>
        <w:rPr>
          <w:rFonts w:ascii="Times New Roman" w:eastAsia="仿宋_GB2312" w:hAnsi="Times New Roman" w:cs="Times New Roman"/>
        </w:rPr>
        <w:t>金融生态环境方面始终走在前列。</w:t>
      </w:r>
    </w:p>
    <w:p w:rsidR="0023790C" w:rsidRDefault="00972AA8">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w:t>
      </w:r>
      <w:r>
        <w:rPr>
          <w:rFonts w:ascii="Times New Roman" w:eastAsia="仿宋_GB2312" w:hAnsi="Times New Roman" w:cs="Times New Roman"/>
        </w:rPr>
        <w:t>十四五</w:t>
      </w:r>
      <w:r>
        <w:rPr>
          <w:rFonts w:ascii="Times New Roman" w:eastAsia="仿宋_GB2312" w:hAnsi="Times New Roman" w:cs="Times New Roman"/>
        </w:rPr>
        <w:t>”</w:t>
      </w:r>
      <w:r>
        <w:rPr>
          <w:rFonts w:ascii="Times New Roman" w:eastAsia="仿宋_GB2312" w:hAnsi="Times New Roman" w:cs="Times New Roman"/>
        </w:rPr>
        <w:t>太仓市金融业发展主要预期指标如表</w:t>
      </w:r>
      <w:r>
        <w:rPr>
          <w:rFonts w:ascii="Times New Roman" w:eastAsia="仿宋_GB2312" w:hAnsi="Times New Roman" w:cs="Times New Roman"/>
        </w:rPr>
        <w:t>2</w:t>
      </w:r>
      <w:r>
        <w:rPr>
          <w:rFonts w:ascii="Times New Roman" w:eastAsia="仿宋_GB2312" w:hAnsi="Times New Roman" w:cs="Times New Roman"/>
        </w:rPr>
        <w:t>所示。</w:t>
      </w:r>
    </w:p>
    <w:p w:rsidR="0023790C" w:rsidRDefault="0023790C">
      <w:pPr>
        <w:jc w:val="center"/>
        <w:rPr>
          <w:rFonts w:ascii="Times New Roman" w:eastAsia="黑体" w:hAnsi="Times New Roman" w:cs="Times New Roman"/>
          <w:sz w:val="28"/>
          <w:szCs w:val="28"/>
        </w:rPr>
      </w:pPr>
    </w:p>
    <w:p w:rsidR="0023790C" w:rsidRDefault="0023790C">
      <w:pPr>
        <w:jc w:val="center"/>
        <w:rPr>
          <w:rFonts w:ascii="Times New Roman" w:eastAsia="黑体" w:hAnsi="Times New Roman" w:cs="Times New Roman"/>
          <w:sz w:val="28"/>
          <w:szCs w:val="28"/>
        </w:rPr>
      </w:pPr>
    </w:p>
    <w:p w:rsidR="0023790C" w:rsidRDefault="0023790C">
      <w:pPr>
        <w:jc w:val="center"/>
        <w:rPr>
          <w:rFonts w:ascii="Times New Roman" w:eastAsia="黑体" w:hAnsi="Times New Roman" w:cs="Times New Roman"/>
          <w:sz w:val="28"/>
          <w:szCs w:val="28"/>
        </w:rPr>
      </w:pPr>
    </w:p>
    <w:p w:rsidR="0023790C" w:rsidRDefault="0023790C">
      <w:pPr>
        <w:jc w:val="center"/>
        <w:rPr>
          <w:rFonts w:ascii="Times New Roman" w:eastAsia="黑体" w:hAnsi="Times New Roman" w:cs="Times New Roman"/>
          <w:sz w:val="28"/>
          <w:szCs w:val="28"/>
        </w:rPr>
      </w:pPr>
    </w:p>
    <w:p w:rsidR="0023790C" w:rsidRDefault="0023790C">
      <w:pPr>
        <w:jc w:val="center"/>
        <w:rPr>
          <w:rFonts w:ascii="Times New Roman" w:eastAsia="黑体" w:hAnsi="Times New Roman" w:cs="Times New Roman"/>
          <w:sz w:val="28"/>
          <w:szCs w:val="28"/>
        </w:rPr>
      </w:pPr>
    </w:p>
    <w:p w:rsidR="0023790C" w:rsidRDefault="0023790C">
      <w:pPr>
        <w:jc w:val="center"/>
        <w:rPr>
          <w:rFonts w:ascii="Times New Roman" w:eastAsia="黑体" w:hAnsi="Times New Roman" w:cs="Times New Roman"/>
          <w:sz w:val="28"/>
          <w:szCs w:val="28"/>
        </w:rPr>
      </w:pPr>
    </w:p>
    <w:p w:rsidR="0023790C" w:rsidRDefault="0023790C">
      <w:pPr>
        <w:jc w:val="center"/>
        <w:rPr>
          <w:rFonts w:ascii="Times New Roman" w:eastAsia="黑体" w:hAnsi="Times New Roman" w:cs="Times New Roman"/>
          <w:sz w:val="28"/>
          <w:szCs w:val="28"/>
        </w:rPr>
      </w:pPr>
    </w:p>
    <w:p w:rsidR="0023790C" w:rsidRDefault="0023790C">
      <w:pPr>
        <w:jc w:val="center"/>
        <w:rPr>
          <w:rFonts w:ascii="Times New Roman" w:eastAsia="黑体" w:hAnsi="Times New Roman" w:cs="Times New Roman"/>
          <w:sz w:val="28"/>
          <w:szCs w:val="28"/>
        </w:rPr>
      </w:pPr>
    </w:p>
    <w:p w:rsidR="0023790C" w:rsidRDefault="0023790C">
      <w:pPr>
        <w:jc w:val="center"/>
        <w:rPr>
          <w:rFonts w:ascii="Times New Roman" w:eastAsia="黑体" w:hAnsi="Times New Roman" w:cs="Times New Roman"/>
          <w:sz w:val="28"/>
          <w:szCs w:val="28"/>
        </w:rPr>
      </w:pPr>
    </w:p>
    <w:p w:rsidR="0023790C" w:rsidRDefault="0023790C">
      <w:pPr>
        <w:jc w:val="center"/>
        <w:rPr>
          <w:rFonts w:ascii="Times New Roman" w:eastAsia="黑体" w:hAnsi="Times New Roman" w:cs="Times New Roman"/>
          <w:sz w:val="28"/>
          <w:szCs w:val="28"/>
        </w:rPr>
      </w:pPr>
    </w:p>
    <w:p w:rsidR="0023790C" w:rsidRDefault="00972AA8">
      <w:pPr>
        <w:jc w:val="center"/>
        <w:rPr>
          <w:rFonts w:ascii="Times New Roman" w:eastAsia="黑体" w:hAnsi="Times New Roman" w:cs="Times New Roman"/>
          <w:sz w:val="28"/>
          <w:szCs w:val="28"/>
        </w:rPr>
      </w:pPr>
      <w:r>
        <w:rPr>
          <w:rFonts w:ascii="Times New Roman" w:eastAsia="黑体" w:hAnsi="Times New Roman" w:cs="Times New Roman"/>
          <w:sz w:val="28"/>
          <w:szCs w:val="28"/>
        </w:rPr>
        <w:lastRenderedPageBreak/>
        <w:t>表</w:t>
      </w:r>
      <w:r>
        <w:rPr>
          <w:rFonts w:ascii="Times New Roman" w:eastAsia="黑体" w:hAnsi="Times New Roman" w:cs="Times New Roman"/>
          <w:sz w:val="28"/>
          <w:szCs w:val="28"/>
        </w:rPr>
        <w:t xml:space="preserve">2 </w:t>
      </w:r>
      <w:r>
        <w:rPr>
          <w:rFonts w:ascii="Times New Roman" w:eastAsia="黑体" w:hAnsi="Times New Roman" w:cs="Times New Roman"/>
          <w:sz w:val="28"/>
          <w:szCs w:val="28"/>
        </w:rPr>
        <w:t>太仓市</w:t>
      </w:r>
      <w:r>
        <w:rPr>
          <w:rFonts w:ascii="Times New Roman" w:eastAsia="黑体" w:hAnsi="Times New Roman" w:cs="Times New Roman"/>
          <w:sz w:val="28"/>
          <w:szCs w:val="28"/>
        </w:rPr>
        <w:t>“</w:t>
      </w:r>
      <w:r>
        <w:rPr>
          <w:rFonts w:ascii="Times New Roman" w:eastAsia="黑体" w:hAnsi="Times New Roman" w:cs="Times New Roman"/>
          <w:sz w:val="28"/>
          <w:szCs w:val="28"/>
        </w:rPr>
        <w:t>十四五</w:t>
      </w:r>
      <w:r>
        <w:rPr>
          <w:rFonts w:ascii="Times New Roman" w:eastAsia="黑体" w:hAnsi="Times New Roman" w:cs="Times New Roman"/>
          <w:sz w:val="28"/>
          <w:szCs w:val="28"/>
        </w:rPr>
        <w:t>”</w:t>
      </w:r>
      <w:r>
        <w:rPr>
          <w:rFonts w:ascii="Times New Roman" w:eastAsia="黑体" w:hAnsi="Times New Roman" w:cs="Times New Roman"/>
          <w:sz w:val="28"/>
          <w:szCs w:val="28"/>
        </w:rPr>
        <w:t>金融业发展主要指标</w:t>
      </w:r>
    </w:p>
    <w:tbl>
      <w:tblPr>
        <w:tblW w:w="8613"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1384"/>
        <w:gridCol w:w="4144"/>
        <w:gridCol w:w="1433"/>
        <w:gridCol w:w="1652"/>
      </w:tblGrid>
      <w:tr w:rsidR="0023790C">
        <w:trPr>
          <w:cantSplit/>
          <w:trHeight w:val="283"/>
          <w:jc w:val="center"/>
        </w:trPr>
        <w:tc>
          <w:tcPr>
            <w:tcW w:w="5528" w:type="dxa"/>
            <w:gridSpan w:val="2"/>
            <w:shd w:val="clear" w:color="auto" w:fill="auto"/>
            <w:vAlign w:val="center"/>
          </w:tcPr>
          <w:p w:rsidR="0023790C" w:rsidRDefault="00972AA8">
            <w:pPr>
              <w:jc w:val="center"/>
              <w:rPr>
                <w:rFonts w:ascii="Times New Roman" w:eastAsia="仿宋_GB2312" w:hAnsi="Times New Roman" w:cs="Times New Roman"/>
                <w:b/>
                <w:sz w:val="24"/>
              </w:rPr>
            </w:pPr>
            <w:r>
              <w:rPr>
                <w:rFonts w:ascii="Times New Roman" w:eastAsia="仿宋_GB2312" w:hAnsi="Times New Roman" w:cs="Times New Roman"/>
                <w:b/>
                <w:sz w:val="24"/>
              </w:rPr>
              <w:t>指标</w:t>
            </w:r>
          </w:p>
        </w:tc>
        <w:tc>
          <w:tcPr>
            <w:tcW w:w="1433" w:type="dxa"/>
            <w:shd w:val="clear" w:color="auto" w:fill="auto"/>
            <w:vAlign w:val="center"/>
          </w:tcPr>
          <w:p w:rsidR="0023790C" w:rsidRDefault="00972AA8">
            <w:pPr>
              <w:jc w:val="center"/>
              <w:rPr>
                <w:rFonts w:ascii="Times New Roman" w:eastAsia="仿宋_GB2312" w:hAnsi="Times New Roman" w:cs="Times New Roman"/>
                <w:b/>
                <w:sz w:val="24"/>
              </w:rPr>
            </w:pPr>
            <w:r>
              <w:rPr>
                <w:rFonts w:ascii="Times New Roman" w:eastAsia="仿宋_GB2312" w:hAnsi="Times New Roman" w:cs="Times New Roman"/>
                <w:b/>
                <w:sz w:val="24"/>
              </w:rPr>
              <w:t>“</w:t>
            </w:r>
            <w:r>
              <w:rPr>
                <w:rFonts w:ascii="Times New Roman" w:eastAsia="仿宋_GB2312" w:hAnsi="Times New Roman" w:cs="Times New Roman"/>
                <w:b/>
                <w:sz w:val="24"/>
              </w:rPr>
              <w:t>十三五</w:t>
            </w:r>
            <w:r>
              <w:rPr>
                <w:rFonts w:ascii="Times New Roman" w:eastAsia="仿宋_GB2312" w:hAnsi="Times New Roman" w:cs="Times New Roman"/>
                <w:b/>
                <w:sz w:val="24"/>
              </w:rPr>
              <w:t>”</w:t>
            </w:r>
            <w:r>
              <w:rPr>
                <w:rFonts w:ascii="Times New Roman" w:eastAsia="仿宋_GB2312" w:hAnsi="Times New Roman" w:cs="Times New Roman"/>
                <w:b/>
                <w:sz w:val="24"/>
              </w:rPr>
              <w:t>末</w:t>
            </w:r>
          </w:p>
        </w:tc>
        <w:tc>
          <w:tcPr>
            <w:tcW w:w="1652" w:type="dxa"/>
            <w:shd w:val="clear" w:color="auto" w:fill="auto"/>
            <w:vAlign w:val="center"/>
          </w:tcPr>
          <w:p w:rsidR="0023790C" w:rsidRDefault="00972AA8">
            <w:pPr>
              <w:jc w:val="center"/>
              <w:rPr>
                <w:rFonts w:ascii="Times New Roman" w:eastAsia="仿宋_GB2312" w:hAnsi="Times New Roman" w:cs="Times New Roman"/>
                <w:b/>
                <w:sz w:val="24"/>
              </w:rPr>
            </w:pPr>
            <w:r>
              <w:rPr>
                <w:rFonts w:ascii="Times New Roman" w:eastAsia="仿宋_GB2312" w:hAnsi="Times New Roman" w:cs="Times New Roman"/>
                <w:b/>
                <w:sz w:val="24"/>
              </w:rPr>
              <w:t>“</w:t>
            </w:r>
            <w:r>
              <w:rPr>
                <w:rFonts w:ascii="Times New Roman" w:eastAsia="仿宋_GB2312" w:hAnsi="Times New Roman" w:cs="Times New Roman"/>
                <w:b/>
                <w:sz w:val="24"/>
              </w:rPr>
              <w:t>十四五</w:t>
            </w:r>
            <w:r>
              <w:rPr>
                <w:rFonts w:ascii="Times New Roman" w:eastAsia="仿宋_GB2312" w:hAnsi="Times New Roman" w:cs="Times New Roman"/>
                <w:b/>
                <w:sz w:val="24"/>
              </w:rPr>
              <w:t>”</w:t>
            </w:r>
            <w:r>
              <w:rPr>
                <w:rFonts w:ascii="Times New Roman" w:eastAsia="仿宋_GB2312" w:hAnsi="Times New Roman" w:cs="Times New Roman"/>
                <w:b/>
                <w:sz w:val="24"/>
              </w:rPr>
              <w:t>末</w:t>
            </w:r>
          </w:p>
        </w:tc>
      </w:tr>
      <w:tr w:rsidR="0023790C">
        <w:trPr>
          <w:cantSplit/>
          <w:trHeight w:val="283"/>
          <w:jc w:val="center"/>
        </w:trPr>
        <w:tc>
          <w:tcPr>
            <w:tcW w:w="1384" w:type="dxa"/>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综合</w:t>
            </w:r>
          </w:p>
        </w:tc>
        <w:tc>
          <w:tcPr>
            <w:tcW w:w="4144" w:type="dxa"/>
            <w:shd w:val="clear" w:color="auto" w:fill="auto"/>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1</w:t>
            </w:r>
            <w:r>
              <w:rPr>
                <w:rFonts w:ascii="Times New Roman" w:eastAsia="仿宋_GB2312" w:hAnsi="Times New Roman" w:cs="Times New Roman"/>
                <w:sz w:val="24"/>
              </w:rPr>
              <w:t>金融业增加值占</w:t>
            </w:r>
            <w:r>
              <w:rPr>
                <w:rFonts w:ascii="Times New Roman" w:eastAsia="仿宋_GB2312" w:hAnsi="Times New Roman" w:cs="Times New Roman"/>
                <w:sz w:val="24"/>
              </w:rPr>
              <w:t>GDP</w:t>
            </w:r>
            <w:r>
              <w:rPr>
                <w:rFonts w:ascii="Times New Roman" w:eastAsia="仿宋_GB2312" w:hAnsi="Times New Roman" w:cs="Times New Roman"/>
                <w:sz w:val="24"/>
              </w:rPr>
              <w:t>比重（</w:t>
            </w:r>
            <w:r>
              <w:rPr>
                <w:rFonts w:ascii="Times New Roman" w:eastAsia="仿宋_GB2312" w:hAnsi="Times New Roman" w:cs="Times New Roman"/>
                <w:sz w:val="24"/>
              </w:rPr>
              <w:t>%</w:t>
            </w:r>
            <w:r>
              <w:rPr>
                <w:rFonts w:ascii="Times New Roman" w:eastAsia="仿宋_GB2312" w:hAnsi="Times New Roman" w:cs="Times New Roman"/>
                <w:sz w:val="24"/>
              </w:rPr>
              <w:t>）</w:t>
            </w:r>
          </w:p>
        </w:tc>
        <w:tc>
          <w:tcPr>
            <w:tcW w:w="1433" w:type="dxa"/>
            <w:tcBorders>
              <w:bottom w:val="single" w:sz="6" w:space="0" w:color="auto"/>
            </w:tcBorders>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8.53%</w:t>
            </w:r>
          </w:p>
        </w:tc>
        <w:tc>
          <w:tcPr>
            <w:tcW w:w="1652" w:type="dxa"/>
            <w:tcBorders>
              <w:bottom w:val="single" w:sz="6" w:space="0" w:color="auto"/>
            </w:tcBorders>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10%</w:t>
            </w:r>
          </w:p>
        </w:tc>
      </w:tr>
      <w:tr w:rsidR="0023790C">
        <w:trPr>
          <w:cantSplit/>
          <w:trHeight w:val="283"/>
          <w:jc w:val="center"/>
        </w:trPr>
        <w:tc>
          <w:tcPr>
            <w:tcW w:w="1384" w:type="dxa"/>
            <w:vMerge w:val="restart"/>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银行</w:t>
            </w:r>
          </w:p>
        </w:tc>
        <w:tc>
          <w:tcPr>
            <w:tcW w:w="4144" w:type="dxa"/>
            <w:shd w:val="clear" w:color="auto" w:fill="auto"/>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2</w:t>
            </w:r>
            <w:r>
              <w:rPr>
                <w:rFonts w:ascii="Times New Roman" w:eastAsia="仿宋_GB2312" w:hAnsi="Times New Roman" w:cs="Times New Roman"/>
                <w:sz w:val="24"/>
              </w:rPr>
              <w:t>银行业机构（家）</w:t>
            </w:r>
          </w:p>
        </w:tc>
        <w:tc>
          <w:tcPr>
            <w:tcW w:w="1433" w:type="dxa"/>
            <w:tcBorders>
              <w:top w:val="single" w:sz="6" w:space="0" w:color="auto"/>
              <w:bottom w:val="single" w:sz="6" w:space="0" w:color="auto"/>
            </w:tcBorders>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29</w:t>
            </w:r>
          </w:p>
        </w:tc>
        <w:tc>
          <w:tcPr>
            <w:tcW w:w="1652"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30</w:t>
            </w:r>
          </w:p>
        </w:tc>
      </w:tr>
      <w:tr w:rsidR="0023790C">
        <w:trPr>
          <w:cantSplit/>
          <w:trHeight w:val="283"/>
          <w:jc w:val="center"/>
        </w:trPr>
        <w:tc>
          <w:tcPr>
            <w:tcW w:w="1384" w:type="dxa"/>
            <w:vMerge/>
            <w:vAlign w:val="center"/>
          </w:tcPr>
          <w:p w:rsidR="0023790C" w:rsidRDefault="0023790C">
            <w:pPr>
              <w:jc w:val="center"/>
              <w:rPr>
                <w:rFonts w:ascii="Times New Roman" w:eastAsia="仿宋_GB2312" w:hAnsi="Times New Roman" w:cs="Times New Roman"/>
                <w:sz w:val="24"/>
              </w:rPr>
            </w:pPr>
          </w:p>
        </w:tc>
        <w:tc>
          <w:tcPr>
            <w:tcW w:w="4144" w:type="dxa"/>
            <w:tcBorders>
              <w:right w:val="single" w:sz="6" w:space="0" w:color="auto"/>
            </w:tcBorders>
            <w:shd w:val="clear" w:color="auto" w:fill="auto"/>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3</w:t>
            </w:r>
            <w:r>
              <w:rPr>
                <w:rFonts w:ascii="Times New Roman" w:eastAsia="仿宋_GB2312" w:hAnsi="Times New Roman" w:cs="Times New Roman"/>
                <w:sz w:val="24"/>
              </w:rPr>
              <w:t>本外币存款规模（亿元）</w:t>
            </w:r>
          </w:p>
        </w:tc>
        <w:tc>
          <w:tcPr>
            <w:tcW w:w="1433" w:type="dxa"/>
            <w:tcBorders>
              <w:top w:val="single" w:sz="6" w:space="0" w:color="auto"/>
              <w:left w:val="single" w:sz="6" w:space="0" w:color="auto"/>
              <w:bottom w:val="single" w:sz="6" w:space="0" w:color="auto"/>
              <w:right w:val="single" w:sz="6" w:space="0" w:color="auto"/>
            </w:tcBorders>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1930.87</w:t>
            </w:r>
          </w:p>
        </w:tc>
        <w:tc>
          <w:tcPr>
            <w:tcW w:w="1652" w:type="dxa"/>
            <w:tcBorders>
              <w:top w:val="single" w:sz="6" w:space="0" w:color="auto"/>
              <w:left w:val="single" w:sz="6" w:space="0" w:color="auto"/>
              <w:bottom w:val="single" w:sz="6" w:space="0" w:color="auto"/>
              <w:right w:val="single" w:sz="6" w:space="0" w:color="auto"/>
            </w:tcBorders>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3000</w:t>
            </w:r>
          </w:p>
        </w:tc>
      </w:tr>
      <w:tr w:rsidR="0023790C">
        <w:trPr>
          <w:cantSplit/>
          <w:trHeight w:val="283"/>
          <w:jc w:val="center"/>
        </w:trPr>
        <w:tc>
          <w:tcPr>
            <w:tcW w:w="1384" w:type="dxa"/>
            <w:vMerge/>
            <w:vAlign w:val="center"/>
          </w:tcPr>
          <w:p w:rsidR="0023790C" w:rsidRDefault="0023790C">
            <w:pPr>
              <w:jc w:val="center"/>
              <w:rPr>
                <w:rFonts w:ascii="Times New Roman" w:eastAsia="仿宋_GB2312" w:hAnsi="Times New Roman" w:cs="Times New Roman"/>
                <w:sz w:val="24"/>
              </w:rPr>
            </w:pPr>
          </w:p>
        </w:tc>
        <w:tc>
          <w:tcPr>
            <w:tcW w:w="4144" w:type="dxa"/>
            <w:tcBorders>
              <w:right w:val="single" w:sz="6" w:space="0" w:color="auto"/>
            </w:tcBorders>
            <w:shd w:val="clear" w:color="auto" w:fill="auto"/>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4</w:t>
            </w:r>
            <w:r>
              <w:rPr>
                <w:rFonts w:ascii="Times New Roman" w:eastAsia="仿宋_GB2312" w:hAnsi="Times New Roman" w:cs="Times New Roman"/>
                <w:sz w:val="24"/>
              </w:rPr>
              <w:t>本外币贷款规模（亿元）</w:t>
            </w:r>
          </w:p>
        </w:tc>
        <w:tc>
          <w:tcPr>
            <w:tcW w:w="1433" w:type="dxa"/>
            <w:tcBorders>
              <w:top w:val="single" w:sz="6" w:space="0" w:color="auto"/>
              <w:left w:val="single" w:sz="6" w:space="0" w:color="auto"/>
              <w:bottom w:val="single" w:sz="6" w:space="0" w:color="auto"/>
              <w:right w:val="single" w:sz="6" w:space="0" w:color="auto"/>
            </w:tcBorders>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1875.41</w:t>
            </w:r>
          </w:p>
        </w:tc>
        <w:tc>
          <w:tcPr>
            <w:tcW w:w="1652" w:type="dxa"/>
            <w:tcBorders>
              <w:top w:val="single" w:sz="6" w:space="0" w:color="auto"/>
              <w:left w:val="single" w:sz="6" w:space="0" w:color="auto"/>
              <w:bottom w:val="single" w:sz="6" w:space="0" w:color="auto"/>
              <w:right w:val="single" w:sz="6" w:space="0" w:color="auto"/>
            </w:tcBorders>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3000</w:t>
            </w:r>
          </w:p>
        </w:tc>
      </w:tr>
      <w:tr w:rsidR="0023790C">
        <w:trPr>
          <w:cantSplit/>
          <w:trHeight w:val="283"/>
          <w:jc w:val="center"/>
        </w:trPr>
        <w:tc>
          <w:tcPr>
            <w:tcW w:w="1384" w:type="dxa"/>
            <w:vMerge/>
            <w:vAlign w:val="center"/>
          </w:tcPr>
          <w:p w:rsidR="0023790C" w:rsidRDefault="0023790C">
            <w:pPr>
              <w:jc w:val="center"/>
              <w:rPr>
                <w:rFonts w:ascii="Times New Roman" w:eastAsia="仿宋_GB2312" w:hAnsi="Times New Roman" w:cs="Times New Roman"/>
                <w:sz w:val="24"/>
              </w:rPr>
            </w:pPr>
          </w:p>
        </w:tc>
        <w:tc>
          <w:tcPr>
            <w:tcW w:w="4144" w:type="dxa"/>
            <w:tcBorders>
              <w:right w:val="single" w:sz="6" w:space="0" w:color="auto"/>
            </w:tcBorders>
            <w:shd w:val="clear" w:color="auto" w:fill="auto"/>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5</w:t>
            </w:r>
            <w:r>
              <w:rPr>
                <w:rFonts w:ascii="Times New Roman" w:eastAsia="仿宋_GB2312" w:hAnsi="Times New Roman" w:cs="Times New Roman"/>
                <w:sz w:val="24"/>
              </w:rPr>
              <w:t>不良贷款率（</w:t>
            </w:r>
            <w:r>
              <w:rPr>
                <w:rFonts w:ascii="Times New Roman" w:eastAsia="仿宋_GB2312" w:hAnsi="Times New Roman" w:cs="Times New Roman"/>
                <w:sz w:val="24"/>
              </w:rPr>
              <w:t>%</w:t>
            </w:r>
            <w:r>
              <w:rPr>
                <w:rFonts w:ascii="Times New Roman" w:eastAsia="仿宋_GB2312" w:hAnsi="Times New Roman" w:cs="Times New Roman"/>
                <w:sz w:val="24"/>
              </w:rPr>
              <w:t>）</w:t>
            </w:r>
          </w:p>
        </w:tc>
        <w:tc>
          <w:tcPr>
            <w:tcW w:w="1433" w:type="dxa"/>
            <w:tcBorders>
              <w:top w:val="single" w:sz="6" w:space="0" w:color="auto"/>
              <w:left w:val="single" w:sz="6" w:space="0" w:color="auto"/>
              <w:bottom w:val="single" w:sz="6" w:space="0" w:color="auto"/>
              <w:right w:val="single" w:sz="6" w:space="0" w:color="auto"/>
            </w:tcBorders>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1.37%</w:t>
            </w:r>
          </w:p>
        </w:tc>
        <w:tc>
          <w:tcPr>
            <w:tcW w:w="1652" w:type="dxa"/>
            <w:tcBorders>
              <w:top w:val="single" w:sz="6" w:space="0" w:color="auto"/>
              <w:left w:val="single" w:sz="6" w:space="0" w:color="auto"/>
              <w:bottom w:val="single" w:sz="6" w:space="0" w:color="auto"/>
              <w:right w:val="single" w:sz="6" w:space="0" w:color="auto"/>
            </w:tcBorders>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0"/>
                <w:szCs w:val="20"/>
              </w:rPr>
              <w:t>保持在较低水平</w:t>
            </w:r>
          </w:p>
        </w:tc>
      </w:tr>
      <w:tr w:rsidR="0023790C">
        <w:trPr>
          <w:cantSplit/>
          <w:trHeight w:val="283"/>
          <w:jc w:val="center"/>
        </w:trPr>
        <w:tc>
          <w:tcPr>
            <w:tcW w:w="1384" w:type="dxa"/>
            <w:vMerge w:val="restart"/>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保险</w:t>
            </w:r>
          </w:p>
        </w:tc>
        <w:tc>
          <w:tcPr>
            <w:tcW w:w="4144" w:type="dxa"/>
            <w:shd w:val="clear" w:color="auto" w:fill="auto"/>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6</w:t>
            </w:r>
            <w:r>
              <w:rPr>
                <w:rFonts w:ascii="Times New Roman" w:eastAsia="仿宋_GB2312" w:hAnsi="Times New Roman" w:cs="Times New Roman"/>
                <w:sz w:val="24"/>
              </w:rPr>
              <w:t>保险公司数量（家）</w:t>
            </w:r>
          </w:p>
        </w:tc>
        <w:tc>
          <w:tcPr>
            <w:tcW w:w="1433" w:type="dxa"/>
            <w:tcBorders>
              <w:top w:val="single" w:sz="6" w:space="0" w:color="auto"/>
              <w:bottom w:val="single" w:sz="6" w:space="0" w:color="auto"/>
            </w:tcBorders>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35</w:t>
            </w:r>
          </w:p>
        </w:tc>
        <w:tc>
          <w:tcPr>
            <w:tcW w:w="1652" w:type="dxa"/>
            <w:tcBorders>
              <w:top w:val="single" w:sz="6" w:space="0" w:color="auto"/>
              <w:bottom w:val="single" w:sz="6" w:space="0" w:color="auto"/>
            </w:tcBorders>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40</w:t>
            </w:r>
          </w:p>
        </w:tc>
      </w:tr>
      <w:tr w:rsidR="0023790C">
        <w:trPr>
          <w:cantSplit/>
          <w:trHeight w:val="283"/>
          <w:jc w:val="center"/>
        </w:trPr>
        <w:tc>
          <w:tcPr>
            <w:tcW w:w="1384" w:type="dxa"/>
            <w:vMerge/>
            <w:vAlign w:val="center"/>
          </w:tcPr>
          <w:p w:rsidR="0023790C" w:rsidRDefault="0023790C">
            <w:pPr>
              <w:jc w:val="center"/>
              <w:rPr>
                <w:rFonts w:ascii="Times New Roman" w:eastAsia="仿宋_GB2312" w:hAnsi="Times New Roman" w:cs="Times New Roman"/>
                <w:sz w:val="24"/>
              </w:rPr>
            </w:pPr>
          </w:p>
        </w:tc>
        <w:tc>
          <w:tcPr>
            <w:tcW w:w="4144" w:type="dxa"/>
            <w:shd w:val="clear" w:color="auto" w:fill="auto"/>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7</w:t>
            </w:r>
            <w:r>
              <w:rPr>
                <w:rFonts w:ascii="Times New Roman" w:eastAsia="仿宋_GB2312" w:hAnsi="Times New Roman" w:cs="Times New Roman"/>
                <w:sz w:val="24"/>
              </w:rPr>
              <w:t>保费收入（亿元）</w:t>
            </w:r>
          </w:p>
        </w:tc>
        <w:tc>
          <w:tcPr>
            <w:tcW w:w="1433" w:type="dxa"/>
            <w:tcBorders>
              <w:top w:val="single" w:sz="6" w:space="0" w:color="auto"/>
            </w:tcBorders>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32.08</w:t>
            </w:r>
          </w:p>
        </w:tc>
        <w:tc>
          <w:tcPr>
            <w:tcW w:w="1652" w:type="dxa"/>
            <w:tcBorders>
              <w:top w:val="single" w:sz="6" w:space="0" w:color="auto"/>
            </w:tcBorders>
            <w:shd w:val="clear" w:color="auto" w:fill="auto"/>
            <w:noWrap/>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40</w:t>
            </w:r>
          </w:p>
        </w:tc>
      </w:tr>
      <w:tr w:rsidR="0023790C">
        <w:trPr>
          <w:cantSplit/>
          <w:trHeight w:val="283"/>
          <w:jc w:val="center"/>
        </w:trPr>
        <w:tc>
          <w:tcPr>
            <w:tcW w:w="1384"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证券</w:t>
            </w:r>
          </w:p>
        </w:tc>
        <w:tc>
          <w:tcPr>
            <w:tcW w:w="4144" w:type="dxa"/>
            <w:shd w:val="clear" w:color="auto" w:fill="auto"/>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8</w:t>
            </w:r>
            <w:r>
              <w:rPr>
                <w:rFonts w:ascii="Times New Roman" w:eastAsia="仿宋_GB2312" w:hAnsi="Times New Roman" w:cs="Times New Roman"/>
                <w:sz w:val="24"/>
              </w:rPr>
              <w:t>证券期货机构（家）</w:t>
            </w:r>
          </w:p>
        </w:tc>
        <w:tc>
          <w:tcPr>
            <w:tcW w:w="1433"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8</w:t>
            </w:r>
          </w:p>
        </w:tc>
        <w:tc>
          <w:tcPr>
            <w:tcW w:w="1652"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10</w:t>
            </w:r>
          </w:p>
        </w:tc>
      </w:tr>
      <w:tr w:rsidR="0023790C">
        <w:trPr>
          <w:cantSplit/>
          <w:trHeight w:val="283"/>
          <w:jc w:val="center"/>
        </w:trPr>
        <w:tc>
          <w:tcPr>
            <w:tcW w:w="1384" w:type="dxa"/>
            <w:vMerge w:val="restart"/>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资本市场</w:t>
            </w:r>
          </w:p>
        </w:tc>
        <w:tc>
          <w:tcPr>
            <w:tcW w:w="4144" w:type="dxa"/>
            <w:shd w:val="clear" w:color="auto" w:fill="auto"/>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9</w:t>
            </w:r>
            <w:r>
              <w:rPr>
                <w:rFonts w:ascii="Times New Roman" w:eastAsia="仿宋_GB2312" w:hAnsi="Times New Roman" w:cs="Times New Roman"/>
                <w:sz w:val="24"/>
              </w:rPr>
              <w:t>境内外上市公司数量（家）</w:t>
            </w:r>
          </w:p>
        </w:tc>
        <w:tc>
          <w:tcPr>
            <w:tcW w:w="1433"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6</w:t>
            </w:r>
          </w:p>
        </w:tc>
        <w:tc>
          <w:tcPr>
            <w:tcW w:w="1652" w:type="dxa"/>
            <w:shd w:val="clear" w:color="auto" w:fill="auto"/>
            <w:noWrap/>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hint="eastAsia"/>
                <w:sz w:val="24"/>
              </w:rPr>
              <w:t>20</w:t>
            </w:r>
          </w:p>
        </w:tc>
      </w:tr>
      <w:tr w:rsidR="0023790C">
        <w:trPr>
          <w:cantSplit/>
          <w:trHeight w:val="283"/>
          <w:jc w:val="center"/>
        </w:trPr>
        <w:tc>
          <w:tcPr>
            <w:tcW w:w="1384" w:type="dxa"/>
            <w:vMerge/>
            <w:shd w:val="clear" w:color="auto" w:fill="auto"/>
            <w:vAlign w:val="center"/>
          </w:tcPr>
          <w:p w:rsidR="0023790C" w:rsidRDefault="0023790C">
            <w:pPr>
              <w:jc w:val="center"/>
              <w:rPr>
                <w:rFonts w:ascii="Times New Roman" w:eastAsia="仿宋_GB2312" w:hAnsi="Times New Roman" w:cs="Times New Roman"/>
                <w:sz w:val="24"/>
              </w:rPr>
            </w:pPr>
          </w:p>
        </w:tc>
        <w:tc>
          <w:tcPr>
            <w:tcW w:w="4144" w:type="dxa"/>
            <w:shd w:val="clear" w:color="auto" w:fill="auto"/>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10</w:t>
            </w:r>
            <w:r>
              <w:rPr>
                <w:rFonts w:ascii="Times New Roman" w:eastAsia="仿宋_GB2312" w:hAnsi="Times New Roman" w:cs="Times New Roman"/>
                <w:sz w:val="24"/>
              </w:rPr>
              <w:t>境内外上市公司总市值规模（亿元）</w:t>
            </w:r>
          </w:p>
        </w:tc>
        <w:tc>
          <w:tcPr>
            <w:tcW w:w="1433"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309.19</w:t>
            </w:r>
          </w:p>
        </w:tc>
        <w:tc>
          <w:tcPr>
            <w:tcW w:w="1652" w:type="dxa"/>
            <w:shd w:val="clear" w:color="auto" w:fill="auto"/>
            <w:noWrap/>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1000</w:t>
            </w:r>
          </w:p>
        </w:tc>
      </w:tr>
      <w:tr w:rsidR="0023790C">
        <w:trPr>
          <w:cantSplit/>
          <w:trHeight w:val="283"/>
          <w:jc w:val="center"/>
        </w:trPr>
        <w:tc>
          <w:tcPr>
            <w:tcW w:w="1384" w:type="dxa"/>
            <w:vMerge w:val="restart"/>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基金产业</w:t>
            </w:r>
          </w:p>
        </w:tc>
        <w:tc>
          <w:tcPr>
            <w:tcW w:w="4144" w:type="dxa"/>
            <w:shd w:val="clear" w:color="auto" w:fill="auto"/>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11</w:t>
            </w:r>
            <w:r>
              <w:rPr>
                <w:rFonts w:ascii="Times New Roman" w:eastAsia="仿宋_GB2312" w:hAnsi="Times New Roman" w:cs="Times New Roman"/>
                <w:sz w:val="24"/>
              </w:rPr>
              <w:t>产业引导基金子基金（支）</w:t>
            </w:r>
          </w:p>
        </w:tc>
        <w:tc>
          <w:tcPr>
            <w:tcW w:w="1433"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5</w:t>
            </w:r>
          </w:p>
        </w:tc>
        <w:tc>
          <w:tcPr>
            <w:tcW w:w="1652"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20</w:t>
            </w:r>
          </w:p>
        </w:tc>
      </w:tr>
      <w:tr w:rsidR="0023790C">
        <w:trPr>
          <w:cantSplit/>
          <w:trHeight w:val="283"/>
          <w:jc w:val="center"/>
        </w:trPr>
        <w:tc>
          <w:tcPr>
            <w:tcW w:w="1384" w:type="dxa"/>
            <w:vMerge/>
            <w:vAlign w:val="center"/>
          </w:tcPr>
          <w:p w:rsidR="0023790C" w:rsidRDefault="0023790C">
            <w:pPr>
              <w:jc w:val="center"/>
              <w:rPr>
                <w:rFonts w:ascii="Times New Roman" w:eastAsia="仿宋_GB2312" w:hAnsi="Times New Roman" w:cs="Times New Roman"/>
              </w:rPr>
            </w:pPr>
          </w:p>
        </w:tc>
        <w:tc>
          <w:tcPr>
            <w:tcW w:w="4144" w:type="dxa"/>
            <w:shd w:val="clear" w:color="auto" w:fill="auto"/>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12</w:t>
            </w:r>
            <w:r>
              <w:rPr>
                <w:rFonts w:ascii="Times New Roman" w:eastAsia="仿宋_GB2312" w:hAnsi="Times New Roman" w:cs="Times New Roman"/>
                <w:sz w:val="24"/>
              </w:rPr>
              <w:t>产业引导基金子基金总规模（亿元）</w:t>
            </w:r>
          </w:p>
        </w:tc>
        <w:tc>
          <w:tcPr>
            <w:tcW w:w="1433"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75</w:t>
            </w:r>
          </w:p>
        </w:tc>
        <w:tc>
          <w:tcPr>
            <w:tcW w:w="1652"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500</w:t>
            </w:r>
          </w:p>
        </w:tc>
      </w:tr>
      <w:tr w:rsidR="0023790C">
        <w:trPr>
          <w:cantSplit/>
          <w:trHeight w:val="283"/>
          <w:jc w:val="center"/>
        </w:trPr>
        <w:tc>
          <w:tcPr>
            <w:tcW w:w="1384" w:type="dxa"/>
            <w:vMerge w:val="restart"/>
            <w:vAlign w:val="center"/>
          </w:tcPr>
          <w:p w:rsidR="0023790C" w:rsidRDefault="0023790C">
            <w:pPr>
              <w:jc w:val="center"/>
              <w:rPr>
                <w:rFonts w:ascii="Times New Roman" w:eastAsia="仿宋_GB2312" w:hAnsi="Times New Roman" w:cs="Times New Roman"/>
              </w:rPr>
            </w:pPr>
          </w:p>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地方金融组织</w:t>
            </w:r>
          </w:p>
        </w:tc>
        <w:tc>
          <w:tcPr>
            <w:tcW w:w="4144" w:type="dxa"/>
            <w:shd w:val="clear" w:color="auto" w:fill="auto"/>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13</w:t>
            </w:r>
            <w:r>
              <w:rPr>
                <w:rFonts w:ascii="Times New Roman" w:eastAsia="仿宋_GB2312" w:hAnsi="Times New Roman" w:cs="Times New Roman"/>
                <w:sz w:val="24"/>
              </w:rPr>
              <w:t>融资担保公司（家）</w:t>
            </w:r>
          </w:p>
        </w:tc>
        <w:tc>
          <w:tcPr>
            <w:tcW w:w="1433"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4</w:t>
            </w:r>
          </w:p>
        </w:tc>
        <w:tc>
          <w:tcPr>
            <w:tcW w:w="1652"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5</w:t>
            </w:r>
          </w:p>
        </w:tc>
      </w:tr>
      <w:tr w:rsidR="0023790C">
        <w:trPr>
          <w:cantSplit/>
          <w:trHeight w:val="283"/>
          <w:jc w:val="center"/>
        </w:trPr>
        <w:tc>
          <w:tcPr>
            <w:tcW w:w="1384" w:type="dxa"/>
            <w:vMerge/>
            <w:vAlign w:val="center"/>
          </w:tcPr>
          <w:p w:rsidR="0023790C" w:rsidRDefault="0023790C">
            <w:pPr>
              <w:jc w:val="center"/>
              <w:rPr>
                <w:rFonts w:ascii="Times New Roman" w:eastAsia="仿宋_GB2312" w:hAnsi="Times New Roman" w:cs="Times New Roman"/>
              </w:rPr>
            </w:pPr>
          </w:p>
        </w:tc>
        <w:tc>
          <w:tcPr>
            <w:tcW w:w="4144" w:type="dxa"/>
            <w:shd w:val="clear" w:color="auto" w:fill="auto"/>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14</w:t>
            </w:r>
            <w:r>
              <w:rPr>
                <w:rFonts w:ascii="Times New Roman" w:eastAsia="仿宋_GB2312" w:hAnsi="Times New Roman" w:cs="Times New Roman"/>
                <w:sz w:val="24"/>
              </w:rPr>
              <w:t>小额贷款公司（家）</w:t>
            </w:r>
          </w:p>
        </w:tc>
        <w:tc>
          <w:tcPr>
            <w:tcW w:w="1433"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8</w:t>
            </w:r>
          </w:p>
        </w:tc>
        <w:tc>
          <w:tcPr>
            <w:tcW w:w="1652"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9</w:t>
            </w:r>
          </w:p>
        </w:tc>
      </w:tr>
      <w:tr w:rsidR="0023790C">
        <w:trPr>
          <w:cantSplit/>
          <w:trHeight w:val="283"/>
          <w:jc w:val="center"/>
        </w:trPr>
        <w:tc>
          <w:tcPr>
            <w:tcW w:w="1384" w:type="dxa"/>
            <w:vMerge/>
            <w:vAlign w:val="center"/>
          </w:tcPr>
          <w:p w:rsidR="0023790C" w:rsidRDefault="0023790C">
            <w:pPr>
              <w:jc w:val="center"/>
              <w:rPr>
                <w:rFonts w:ascii="Times New Roman" w:eastAsia="仿宋_GB2312" w:hAnsi="Times New Roman" w:cs="Times New Roman"/>
              </w:rPr>
            </w:pPr>
          </w:p>
        </w:tc>
        <w:tc>
          <w:tcPr>
            <w:tcW w:w="4144" w:type="dxa"/>
            <w:shd w:val="clear" w:color="auto" w:fill="auto"/>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15</w:t>
            </w:r>
            <w:r>
              <w:rPr>
                <w:rFonts w:ascii="Times New Roman" w:eastAsia="仿宋_GB2312" w:hAnsi="Times New Roman" w:cs="Times New Roman"/>
                <w:sz w:val="24"/>
              </w:rPr>
              <w:t>融资租赁公司（家）</w:t>
            </w:r>
          </w:p>
        </w:tc>
        <w:tc>
          <w:tcPr>
            <w:tcW w:w="1433"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4</w:t>
            </w:r>
          </w:p>
        </w:tc>
        <w:tc>
          <w:tcPr>
            <w:tcW w:w="1652"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5</w:t>
            </w:r>
          </w:p>
        </w:tc>
      </w:tr>
      <w:tr w:rsidR="0023790C">
        <w:trPr>
          <w:cantSplit/>
          <w:trHeight w:val="283"/>
          <w:jc w:val="center"/>
        </w:trPr>
        <w:tc>
          <w:tcPr>
            <w:tcW w:w="1384" w:type="dxa"/>
            <w:vMerge/>
            <w:vAlign w:val="center"/>
          </w:tcPr>
          <w:p w:rsidR="0023790C" w:rsidRDefault="0023790C">
            <w:pPr>
              <w:jc w:val="center"/>
              <w:rPr>
                <w:rFonts w:ascii="Times New Roman" w:eastAsia="仿宋_GB2312" w:hAnsi="Times New Roman" w:cs="Times New Roman"/>
              </w:rPr>
            </w:pPr>
          </w:p>
        </w:tc>
        <w:tc>
          <w:tcPr>
            <w:tcW w:w="4144" w:type="dxa"/>
            <w:shd w:val="clear" w:color="auto" w:fill="auto"/>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16</w:t>
            </w:r>
            <w:r>
              <w:rPr>
                <w:rFonts w:ascii="Times New Roman" w:eastAsia="仿宋_GB2312" w:hAnsi="Times New Roman" w:cs="Times New Roman"/>
                <w:sz w:val="24"/>
              </w:rPr>
              <w:t>典当公司（家）</w:t>
            </w:r>
          </w:p>
        </w:tc>
        <w:tc>
          <w:tcPr>
            <w:tcW w:w="1433"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4</w:t>
            </w:r>
          </w:p>
        </w:tc>
        <w:tc>
          <w:tcPr>
            <w:tcW w:w="1652"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5</w:t>
            </w:r>
          </w:p>
        </w:tc>
      </w:tr>
      <w:tr w:rsidR="0023790C">
        <w:trPr>
          <w:cantSplit/>
          <w:trHeight w:val="283"/>
          <w:jc w:val="center"/>
        </w:trPr>
        <w:tc>
          <w:tcPr>
            <w:tcW w:w="1384" w:type="dxa"/>
            <w:vMerge/>
            <w:vAlign w:val="center"/>
          </w:tcPr>
          <w:p w:rsidR="0023790C" w:rsidRDefault="0023790C">
            <w:pPr>
              <w:jc w:val="center"/>
              <w:rPr>
                <w:rFonts w:ascii="Times New Roman" w:eastAsia="仿宋_GB2312" w:hAnsi="Times New Roman" w:cs="Times New Roman"/>
              </w:rPr>
            </w:pPr>
          </w:p>
        </w:tc>
        <w:tc>
          <w:tcPr>
            <w:tcW w:w="4144" w:type="dxa"/>
            <w:shd w:val="clear" w:color="auto" w:fill="auto"/>
            <w:noWrap/>
            <w:vAlign w:val="center"/>
          </w:tcPr>
          <w:p w:rsidR="0023790C" w:rsidRDefault="00972AA8">
            <w:pPr>
              <w:jc w:val="left"/>
              <w:rPr>
                <w:rFonts w:ascii="Times New Roman" w:eastAsia="仿宋_GB2312" w:hAnsi="Times New Roman" w:cs="Times New Roman"/>
                <w:sz w:val="24"/>
              </w:rPr>
            </w:pPr>
            <w:r>
              <w:rPr>
                <w:rFonts w:ascii="Times New Roman" w:eastAsia="仿宋_GB2312" w:hAnsi="Times New Roman" w:cs="Times New Roman"/>
                <w:sz w:val="24"/>
              </w:rPr>
              <w:t>17</w:t>
            </w:r>
            <w:r>
              <w:rPr>
                <w:rFonts w:ascii="Times New Roman" w:eastAsia="仿宋_GB2312" w:hAnsi="Times New Roman" w:cs="Times New Roman"/>
                <w:sz w:val="24"/>
              </w:rPr>
              <w:t>保理公司（家）</w:t>
            </w:r>
          </w:p>
        </w:tc>
        <w:tc>
          <w:tcPr>
            <w:tcW w:w="1433"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0</w:t>
            </w:r>
          </w:p>
        </w:tc>
        <w:tc>
          <w:tcPr>
            <w:tcW w:w="1652" w:type="dxa"/>
            <w:shd w:val="clear" w:color="auto" w:fill="auto"/>
            <w:vAlign w:val="center"/>
          </w:tcPr>
          <w:p w:rsidR="0023790C" w:rsidRDefault="00972AA8">
            <w:pPr>
              <w:jc w:val="center"/>
              <w:rPr>
                <w:rFonts w:ascii="Times New Roman" w:eastAsia="仿宋_GB2312" w:hAnsi="Times New Roman" w:cs="Times New Roman"/>
                <w:sz w:val="24"/>
              </w:rPr>
            </w:pPr>
            <w:r>
              <w:rPr>
                <w:rFonts w:ascii="Times New Roman" w:eastAsia="仿宋_GB2312" w:hAnsi="Times New Roman" w:cs="Times New Roman"/>
                <w:sz w:val="24"/>
              </w:rPr>
              <w:t>1</w:t>
            </w:r>
          </w:p>
        </w:tc>
      </w:tr>
    </w:tbl>
    <w:p w:rsidR="0023790C" w:rsidRDefault="00972AA8">
      <w:pPr>
        <w:widowControl/>
        <w:spacing w:line="580" w:lineRule="exact"/>
        <w:ind w:firstLineChars="200" w:firstLine="640"/>
        <w:jc w:val="left"/>
        <w:rPr>
          <w:rFonts w:ascii="Times New Roman" w:hAnsi="Times New Roman" w:cs="Times New Roman"/>
        </w:rPr>
      </w:pPr>
      <w:bookmarkStart w:id="15" w:name="_Toc87626019"/>
      <w:r>
        <w:rPr>
          <w:rFonts w:ascii="Times New Roman" w:eastAsia="黑体" w:hAnsi="Times New Roman" w:cs="Times New Roman"/>
          <w:szCs w:val="32"/>
        </w:rPr>
        <w:t>三、发展任务与举措</w:t>
      </w:r>
      <w:bookmarkEnd w:id="15"/>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w:t>
      </w:r>
      <w:r>
        <w:rPr>
          <w:rFonts w:ascii="Times New Roman" w:eastAsia="仿宋_GB2312" w:hAnsi="Times New Roman" w:cs="Times New Roman"/>
          <w:szCs w:val="32"/>
        </w:rPr>
        <w:t>十四五</w:t>
      </w:r>
      <w:r>
        <w:rPr>
          <w:rFonts w:ascii="Times New Roman" w:eastAsia="仿宋_GB2312" w:hAnsi="Times New Roman" w:cs="Times New Roman"/>
          <w:szCs w:val="32"/>
        </w:rPr>
        <w:t>”</w:t>
      </w:r>
      <w:r>
        <w:rPr>
          <w:rFonts w:ascii="Times New Roman" w:eastAsia="仿宋_GB2312" w:hAnsi="Times New Roman" w:cs="Times New Roman"/>
          <w:szCs w:val="32"/>
        </w:rPr>
        <w:t>时期，太仓市金融业将紧抓长三角一体化和沪苏同城化契机，加快融入上海国际金融中心和苏州功能性金融中心建设，巩固拓展传统金融，大力发展新兴金融，培育发展产业引导基金，着力发展非银金融，纵深发展普惠金融，积极推进绿色金融，既要更好支持经济社会发展和产业转型升级，又要提升金融自身发展水平，强化金融服务及辐射能力，更好地满足实体经济</w:t>
      </w:r>
      <w:r>
        <w:rPr>
          <w:rFonts w:ascii="Times New Roman" w:eastAsia="仿宋_GB2312" w:hAnsi="Times New Roman" w:cs="Times New Roman"/>
          <w:szCs w:val="32"/>
        </w:rPr>
        <w:lastRenderedPageBreak/>
        <w:t>金融需求和民生领域金融需求。</w:t>
      </w:r>
    </w:p>
    <w:p w:rsidR="0023790C" w:rsidRDefault="00972AA8">
      <w:pPr>
        <w:spacing w:line="580" w:lineRule="exact"/>
        <w:ind w:firstLineChars="200" w:firstLine="640"/>
        <w:rPr>
          <w:rFonts w:ascii="Times New Roman" w:eastAsia="楷体_GB2312" w:hAnsi="Times New Roman" w:cs="Times New Roman"/>
          <w:szCs w:val="32"/>
        </w:rPr>
      </w:pPr>
      <w:bookmarkStart w:id="16" w:name="_Toc87626020"/>
      <w:r>
        <w:rPr>
          <w:rFonts w:ascii="Times New Roman" w:eastAsia="楷体_GB2312" w:hAnsi="Times New Roman" w:cs="Times New Roman"/>
          <w:szCs w:val="32"/>
        </w:rPr>
        <w:t>（一）做大做强金融组织，筑牢金融产业集聚发展根基</w:t>
      </w:r>
      <w:bookmarkEnd w:id="16"/>
    </w:p>
    <w:p w:rsidR="0023790C" w:rsidRDefault="00972AA8">
      <w:pPr>
        <w:spacing w:line="580" w:lineRule="exact"/>
        <w:ind w:firstLineChars="200" w:firstLine="643"/>
        <w:rPr>
          <w:rFonts w:ascii="Times New Roman" w:eastAsia="仿宋_GB2312" w:hAnsi="Times New Roman" w:cs="Times New Roman"/>
          <w:b/>
          <w:szCs w:val="32"/>
        </w:rPr>
      </w:pPr>
      <w:bookmarkStart w:id="17" w:name="_Toc87626021"/>
      <w:r>
        <w:rPr>
          <w:rFonts w:ascii="Times New Roman" w:eastAsia="仿宋_GB2312" w:hAnsi="Times New Roman" w:cs="Times New Roman"/>
          <w:b/>
          <w:szCs w:val="32"/>
        </w:rPr>
        <w:t>1.</w:t>
      </w:r>
      <w:r>
        <w:rPr>
          <w:rFonts w:ascii="Times New Roman" w:eastAsia="仿宋_GB2312" w:hAnsi="Times New Roman" w:cs="Times New Roman"/>
          <w:b/>
          <w:szCs w:val="32"/>
        </w:rPr>
        <w:t>做强做优一批法人金融机构</w:t>
      </w:r>
      <w:bookmarkEnd w:id="17"/>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支持太仓农商行探索资本补充渠道，持续优化股权结构，通过引进战略投资和发行新型资本补充工具不断扩充资本，通过引入优质股东调整存量股东结构不断优化股权，加快形成资本充足、股东适格、股权结构优良的发展质态。稳步提升太仓农商行资产规模，加快推进太仓农商行上市进程，以筹备上市为契机，全面提升管理水平，优化人力资源布局，改善股权结构，提升公司治理规范程度，促进持续健康发展。推动金融机构数字化转型，支持金融机构设立金融科技专业机构，鼓励金融机构加快物联网、区块链、云计算、大数据、人工智能等科技手段应用，支持金融机构深度参与太仓智慧城市建设。</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支持资产集团通过兼并重组、发起设立、股权划转等方式，培育增量金融资源，拓展金融牌照，增加业务规模，发挥农贷公司、科贷公司、融资担保公司、普惠担保公司、融资租赁公司、商业保理公司等地方金融组织</w:t>
      </w:r>
      <w:r>
        <w:rPr>
          <w:rFonts w:ascii="Times New Roman" w:eastAsia="仿宋_GB2312" w:hAnsi="Times New Roman" w:cs="Times New Roman"/>
          <w:szCs w:val="32"/>
        </w:rPr>
        <w:t>“</w:t>
      </w:r>
      <w:r>
        <w:rPr>
          <w:rFonts w:ascii="Times New Roman" w:eastAsia="仿宋_GB2312" w:hAnsi="Times New Roman" w:cs="Times New Roman"/>
          <w:szCs w:val="32"/>
        </w:rPr>
        <w:t>全牌照</w:t>
      </w:r>
      <w:r>
        <w:rPr>
          <w:rFonts w:ascii="Times New Roman" w:eastAsia="仿宋_GB2312" w:hAnsi="Times New Roman" w:cs="Times New Roman"/>
          <w:szCs w:val="32"/>
        </w:rPr>
        <w:t>”</w:t>
      </w:r>
      <w:r>
        <w:rPr>
          <w:rFonts w:ascii="Times New Roman" w:eastAsia="仿宋_GB2312" w:hAnsi="Times New Roman" w:cs="Times New Roman"/>
          <w:szCs w:val="32"/>
        </w:rPr>
        <w:t>优势，结合资产集团基金板块、投资板块的资源和经验优势，探索</w:t>
      </w:r>
      <w:r>
        <w:rPr>
          <w:rFonts w:ascii="Times New Roman" w:eastAsia="仿宋_GB2312" w:hAnsi="Times New Roman" w:cs="Times New Roman"/>
          <w:szCs w:val="32"/>
        </w:rPr>
        <w:t>“</w:t>
      </w:r>
      <w:r>
        <w:rPr>
          <w:rFonts w:ascii="Times New Roman" w:eastAsia="仿宋_GB2312" w:hAnsi="Times New Roman" w:cs="Times New Roman"/>
          <w:szCs w:val="32"/>
        </w:rPr>
        <w:t>股权</w:t>
      </w:r>
      <w:r>
        <w:rPr>
          <w:rFonts w:ascii="Times New Roman" w:eastAsia="仿宋_GB2312" w:hAnsi="Times New Roman" w:cs="Times New Roman"/>
          <w:szCs w:val="32"/>
        </w:rPr>
        <w:t>+</w:t>
      </w:r>
      <w:r>
        <w:rPr>
          <w:rFonts w:ascii="Times New Roman" w:eastAsia="仿宋_GB2312" w:hAnsi="Times New Roman" w:cs="Times New Roman"/>
          <w:szCs w:val="32"/>
        </w:rPr>
        <w:t>债权</w:t>
      </w:r>
      <w:r>
        <w:rPr>
          <w:rFonts w:ascii="Times New Roman" w:eastAsia="仿宋_GB2312" w:hAnsi="Times New Roman" w:cs="Times New Roman"/>
          <w:szCs w:val="32"/>
        </w:rPr>
        <w:t>”</w:t>
      </w:r>
      <w:r>
        <w:rPr>
          <w:rFonts w:ascii="Times New Roman" w:eastAsia="仿宋_GB2312" w:hAnsi="Times New Roman" w:cs="Times New Roman"/>
          <w:szCs w:val="32"/>
        </w:rPr>
        <w:t>业务模式，做强做优金控板块。支持娄江新城以商业保理业务为抓手，联合苏州</w:t>
      </w:r>
      <w:r>
        <w:rPr>
          <w:rFonts w:ascii="Times New Roman" w:eastAsia="仿宋_GB2312" w:hAnsi="Times New Roman" w:cs="Times New Roman" w:hint="eastAsia"/>
          <w:szCs w:val="32"/>
        </w:rPr>
        <w:t>市</w:t>
      </w:r>
      <w:r>
        <w:rPr>
          <w:rFonts w:ascii="Times New Roman" w:eastAsia="仿宋_GB2312" w:hAnsi="Times New Roman" w:cs="Times New Roman"/>
          <w:szCs w:val="32"/>
        </w:rPr>
        <w:t>和太仓的金融企业，加强金融投资合作，深耕保理、基金等领域，全面谋划</w:t>
      </w:r>
      <w:r>
        <w:rPr>
          <w:rFonts w:ascii="Times New Roman" w:eastAsia="仿宋_GB2312" w:hAnsi="Times New Roman" w:cs="Times New Roman"/>
          <w:szCs w:val="32"/>
        </w:rPr>
        <w:t>“</w:t>
      </w:r>
      <w:r>
        <w:rPr>
          <w:rFonts w:ascii="Times New Roman" w:eastAsia="仿宋_GB2312" w:hAnsi="Times New Roman" w:cs="Times New Roman"/>
          <w:szCs w:val="32"/>
        </w:rPr>
        <w:t>全牌照</w:t>
      </w:r>
      <w:r>
        <w:rPr>
          <w:rFonts w:ascii="Times New Roman" w:eastAsia="仿宋_GB2312" w:hAnsi="Times New Roman" w:cs="Times New Roman"/>
          <w:szCs w:val="32"/>
        </w:rPr>
        <w:t>”</w:t>
      </w:r>
      <w:r>
        <w:rPr>
          <w:rFonts w:ascii="Times New Roman" w:eastAsia="仿宋_GB2312" w:hAnsi="Times New Roman" w:cs="Times New Roman"/>
          <w:szCs w:val="32"/>
        </w:rPr>
        <w:t>的地方金融组织业务版图，为娄江新城建设资金的保障工作提供坚实支撑。</w:t>
      </w:r>
    </w:p>
    <w:p w:rsidR="0023790C" w:rsidRDefault="00972AA8">
      <w:pPr>
        <w:spacing w:line="580" w:lineRule="exact"/>
        <w:ind w:firstLineChars="200" w:firstLine="643"/>
        <w:rPr>
          <w:rFonts w:ascii="Times New Roman" w:eastAsia="仿宋_GB2312" w:hAnsi="Times New Roman" w:cs="Times New Roman"/>
          <w:b/>
          <w:szCs w:val="32"/>
        </w:rPr>
      </w:pPr>
      <w:bookmarkStart w:id="18" w:name="_Toc87626022"/>
      <w:r>
        <w:rPr>
          <w:rFonts w:ascii="Times New Roman" w:eastAsia="仿宋_GB2312" w:hAnsi="Times New Roman" w:cs="Times New Roman"/>
          <w:b/>
          <w:szCs w:val="32"/>
        </w:rPr>
        <w:lastRenderedPageBreak/>
        <w:t>2.</w:t>
      </w:r>
      <w:r>
        <w:rPr>
          <w:rFonts w:ascii="Times New Roman" w:eastAsia="仿宋_GB2312" w:hAnsi="Times New Roman" w:cs="Times New Roman"/>
          <w:b/>
          <w:szCs w:val="32"/>
        </w:rPr>
        <w:t>加快提升一批金融分支机构</w:t>
      </w:r>
      <w:bookmarkEnd w:id="18"/>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依托太仓中德合作产业基础优势，抓住长三角一体化太仓深度融入虹桥国际开放枢纽建设重大机遇，借力上海国际金融中心优势，探索在沪德资银行直接在太设立分支机构，进一步提升对德金融服务能力和金融业国际合作交流水平。推动太仓银行机构和证券营业部等金融分支机构的提能升级，力争更多太仓银行机构升格为一级分行，争取金融机构总部加大对太仓资金投入、业务布局和政策倾斜。</w:t>
      </w:r>
    </w:p>
    <w:p w:rsidR="0023790C" w:rsidRDefault="00972AA8">
      <w:pPr>
        <w:spacing w:line="580" w:lineRule="exact"/>
        <w:ind w:firstLineChars="200" w:firstLine="643"/>
        <w:rPr>
          <w:rFonts w:ascii="Times New Roman" w:eastAsia="仿宋_GB2312" w:hAnsi="Times New Roman" w:cs="Times New Roman"/>
          <w:b/>
          <w:szCs w:val="32"/>
        </w:rPr>
      </w:pPr>
      <w:bookmarkStart w:id="19" w:name="_Toc87626023"/>
      <w:r>
        <w:rPr>
          <w:rFonts w:ascii="Times New Roman" w:eastAsia="仿宋_GB2312" w:hAnsi="Times New Roman" w:cs="Times New Roman"/>
          <w:b/>
          <w:szCs w:val="32"/>
        </w:rPr>
        <w:t>3.</w:t>
      </w:r>
      <w:r>
        <w:rPr>
          <w:rFonts w:ascii="Times New Roman" w:eastAsia="仿宋_GB2312" w:hAnsi="Times New Roman" w:cs="Times New Roman"/>
          <w:b/>
          <w:szCs w:val="32"/>
        </w:rPr>
        <w:t>培育发展一批地方金融组织</w:t>
      </w:r>
      <w:bookmarkEnd w:id="19"/>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支持地方金融组织利用增资扩股、兼并重组、集团化发展等方式，整合资源优势，形成规模经营效应，提升可持续发展能力。支持小额贷款公司，融资担保公司和其他地方金融组织优化商业模式，专注发展细分市场领域，拓展金融服务业务，增强市场竞争力。</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加强地方金融组织发展扶持，明确准入退出门槛、风险防控、合规行为等规范经营要求，完善风险补偿政策，引导和支持地方金融组织加大对小微企业、</w:t>
      </w:r>
      <w:r>
        <w:rPr>
          <w:rFonts w:ascii="Times New Roman" w:eastAsia="仿宋_GB2312" w:hAnsi="Times New Roman" w:cs="Times New Roman"/>
          <w:szCs w:val="32"/>
        </w:rPr>
        <w:t>“</w:t>
      </w:r>
      <w:r>
        <w:rPr>
          <w:rFonts w:ascii="Times New Roman" w:eastAsia="仿宋_GB2312" w:hAnsi="Times New Roman" w:cs="Times New Roman"/>
          <w:szCs w:val="32"/>
        </w:rPr>
        <w:t>三农</w:t>
      </w:r>
      <w:r>
        <w:rPr>
          <w:rFonts w:ascii="Times New Roman" w:eastAsia="仿宋_GB2312" w:hAnsi="Times New Roman" w:cs="Times New Roman"/>
          <w:szCs w:val="32"/>
        </w:rPr>
        <w:t>”</w:t>
      </w:r>
      <w:r>
        <w:rPr>
          <w:rFonts w:ascii="Times New Roman" w:eastAsia="仿宋_GB2312" w:hAnsi="Times New Roman" w:cs="Times New Roman"/>
          <w:szCs w:val="32"/>
        </w:rPr>
        <w:t>的信贷投放力度。扶持设立</w:t>
      </w:r>
      <w:r>
        <w:rPr>
          <w:rFonts w:ascii="Times New Roman" w:eastAsia="仿宋_GB2312" w:hAnsi="Times New Roman" w:cs="Times New Roman"/>
          <w:szCs w:val="32"/>
        </w:rPr>
        <w:t>1</w:t>
      </w:r>
      <w:r>
        <w:rPr>
          <w:rFonts w:ascii="Times New Roman" w:eastAsia="仿宋_GB2312" w:hAnsi="Times New Roman" w:cs="Times New Roman"/>
          <w:szCs w:val="32"/>
        </w:rPr>
        <w:t>家规模较大的政府性融资担保机构，强化准公共定位，聚焦支小支农融资担保主业，引导降费让利，切实降低企业融资成本。</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强化金融中介服务机构的政策支持，构建种类齐全、与国际接轨的专业化金融中介服务体系。支持金融中介服务机构拓宽业务范围，加快规模化、品牌化发展。</w:t>
      </w:r>
    </w:p>
    <w:p w:rsidR="0023790C" w:rsidRDefault="00972AA8">
      <w:pPr>
        <w:spacing w:line="580" w:lineRule="exact"/>
        <w:ind w:firstLineChars="200" w:firstLine="640"/>
        <w:rPr>
          <w:rFonts w:ascii="Times New Roman" w:eastAsia="楷体_GB2312" w:hAnsi="Times New Roman" w:cs="Times New Roman"/>
          <w:szCs w:val="32"/>
        </w:rPr>
      </w:pPr>
      <w:bookmarkStart w:id="20" w:name="_Toc87626024"/>
      <w:r>
        <w:rPr>
          <w:rFonts w:ascii="Times New Roman" w:eastAsia="楷体_GB2312" w:hAnsi="Times New Roman" w:cs="Times New Roman"/>
          <w:szCs w:val="32"/>
        </w:rPr>
        <w:lastRenderedPageBreak/>
        <w:t>（二）创新金融发展模式，打造金融服务实体示范城市</w:t>
      </w:r>
      <w:bookmarkEnd w:id="20"/>
    </w:p>
    <w:p w:rsidR="0023790C" w:rsidRDefault="00972AA8">
      <w:pPr>
        <w:spacing w:line="580" w:lineRule="exact"/>
        <w:ind w:firstLineChars="200" w:firstLine="643"/>
        <w:rPr>
          <w:rFonts w:ascii="Times New Roman" w:eastAsia="仿宋_GB2312" w:hAnsi="Times New Roman" w:cs="Times New Roman"/>
          <w:b/>
          <w:szCs w:val="32"/>
        </w:rPr>
      </w:pPr>
      <w:bookmarkStart w:id="21" w:name="_Toc87626025"/>
      <w:r>
        <w:rPr>
          <w:rFonts w:ascii="Times New Roman" w:eastAsia="仿宋_GB2312" w:hAnsi="Times New Roman" w:cs="Times New Roman"/>
          <w:b/>
          <w:szCs w:val="32"/>
        </w:rPr>
        <w:t>1.</w:t>
      </w:r>
      <w:r>
        <w:rPr>
          <w:rFonts w:ascii="Times New Roman" w:eastAsia="仿宋_GB2312" w:hAnsi="Times New Roman" w:cs="Times New Roman"/>
          <w:b/>
          <w:szCs w:val="32"/>
        </w:rPr>
        <w:t>提升综合金融服务体系发展能级</w:t>
      </w:r>
      <w:bookmarkEnd w:id="21"/>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充分发挥苏州综合金融服务平台、股权融资服务平台、地方企业征信系统、企业自主创新金融支持中心等四个基础性平台融资服务功能。结合地方特点，利用本地化优势，研究建立太仓版综合金融服务平台。建立企业守信用、机构有创新、政府有推动的综合金融服务机制，提高企业金融服务满足率，支持企业创新驱动发展。利用互联网信息技术，提升金融资源供需对接效率，缓解信息不对称问题，提升信用环境。鼓励机构建立专营部门团队，提高专业性、精准性。完善企业服务机制，高质高频举办</w:t>
      </w:r>
      <w:r>
        <w:rPr>
          <w:rFonts w:ascii="Times New Roman" w:eastAsia="仿宋_GB2312" w:hAnsi="Times New Roman" w:cs="Times New Roman"/>
          <w:szCs w:val="32"/>
        </w:rPr>
        <w:t>“BEGI·N”</w:t>
      </w:r>
      <w:r>
        <w:rPr>
          <w:rFonts w:ascii="Times New Roman" w:eastAsia="仿宋_GB2312" w:hAnsi="Times New Roman" w:cs="Times New Roman"/>
          <w:szCs w:val="32"/>
        </w:rPr>
        <w:t>金融沙龙，全面深化金融服务顾问走访行动，用好苏州综合金融服务平台，推广银行普惠金融产品，听取参会企业诉求建议，全力打通金融服务企业</w:t>
      </w:r>
      <w:r>
        <w:rPr>
          <w:rFonts w:ascii="Times New Roman" w:eastAsia="仿宋_GB2312" w:hAnsi="Times New Roman" w:cs="Times New Roman"/>
          <w:szCs w:val="32"/>
        </w:rPr>
        <w:t>“</w:t>
      </w:r>
      <w:r>
        <w:rPr>
          <w:rFonts w:ascii="Times New Roman" w:eastAsia="仿宋_GB2312" w:hAnsi="Times New Roman" w:cs="Times New Roman"/>
          <w:szCs w:val="32"/>
        </w:rPr>
        <w:t>最后一公里</w:t>
      </w:r>
      <w:r>
        <w:rPr>
          <w:rFonts w:ascii="Times New Roman" w:eastAsia="仿宋_GB2312" w:hAnsi="Times New Roman" w:cs="Times New Roman"/>
          <w:szCs w:val="32"/>
        </w:rPr>
        <w:t>”</w:t>
      </w:r>
      <w:r>
        <w:rPr>
          <w:rFonts w:ascii="Times New Roman" w:eastAsia="仿宋_GB2312" w:hAnsi="Times New Roman" w:cs="Times New Roman"/>
          <w:szCs w:val="32"/>
        </w:rPr>
        <w:t>。到</w:t>
      </w:r>
      <w:r>
        <w:rPr>
          <w:rFonts w:ascii="Times New Roman" w:eastAsia="仿宋_GB2312" w:hAnsi="Times New Roman" w:cs="Times New Roman"/>
          <w:szCs w:val="32"/>
        </w:rPr>
        <w:t>“</w:t>
      </w:r>
      <w:r>
        <w:rPr>
          <w:rFonts w:ascii="Times New Roman" w:eastAsia="仿宋_GB2312" w:hAnsi="Times New Roman" w:cs="Times New Roman"/>
          <w:szCs w:val="32"/>
        </w:rPr>
        <w:t>十四五</w:t>
      </w:r>
      <w:r>
        <w:rPr>
          <w:rFonts w:ascii="Times New Roman" w:eastAsia="仿宋_GB2312" w:hAnsi="Times New Roman" w:cs="Times New Roman"/>
          <w:szCs w:val="32"/>
        </w:rPr>
        <w:t>”</w:t>
      </w:r>
      <w:r>
        <w:rPr>
          <w:rFonts w:ascii="Times New Roman" w:eastAsia="仿宋_GB2312" w:hAnsi="Times New Roman" w:cs="Times New Roman"/>
          <w:szCs w:val="32"/>
        </w:rPr>
        <w:t>期末，力争人民币存贷款总额突破</w:t>
      </w:r>
      <w:r>
        <w:rPr>
          <w:rFonts w:ascii="Times New Roman" w:eastAsia="仿宋_GB2312" w:hAnsi="Times New Roman" w:cs="Times New Roman"/>
          <w:szCs w:val="32"/>
        </w:rPr>
        <w:t>6000</w:t>
      </w:r>
      <w:r>
        <w:rPr>
          <w:rFonts w:ascii="Times New Roman" w:eastAsia="仿宋_GB2312" w:hAnsi="Times New Roman" w:cs="Times New Roman"/>
          <w:szCs w:val="32"/>
        </w:rPr>
        <w:t>亿元，普惠金融贷款达</w:t>
      </w:r>
      <w:r>
        <w:rPr>
          <w:rFonts w:ascii="Times New Roman" w:eastAsia="仿宋_GB2312" w:hAnsi="Times New Roman" w:cs="Times New Roman"/>
          <w:szCs w:val="32"/>
        </w:rPr>
        <w:t>450</w:t>
      </w:r>
      <w:r>
        <w:rPr>
          <w:rFonts w:ascii="Times New Roman" w:eastAsia="仿宋_GB2312" w:hAnsi="Times New Roman" w:cs="Times New Roman"/>
          <w:szCs w:val="32"/>
        </w:rPr>
        <w:t>亿元，增幅超</w:t>
      </w:r>
      <w:r>
        <w:rPr>
          <w:rFonts w:ascii="Times New Roman" w:eastAsia="仿宋_GB2312" w:hAnsi="Times New Roman" w:cs="Times New Roman"/>
          <w:szCs w:val="32"/>
        </w:rPr>
        <w:t>100%</w:t>
      </w:r>
      <w:r>
        <w:rPr>
          <w:rFonts w:ascii="Times New Roman" w:eastAsia="仿宋_GB2312" w:hAnsi="Times New Roman" w:cs="Times New Roman"/>
          <w:szCs w:val="32"/>
        </w:rPr>
        <w:t>，占贷款总额达</w:t>
      </w:r>
      <w:r>
        <w:rPr>
          <w:rFonts w:ascii="Times New Roman" w:eastAsia="仿宋_GB2312" w:hAnsi="Times New Roman" w:cs="Times New Roman"/>
          <w:szCs w:val="32"/>
        </w:rPr>
        <w:t>15%</w:t>
      </w:r>
      <w:r>
        <w:rPr>
          <w:rFonts w:ascii="Times New Roman" w:eastAsia="仿宋_GB2312" w:hAnsi="Times New Roman" w:cs="Times New Roman"/>
          <w:szCs w:val="32"/>
        </w:rPr>
        <w:t>。</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加大普惠金融支持力度，拓展</w:t>
      </w:r>
      <w:r>
        <w:rPr>
          <w:rFonts w:ascii="Times New Roman" w:eastAsia="仿宋_GB2312" w:hAnsi="Times New Roman" w:cs="Times New Roman"/>
          <w:szCs w:val="32"/>
        </w:rPr>
        <w:t>“</w:t>
      </w:r>
      <w:r>
        <w:rPr>
          <w:rFonts w:ascii="Times New Roman" w:eastAsia="仿宋_GB2312" w:hAnsi="Times New Roman" w:cs="Times New Roman"/>
          <w:szCs w:val="32"/>
        </w:rPr>
        <w:t>苏科贷</w:t>
      </w:r>
      <w:r>
        <w:rPr>
          <w:rFonts w:ascii="Times New Roman" w:eastAsia="仿宋_GB2312" w:hAnsi="Times New Roman" w:cs="Times New Roman"/>
          <w:szCs w:val="32"/>
        </w:rPr>
        <w:t>”“</w:t>
      </w:r>
      <w:r>
        <w:rPr>
          <w:rFonts w:ascii="Times New Roman" w:eastAsia="仿宋_GB2312" w:hAnsi="Times New Roman" w:cs="Times New Roman"/>
          <w:szCs w:val="32"/>
        </w:rPr>
        <w:t>娄城贷</w:t>
      </w:r>
      <w:r>
        <w:rPr>
          <w:rFonts w:ascii="Times New Roman" w:eastAsia="仿宋_GB2312" w:hAnsi="Times New Roman" w:cs="Times New Roman"/>
          <w:szCs w:val="32"/>
        </w:rPr>
        <w:t>”“</w:t>
      </w:r>
      <w:r>
        <w:rPr>
          <w:rFonts w:ascii="Times New Roman" w:eastAsia="仿宋_GB2312" w:hAnsi="Times New Roman" w:cs="Times New Roman"/>
          <w:szCs w:val="32"/>
        </w:rPr>
        <w:t>信保贷</w:t>
      </w:r>
      <w:r>
        <w:rPr>
          <w:rFonts w:ascii="Times New Roman" w:eastAsia="仿宋_GB2312" w:hAnsi="Times New Roman" w:cs="Times New Roman"/>
          <w:szCs w:val="32"/>
        </w:rPr>
        <w:t>”</w:t>
      </w:r>
      <w:r>
        <w:rPr>
          <w:rFonts w:ascii="Times New Roman" w:eastAsia="仿宋_GB2312" w:hAnsi="Times New Roman" w:cs="Times New Roman"/>
          <w:szCs w:val="32"/>
        </w:rPr>
        <w:t>等金融服务产品，健全政策性融资担保体系，引导金融资本更多流向实体经济。探索建立太仓市普惠金融发展风险补偿基金，探索设立</w:t>
      </w:r>
      <w:r>
        <w:rPr>
          <w:rFonts w:ascii="Times New Roman" w:eastAsia="仿宋_GB2312" w:hAnsi="Times New Roman" w:cs="Times New Roman"/>
          <w:szCs w:val="32"/>
        </w:rPr>
        <w:t>“</w:t>
      </w:r>
      <w:r>
        <w:rPr>
          <w:rFonts w:ascii="Times New Roman" w:eastAsia="仿宋_GB2312" w:hAnsi="Times New Roman" w:cs="Times New Roman"/>
          <w:szCs w:val="32"/>
        </w:rPr>
        <w:t>娄城智造贷</w:t>
      </w:r>
      <w:r>
        <w:rPr>
          <w:rFonts w:ascii="Times New Roman" w:eastAsia="仿宋_GB2312" w:hAnsi="Times New Roman" w:cs="Times New Roman"/>
          <w:szCs w:val="32"/>
        </w:rPr>
        <w:t>”</w:t>
      </w:r>
      <w:r>
        <w:rPr>
          <w:rFonts w:ascii="Times New Roman" w:eastAsia="仿宋_GB2312" w:hAnsi="Times New Roman" w:cs="Times New Roman"/>
          <w:szCs w:val="32"/>
        </w:rPr>
        <w:t>、</w:t>
      </w:r>
      <w:r>
        <w:rPr>
          <w:rFonts w:ascii="Times New Roman" w:eastAsia="仿宋_GB2312" w:hAnsi="Times New Roman" w:cs="Times New Roman"/>
          <w:szCs w:val="32"/>
        </w:rPr>
        <w:t>“</w:t>
      </w:r>
      <w:r>
        <w:rPr>
          <w:rFonts w:ascii="Times New Roman" w:eastAsia="仿宋_GB2312" w:hAnsi="Times New Roman" w:cs="Times New Roman"/>
          <w:szCs w:val="32"/>
        </w:rPr>
        <w:t>娄城惠农贷</w:t>
      </w:r>
      <w:r>
        <w:rPr>
          <w:rFonts w:ascii="Times New Roman" w:eastAsia="仿宋_GB2312" w:hAnsi="Times New Roman" w:cs="Times New Roman"/>
          <w:szCs w:val="32"/>
        </w:rPr>
        <w:t>”</w:t>
      </w:r>
      <w:r>
        <w:rPr>
          <w:rFonts w:ascii="Times New Roman" w:eastAsia="仿宋_GB2312" w:hAnsi="Times New Roman" w:cs="Times New Roman"/>
          <w:szCs w:val="32"/>
        </w:rPr>
        <w:t>等特色金融产品，形成太仓市</w:t>
      </w:r>
      <w:r>
        <w:rPr>
          <w:rFonts w:ascii="Times New Roman" w:eastAsia="仿宋_GB2312" w:hAnsi="Times New Roman" w:cs="Times New Roman"/>
          <w:szCs w:val="32"/>
        </w:rPr>
        <w:t>“</w:t>
      </w:r>
      <w:r>
        <w:rPr>
          <w:rFonts w:ascii="Times New Roman" w:eastAsia="仿宋_GB2312" w:hAnsi="Times New Roman" w:cs="Times New Roman"/>
          <w:szCs w:val="32"/>
        </w:rPr>
        <w:t>娄城贷</w:t>
      </w:r>
      <w:r>
        <w:rPr>
          <w:rFonts w:ascii="Times New Roman" w:eastAsia="仿宋_GB2312" w:hAnsi="Times New Roman" w:cs="Times New Roman"/>
          <w:szCs w:val="32"/>
        </w:rPr>
        <w:t>”</w:t>
      </w:r>
      <w:r>
        <w:rPr>
          <w:rFonts w:ascii="Times New Roman" w:eastAsia="仿宋_GB2312" w:hAnsi="Times New Roman" w:cs="Times New Roman"/>
          <w:szCs w:val="32"/>
        </w:rPr>
        <w:t>政府增信金融产品体系。到</w:t>
      </w:r>
      <w:r>
        <w:rPr>
          <w:rFonts w:ascii="Times New Roman" w:eastAsia="仿宋_GB2312" w:hAnsi="Times New Roman" w:cs="Times New Roman"/>
          <w:szCs w:val="32"/>
        </w:rPr>
        <w:t>“</w:t>
      </w:r>
      <w:r>
        <w:rPr>
          <w:rFonts w:ascii="Times New Roman" w:eastAsia="仿宋_GB2312" w:hAnsi="Times New Roman" w:cs="Times New Roman"/>
          <w:szCs w:val="32"/>
        </w:rPr>
        <w:t>十四五</w:t>
      </w:r>
      <w:r>
        <w:rPr>
          <w:rFonts w:ascii="Times New Roman" w:eastAsia="仿宋_GB2312" w:hAnsi="Times New Roman" w:cs="Times New Roman"/>
          <w:szCs w:val="32"/>
        </w:rPr>
        <w:t>”</w:t>
      </w:r>
      <w:r>
        <w:rPr>
          <w:rFonts w:ascii="Times New Roman" w:eastAsia="仿宋_GB2312" w:hAnsi="Times New Roman" w:cs="Times New Roman"/>
          <w:szCs w:val="32"/>
        </w:rPr>
        <w:t>期末，力争各类政府征信产品贷款余额超</w:t>
      </w:r>
      <w:r>
        <w:rPr>
          <w:rFonts w:ascii="Times New Roman" w:eastAsia="仿宋_GB2312" w:hAnsi="Times New Roman" w:cs="Times New Roman"/>
          <w:szCs w:val="32"/>
        </w:rPr>
        <w:t>50</w:t>
      </w:r>
      <w:r>
        <w:rPr>
          <w:rFonts w:ascii="Times New Roman" w:eastAsia="仿宋_GB2312" w:hAnsi="Times New Roman" w:cs="Times New Roman"/>
          <w:szCs w:val="32"/>
        </w:rPr>
        <w:t>亿元，增幅超</w:t>
      </w:r>
      <w:r>
        <w:rPr>
          <w:rFonts w:ascii="Times New Roman" w:eastAsia="仿宋_GB2312" w:hAnsi="Times New Roman" w:cs="Times New Roman"/>
          <w:szCs w:val="32"/>
        </w:rPr>
        <w:t>120%</w:t>
      </w:r>
      <w:r>
        <w:rPr>
          <w:rFonts w:ascii="Times New Roman" w:eastAsia="仿宋_GB2312" w:hAnsi="Times New Roman" w:cs="Times New Roman"/>
          <w:szCs w:val="32"/>
        </w:rPr>
        <w:t>。</w:t>
      </w:r>
    </w:p>
    <w:p w:rsidR="0023790C" w:rsidRDefault="00972AA8">
      <w:pPr>
        <w:spacing w:line="580" w:lineRule="exact"/>
        <w:ind w:firstLineChars="200" w:firstLine="643"/>
        <w:rPr>
          <w:rFonts w:ascii="Times New Roman" w:eastAsia="仿宋_GB2312" w:hAnsi="Times New Roman" w:cs="Times New Roman"/>
          <w:b/>
          <w:szCs w:val="32"/>
        </w:rPr>
      </w:pPr>
      <w:bookmarkStart w:id="22" w:name="_Toc87626026"/>
      <w:r>
        <w:rPr>
          <w:rFonts w:ascii="Times New Roman" w:eastAsia="仿宋_GB2312" w:hAnsi="Times New Roman" w:cs="Times New Roman"/>
          <w:b/>
          <w:szCs w:val="32"/>
        </w:rPr>
        <w:t>2.</w:t>
      </w:r>
      <w:r>
        <w:rPr>
          <w:rFonts w:ascii="Times New Roman" w:eastAsia="仿宋_GB2312" w:hAnsi="Times New Roman" w:cs="Times New Roman"/>
          <w:b/>
          <w:szCs w:val="32"/>
        </w:rPr>
        <w:t>推动金融高质量服务</w:t>
      </w:r>
      <w:bookmarkEnd w:id="22"/>
      <w:r>
        <w:rPr>
          <w:rFonts w:ascii="Times New Roman" w:eastAsia="仿宋_GB2312" w:hAnsi="Times New Roman" w:cs="Times New Roman"/>
          <w:b/>
          <w:szCs w:val="32"/>
        </w:rPr>
        <w:t>重点产业</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lastRenderedPageBreak/>
        <w:t>实施差别化金融手段支持产能布局优化，引导金融资源重点支持太仓市主导、先导产业，形成规模效应和聚集效应。支持金融机构全面推动金融产品创新，积极开展仓单质押贷款、应收账款质押贷款、票据贴现、保理、国际国内信用证等各种形式的产业链金融业务。</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转变传统财政补贴扶持产业模式，运用市场化理念，为不同成长阶段的企业提供金融支持。支持金融机构围绕制造企业智能化、数字化转型需求，加快落实智能化改造和数字化转型贷款贴息奖励政策，有效满足智能制造领域的信贷资金需求。积极探索知识产权交易市场，通过投贷联动、股债结合、科技保险、科技信贷、知识产权质押融资、知识产权证券化等形成种类丰富的金融产品，更好地推动金融机构和资本市场参与科技创新。</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加强制造业企业上市工作协调力度，加快培育上市后备企业，推动制造业单项冠军、</w:t>
      </w:r>
      <w:r>
        <w:rPr>
          <w:rFonts w:ascii="Times New Roman" w:eastAsia="仿宋_GB2312" w:hAnsi="Times New Roman" w:cs="Times New Roman"/>
          <w:szCs w:val="32"/>
        </w:rPr>
        <w:t>“</w:t>
      </w:r>
      <w:r>
        <w:rPr>
          <w:rFonts w:ascii="Times New Roman" w:eastAsia="仿宋_GB2312" w:hAnsi="Times New Roman" w:cs="Times New Roman"/>
          <w:szCs w:val="32"/>
        </w:rPr>
        <w:t>专精特新</w:t>
      </w:r>
      <w:r>
        <w:rPr>
          <w:rFonts w:ascii="Times New Roman" w:eastAsia="仿宋_GB2312" w:hAnsi="Times New Roman" w:cs="Times New Roman"/>
          <w:szCs w:val="32"/>
        </w:rPr>
        <w:t>”</w:t>
      </w:r>
      <w:r>
        <w:rPr>
          <w:rFonts w:ascii="Times New Roman" w:eastAsia="仿宋_GB2312" w:hAnsi="Times New Roman" w:cs="Times New Roman"/>
          <w:szCs w:val="32"/>
        </w:rPr>
        <w:t>等创新企业登陆资本市场，助力企业发展壮大。加大制造业中长期融资支持力度，引导金融机构创新制造业贷款考核奖惩机制，加大对制造业的信贷投放力度。强化对中小企业融资支持，完善企业转贷应急机制。</w:t>
      </w:r>
    </w:p>
    <w:p w:rsidR="0023790C" w:rsidRDefault="00972AA8">
      <w:pPr>
        <w:spacing w:line="580" w:lineRule="exact"/>
        <w:ind w:firstLineChars="200" w:firstLine="643"/>
        <w:rPr>
          <w:rFonts w:ascii="Times New Roman" w:eastAsia="仿宋_GB2312" w:hAnsi="Times New Roman" w:cs="Times New Roman"/>
          <w:b/>
          <w:szCs w:val="32"/>
        </w:rPr>
      </w:pPr>
      <w:bookmarkStart w:id="23" w:name="_Toc87626027"/>
      <w:r>
        <w:rPr>
          <w:rFonts w:ascii="Times New Roman" w:eastAsia="仿宋_GB2312" w:hAnsi="Times New Roman" w:cs="Times New Roman"/>
          <w:b/>
          <w:szCs w:val="32"/>
        </w:rPr>
        <w:t>3.</w:t>
      </w:r>
      <w:r>
        <w:rPr>
          <w:rFonts w:ascii="Times New Roman" w:eastAsia="仿宋_GB2312" w:hAnsi="Times New Roman" w:cs="Times New Roman"/>
          <w:b/>
          <w:szCs w:val="32"/>
        </w:rPr>
        <w:t>推动金融高质量服务科技人才</w:t>
      </w:r>
      <w:bookmarkEnd w:id="23"/>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发挥多层次资本市场融资功能，放大产业引导基金作用，加快推动设立生物医药、科技人才等合作子基金，探索建立</w:t>
      </w:r>
      <w:r>
        <w:rPr>
          <w:rFonts w:ascii="Times New Roman" w:eastAsia="仿宋_GB2312" w:hAnsi="Times New Roman" w:cs="Times New Roman"/>
          <w:szCs w:val="32"/>
        </w:rPr>
        <w:t>“</w:t>
      </w:r>
      <w:r>
        <w:rPr>
          <w:rFonts w:ascii="Times New Roman" w:eastAsia="仿宋_GB2312" w:hAnsi="Times New Roman" w:cs="Times New Roman"/>
          <w:szCs w:val="32"/>
        </w:rPr>
        <w:t>基金</w:t>
      </w:r>
      <w:r>
        <w:rPr>
          <w:rFonts w:ascii="Times New Roman" w:eastAsia="仿宋_GB2312" w:hAnsi="Times New Roman" w:cs="Times New Roman"/>
          <w:szCs w:val="32"/>
        </w:rPr>
        <w:t>+</w:t>
      </w:r>
      <w:r>
        <w:rPr>
          <w:rFonts w:ascii="Times New Roman" w:eastAsia="仿宋_GB2312" w:hAnsi="Times New Roman" w:cs="Times New Roman"/>
          <w:szCs w:val="32"/>
        </w:rPr>
        <w:t>园区</w:t>
      </w:r>
      <w:r>
        <w:rPr>
          <w:rFonts w:ascii="Times New Roman" w:eastAsia="仿宋_GB2312" w:hAnsi="Times New Roman" w:cs="Times New Roman"/>
          <w:szCs w:val="32"/>
        </w:rPr>
        <w:t>+</w:t>
      </w:r>
      <w:r>
        <w:rPr>
          <w:rFonts w:ascii="Times New Roman" w:eastAsia="仿宋_GB2312" w:hAnsi="Times New Roman" w:cs="Times New Roman"/>
          <w:szCs w:val="32"/>
        </w:rPr>
        <w:t>产业</w:t>
      </w:r>
      <w:r>
        <w:rPr>
          <w:rFonts w:ascii="Times New Roman" w:eastAsia="仿宋_GB2312" w:hAnsi="Times New Roman" w:cs="Times New Roman"/>
          <w:szCs w:val="32"/>
        </w:rPr>
        <w:t>”</w:t>
      </w:r>
      <w:r>
        <w:rPr>
          <w:rFonts w:ascii="Times New Roman" w:eastAsia="仿宋_GB2312" w:hAnsi="Times New Roman" w:cs="Times New Roman"/>
          <w:szCs w:val="32"/>
        </w:rPr>
        <w:t>的金融服务模式，实现</w:t>
      </w:r>
      <w:r>
        <w:rPr>
          <w:rFonts w:ascii="Times New Roman" w:eastAsia="仿宋_GB2312" w:hAnsi="Times New Roman" w:cs="Times New Roman"/>
          <w:szCs w:val="32"/>
        </w:rPr>
        <w:t>“</w:t>
      </w:r>
      <w:r>
        <w:rPr>
          <w:rFonts w:ascii="Times New Roman" w:eastAsia="仿宋_GB2312" w:hAnsi="Times New Roman" w:cs="Times New Roman"/>
          <w:szCs w:val="32"/>
        </w:rPr>
        <w:t>有为政府</w:t>
      </w:r>
      <w:r>
        <w:rPr>
          <w:rFonts w:ascii="Times New Roman" w:eastAsia="仿宋_GB2312" w:hAnsi="Times New Roman" w:cs="Times New Roman"/>
          <w:szCs w:val="32"/>
        </w:rPr>
        <w:t>”</w:t>
      </w:r>
      <w:r>
        <w:rPr>
          <w:rFonts w:ascii="Times New Roman" w:eastAsia="仿宋_GB2312" w:hAnsi="Times New Roman" w:cs="Times New Roman"/>
          <w:szCs w:val="32"/>
        </w:rPr>
        <w:t>与</w:t>
      </w:r>
      <w:r>
        <w:rPr>
          <w:rFonts w:ascii="Times New Roman" w:eastAsia="仿宋_GB2312" w:hAnsi="Times New Roman" w:cs="Times New Roman"/>
          <w:szCs w:val="32"/>
        </w:rPr>
        <w:t>“</w:t>
      </w:r>
      <w:r>
        <w:rPr>
          <w:rFonts w:ascii="Times New Roman" w:eastAsia="仿宋_GB2312" w:hAnsi="Times New Roman" w:cs="Times New Roman"/>
          <w:szCs w:val="32"/>
        </w:rPr>
        <w:t>有效市场</w:t>
      </w:r>
      <w:r>
        <w:rPr>
          <w:rFonts w:ascii="Times New Roman" w:eastAsia="仿宋_GB2312" w:hAnsi="Times New Roman" w:cs="Times New Roman"/>
          <w:szCs w:val="32"/>
        </w:rPr>
        <w:t>”</w:t>
      </w:r>
      <w:r>
        <w:rPr>
          <w:rFonts w:ascii="Times New Roman" w:eastAsia="仿宋_GB2312" w:hAnsi="Times New Roman" w:cs="Times New Roman"/>
          <w:szCs w:val="32"/>
        </w:rPr>
        <w:t>有机结合</w:t>
      </w:r>
      <w:r>
        <w:rPr>
          <w:rFonts w:ascii="Times New Roman" w:eastAsia="仿宋_GB2312" w:hAnsi="Times New Roman" w:cs="Times New Roman" w:hint="eastAsia"/>
          <w:szCs w:val="32"/>
        </w:rPr>
        <w:t>。</w:t>
      </w:r>
      <w:r>
        <w:rPr>
          <w:rFonts w:ascii="Times New Roman" w:eastAsia="仿宋_GB2312" w:hAnsi="Times New Roman" w:cs="Times New Roman"/>
          <w:szCs w:val="32"/>
        </w:rPr>
        <w:t>优选投资对象，建立投资项目库，拓宽投资方式，完善风</w:t>
      </w:r>
      <w:r>
        <w:rPr>
          <w:rFonts w:ascii="Times New Roman" w:eastAsia="仿宋_GB2312" w:hAnsi="Times New Roman" w:cs="Times New Roman"/>
          <w:szCs w:val="32"/>
        </w:rPr>
        <w:lastRenderedPageBreak/>
        <w:t>险分担机制，形成区域重点产业发展集群效应。做优做大</w:t>
      </w:r>
      <w:r>
        <w:rPr>
          <w:rFonts w:ascii="Times New Roman" w:eastAsia="仿宋_GB2312" w:hAnsi="Times New Roman" w:cs="Times New Roman"/>
          <w:szCs w:val="32"/>
        </w:rPr>
        <w:t>“</w:t>
      </w:r>
      <w:r>
        <w:rPr>
          <w:rFonts w:ascii="Times New Roman" w:eastAsia="仿宋_GB2312" w:hAnsi="Times New Roman" w:cs="Times New Roman"/>
          <w:szCs w:val="32"/>
        </w:rPr>
        <w:t>苏科贷</w:t>
      </w:r>
      <w:r>
        <w:rPr>
          <w:rFonts w:ascii="Times New Roman" w:eastAsia="仿宋_GB2312" w:hAnsi="Times New Roman" w:cs="Times New Roman"/>
          <w:szCs w:val="32"/>
        </w:rPr>
        <w:t>”“</w:t>
      </w:r>
      <w:r>
        <w:rPr>
          <w:rFonts w:ascii="Times New Roman" w:eastAsia="仿宋_GB2312" w:hAnsi="Times New Roman" w:cs="Times New Roman"/>
          <w:szCs w:val="32"/>
        </w:rPr>
        <w:t>领军贷</w:t>
      </w:r>
      <w:r>
        <w:rPr>
          <w:rFonts w:ascii="Times New Roman" w:eastAsia="仿宋_GB2312" w:hAnsi="Times New Roman" w:cs="Times New Roman"/>
          <w:szCs w:val="32"/>
        </w:rPr>
        <w:t>”</w:t>
      </w:r>
      <w:r>
        <w:rPr>
          <w:rFonts w:ascii="Times New Roman" w:eastAsia="仿宋_GB2312" w:hAnsi="Times New Roman" w:cs="Times New Roman"/>
          <w:szCs w:val="32"/>
        </w:rPr>
        <w:t>等科技金融产品，为科技型中小企业提供政府增信信贷产品。</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充分利用江苏省科技企业融资路演服务中心太仓分中心，加大对全市高新技术企业、领军人才企业、科技型中小企业等走访服务力度，组织举办科技金融政策宣讲会、科技人才项目融资路演等活动，拓宽企业融资渠道，统筹推进科技金融融合和产业优化升级。</w:t>
      </w:r>
    </w:p>
    <w:p w:rsidR="0023790C" w:rsidRDefault="00972AA8">
      <w:pPr>
        <w:spacing w:line="580" w:lineRule="exact"/>
        <w:ind w:firstLineChars="200" w:firstLine="643"/>
        <w:rPr>
          <w:rFonts w:ascii="Times New Roman" w:eastAsia="仿宋_GB2312" w:hAnsi="Times New Roman" w:cs="Times New Roman"/>
          <w:b/>
          <w:szCs w:val="32"/>
        </w:rPr>
      </w:pPr>
      <w:bookmarkStart w:id="24" w:name="_Toc87626028"/>
      <w:r>
        <w:rPr>
          <w:rFonts w:ascii="Times New Roman" w:eastAsia="仿宋_GB2312" w:hAnsi="Times New Roman" w:cs="Times New Roman"/>
          <w:b/>
          <w:szCs w:val="32"/>
        </w:rPr>
        <w:t>4.</w:t>
      </w:r>
      <w:r>
        <w:rPr>
          <w:rFonts w:ascii="Times New Roman" w:eastAsia="仿宋_GB2312" w:hAnsi="Times New Roman" w:cs="Times New Roman"/>
          <w:b/>
          <w:szCs w:val="32"/>
        </w:rPr>
        <w:t>推动金融高质量服务乡村振兴</w:t>
      </w:r>
      <w:bookmarkEnd w:id="24"/>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进一步完善金融支农支小激励机制，引导鼓励金融机构开发专属金融产品。大力发展农村产权交易市场，扩大农资抵押担保融资范围。加快农村征信体系建设，完善政策性融资担保体系，发挥</w:t>
      </w:r>
      <w:r>
        <w:rPr>
          <w:rFonts w:ascii="Times New Roman" w:eastAsia="仿宋_GB2312" w:hAnsi="Times New Roman" w:cs="Times New Roman"/>
          <w:szCs w:val="32"/>
        </w:rPr>
        <w:t>“</w:t>
      </w:r>
      <w:r>
        <w:rPr>
          <w:rFonts w:ascii="Times New Roman" w:eastAsia="仿宋_GB2312" w:hAnsi="Times New Roman" w:cs="Times New Roman"/>
          <w:szCs w:val="32"/>
        </w:rPr>
        <w:t>信贷</w:t>
      </w:r>
      <w:r>
        <w:rPr>
          <w:rFonts w:ascii="Times New Roman" w:eastAsia="仿宋_GB2312" w:hAnsi="Times New Roman" w:cs="Times New Roman"/>
          <w:szCs w:val="32"/>
        </w:rPr>
        <w:t>+</w:t>
      </w:r>
      <w:r>
        <w:rPr>
          <w:rFonts w:ascii="Times New Roman" w:eastAsia="仿宋_GB2312" w:hAnsi="Times New Roman" w:cs="Times New Roman"/>
          <w:szCs w:val="32"/>
        </w:rPr>
        <w:t>担保</w:t>
      </w:r>
      <w:r>
        <w:rPr>
          <w:rFonts w:ascii="Times New Roman" w:eastAsia="仿宋_GB2312" w:hAnsi="Times New Roman" w:cs="Times New Roman"/>
          <w:szCs w:val="32"/>
        </w:rPr>
        <w:t>”“</w:t>
      </w:r>
      <w:r>
        <w:rPr>
          <w:rFonts w:ascii="Times New Roman" w:eastAsia="仿宋_GB2312" w:hAnsi="Times New Roman" w:cs="Times New Roman"/>
          <w:szCs w:val="32"/>
        </w:rPr>
        <w:t>信贷</w:t>
      </w:r>
      <w:r>
        <w:rPr>
          <w:rFonts w:ascii="Times New Roman" w:eastAsia="仿宋_GB2312" w:hAnsi="Times New Roman" w:cs="Times New Roman"/>
          <w:szCs w:val="32"/>
        </w:rPr>
        <w:t>+</w:t>
      </w:r>
      <w:r>
        <w:rPr>
          <w:rFonts w:ascii="Times New Roman" w:eastAsia="仿宋_GB2312" w:hAnsi="Times New Roman" w:cs="Times New Roman"/>
          <w:szCs w:val="32"/>
        </w:rPr>
        <w:t>保险</w:t>
      </w:r>
      <w:r>
        <w:rPr>
          <w:rFonts w:ascii="Times New Roman" w:eastAsia="仿宋_GB2312" w:hAnsi="Times New Roman" w:cs="Times New Roman"/>
          <w:szCs w:val="32"/>
        </w:rPr>
        <w:t>”</w:t>
      </w:r>
      <w:r>
        <w:rPr>
          <w:rFonts w:ascii="Times New Roman" w:eastAsia="仿宋_GB2312" w:hAnsi="Times New Roman" w:cs="Times New Roman"/>
          <w:szCs w:val="32"/>
        </w:rPr>
        <w:t>的风险分担作用，持续降低涉农主体综合融资成本。支持地方性商业银行发挥网点布局、服务下沉优势，利用数字化技术开展农业供应链和数字普惠金融服务，鼓励金融机构创新金融助农产品，推广农业保险等新型金融产品。</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以规范流转交易行为和完善服务功能为重点，配合上级构建市、县、镇（</w:t>
      </w:r>
      <w:r>
        <w:rPr>
          <w:rFonts w:ascii="Times New Roman" w:eastAsia="仿宋_GB2312" w:hAnsi="Times New Roman" w:cs="Times New Roman" w:hint="eastAsia"/>
          <w:szCs w:val="32"/>
        </w:rPr>
        <w:t>区</w:t>
      </w:r>
      <w:r>
        <w:rPr>
          <w:rFonts w:ascii="Times New Roman" w:eastAsia="仿宋_GB2312" w:hAnsi="Times New Roman" w:cs="Times New Roman"/>
          <w:szCs w:val="32"/>
        </w:rPr>
        <w:t>）三级联动、网络通畅的农村产权流转交易体系，促进城乡生产要素自由流动。支持涉农企业在主板、科创板、新三板和区域性股权交易等多层次市场融资，为农业龙头企业在并购重组、债券发行、资产证券化等方面开辟绿色通道，推动全市农业产业资源优化整合，持续提升农业龙头企业的综合竞争力。</w:t>
      </w:r>
      <w:r>
        <w:rPr>
          <w:rFonts w:ascii="Times New Roman" w:eastAsia="仿宋_GB2312" w:hAnsi="Times New Roman" w:cs="Times New Roman"/>
          <w:szCs w:val="32"/>
        </w:rPr>
        <w:lastRenderedPageBreak/>
        <w:t>加快探索建立乡村振兴基金，吸引撬动更多社会资本投入</w:t>
      </w:r>
      <w:r>
        <w:rPr>
          <w:rFonts w:ascii="Times New Roman" w:eastAsia="仿宋_GB2312" w:hAnsi="Times New Roman" w:cs="Times New Roman"/>
          <w:szCs w:val="32"/>
        </w:rPr>
        <w:t>“</w:t>
      </w:r>
      <w:r>
        <w:rPr>
          <w:rFonts w:ascii="Times New Roman" w:eastAsia="仿宋_GB2312" w:hAnsi="Times New Roman" w:cs="Times New Roman"/>
          <w:szCs w:val="32"/>
        </w:rPr>
        <w:t>三农</w:t>
      </w:r>
      <w:r>
        <w:rPr>
          <w:rFonts w:ascii="Times New Roman" w:eastAsia="仿宋_GB2312" w:hAnsi="Times New Roman" w:cs="Times New Roman"/>
          <w:szCs w:val="32"/>
        </w:rPr>
        <w:t>”</w:t>
      </w:r>
      <w:r>
        <w:rPr>
          <w:rFonts w:ascii="Times New Roman" w:eastAsia="仿宋_GB2312" w:hAnsi="Times New Roman" w:cs="Times New Roman"/>
          <w:szCs w:val="32"/>
        </w:rPr>
        <w:t>领域，推动农业产业高质量发展。</w:t>
      </w:r>
    </w:p>
    <w:p w:rsidR="0023790C" w:rsidRDefault="00972AA8">
      <w:pPr>
        <w:spacing w:line="580" w:lineRule="exact"/>
        <w:ind w:firstLineChars="200" w:firstLine="643"/>
        <w:rPr>
          <w:rFonts w:ascii="Times New Roman" w:eastAsia="仿宋_GB2312" w:hAnsi="Times New Roman" w:cs="Times New Roman"/>
          <w:b/>
          <w:szCs w:val="32"/>
        </w:rPr>
      </w:pPr>
      <w:bookmarkStart w:id="25" w:name="_Toc87626029"/>
      <w:r>
        <w:rPr>
          <w:rFonts w:ascii="Times New Roman" w:eastAsia="仿宋_GB2312" w:hAnsi="Times New Roman" w:cs="Times New Roman"/>
          <w:b/>
          <w:szCs w:val="32"/>
        </w:rPr>
        <w:t>5.</w:t>
      </w:r>
      <w:r>
        <w:rPr>
          <w:rFonts w:ascii="Times New Roman" w:eastAsia="仿宋_GB2312" w:hAnsi="Times New Roman" w:cs="Times New Roman"/>
          <w:b/>
          <w:szCs w:val="32"/>
        </w:rPr>
        <w:t>推动金融高质量服务绿色生态</w:t>
      </w:r>
      <w:bookmarkEnd w:id="25"/>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完善绿色金融政策体系。加快推动绿色金融政策支持、标准制定、正向激励、产品创新等体制机制建设，积极申报绿色金融改革创新试验区试点。完善绿色项目评估认证体系，建立绿色金融项目库，对接综合金融服务平台，畅通绿色项目与金融资源对接渠道。推行采用排污权交易、环境税、资源产品定价、碳排放标志认证等市场化政策工具，引导市场主体绿色化转型。</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鼓励金融机构建立符合绿色低碳企业和项目特点的信贷管理制度，向绿色低碳领域倾斜更多信贷资源。支持符合条件的金融机构和企业发行各类绿色债券和资产证券化产品，鼓励社会资本发起设立绿色产业基金。鼓励保险机构开发绿色保险产品，支持绿色创新保险、绿色企业责任保险等险种先行先试。</w:t>
      </w:r>
    </w:p>
    <w:p w:rsidR="0023790C" w:rsidRDefault="00972AA8">
      <w:pPr>
        <w:spacing w:line="580" w:lineRule="exact"/>
        <w:ind w:firstLineChars="200" w:firstLine="640"/>
        <w:rPr>
          <w:rFonts w:ascii="Times New Roman" w:eastAsia="楷体_GB2312" w:hAnsi="Times New Roman" w:cs="Times New Roman"/>
          <w:szCs w:val="32"/>
        </w:rPr>
      </w:pPr>
      <w:bookmarkStart w:id="26" w:name="_Toc87626030"/>
      <w:r>
        <w:rPr>
          <w:rFonts w:ascii="Times New Roman" w:eastAsia="楷体_GB2312" w:hAnsi="Times New Roman" w:cs="Times New Roman"/>
          <w:szCs w:val="32"/>
        </w:rPr>
        <w:t>（三）构筑资本产业生态，打造资本集聚发展示范城市</w:t>
      </w:r>
      <w:bookmarkEnd w:id="26"/>
    </w:p>
    <w:p w:rsidR="0023790C" w:rsidRDefault="00972AA8">
      <w:pPr>
        <w:spacing w:line="580" w:lineRule="exact"/>
        <w:ind w:firstLineChars="200" w:firstLine="643"/>
        <w:rPr>
          <w:rFonts w:ascii="Times New Roman" w:eastAsia="仿宋_GB2312" w:hAnsi="Times New Roman" w:cs="Times New Roman"/>
          <w:b/>
          <w:szCs w:val="32"/>
        </w:rPr>
      </w:pPr>
      <w:bookmarkStart w:id="27" w:name="_Toc87626031"/>
      <w:r>
        <w:rPr>
          <w:rFonts w:ascii="Times New Roman" w:eastAsia="仿宋_GB2312" w:hAnsi="Times New Roman" w:cs="Times New Roman"/>
          <w:b/>
          <w:szCs w:val="32"/>
        </w:rPr>
        <w:t>1.</w:t>
      </w:r>
      <w:r>
        <w:rPr>
          <w:rFonts w:ascii="Times New Roman" w:eastAsia="仿宋_GB2312" w:hAnsi="Times New Roman" w:cs="Times New Roman"/>
          <w:b/>
          <w:szCs w:val="32"/>
        </w:rPr>
        <w:t>加快集聚多元资本活水</w:t>
      </w:r>
      <w:bookmarkEnd w:id="27"/>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结合太仓未来重点发展产业，招引一批高质量头部基金公司，依托</w:t>
      </w:r>
      <w:r>
        <w:rPr>
          <w:rFonts w:ascii="Times New Roman" w:eastAsia="仿宋_GB2312" w:hAnsi="Times New Roman" w:cs="Times New Roman"/>
          <w:szCs w:val="32"/>
        </w:rPr>
        <w:t>“BEGI·N”</w:t>
      </w:r>
      <w:r>
        <w:rPr>
          <w:rFonts w:ascii="Times New Roman" w:eastAsia="仿宋_GB2312" w:hAnsi="Times New Roman" w:cs="Times New Roman"/>
          <w:szCs w:val="32"/>
        </w:rPr>
        <w:t>金融沙龙品牌，强化基金招商宣传，提升我市在头部基金中的知名度和影响力，强化各类子基金对创新项目、产业项目的资本纽带作用。完善引导基金及其管理公司内部管理体系，在行政、财务、薪酬、风控、法务、投资决策等方面予以规范。加强合作子基金合规性审查管理，加大合作子基金、</w:t>
      </w:r>
      <w:r>
        <w:rPr>
          <w:rFonts w:ascii="Times New Roman" w:eastAsia="仿宋_GB2312" w:hAnsi="Times New Roman" w:cs="Times New Roman" w:hint="eastAsia"/>
          <w:szCs w:val="32"/>
        </w:rPr>
        <w:t>专项</w:t>
      </w:r>
      <w:r>
        <w:rPr>
          <w:rFonts w:ascii="Times New Roman" w:eastAsia="仿宋_GB2312" w:hAnsi="Times New Roman" w:cs="Times New Roman"/>
          <w:szCs w:val="32"/>
        </w:rPr>
        <w:t>子</w:t>
      </w:r>
      <w:r>
        <w:rPr>
          <w:rFonts w:ascii="Times New Roman" w:eastAsia="仿宋_GB2312" w:hAnsi="Times New Roman" w:cs="Times New Roman"/>
          <w:szCs w:val="32"/>
        </w:rPr>
        <w:lastRenderedPageBreak/>
        <w:t>基金项目信息披露管理，建立投资项目投后管理机制。支持文教投集团等公司构建服务科技企业全生命周期的科技金融服务体系，设立股权类科创基金，赋能科技产业发展。进一步创新人才培养模式和人才引进政策，优化培育环境，通过培训、深造、住房、子女入学、医疗优惠政策等方式，大力培养、引进高层次基金管理的专业人才，提高基金管理效率，打造一支专业化国资股权投资管理团队。</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hint="eastAsia"/>
          <w:szCs w:val="32"/>
        </w:rPr>
        <w:t>围绕产业不同发展阶段，构建天使基金、创投基金、</w:t>
      </w:r>
      <w:r>
        <w:rPr>
          <w:rFonts w:ascii="Times New Roman" w:eastAsia="仿宋_GB2312" w:hAnsi="Times New Roman" w:cs="Times New Roman" w:hint="eastAsia"/>
          <w:szCs w:val="32"/>
        </w:rPr>
        <w:t>PE</w:t>
      </w:r>
      <w:r>
        <w:rPr>
          <w:rFonts w:ascii="Times New Roman" w:eastAsia="仿宋_GB2312" w:hAnsi="Times New Roman" w:cs="Times New Roman" w:hint="eastAsia"/>
          <w:szCs w:val="32"/>
        </w:rPr>
        <w:t>基金、并购基金等组成的股权投资生态体系。健全完善科创企业多元化培育机制，重点引育符合太仓产业发展方向的专业投资基金，提升优质项目与资本对接效率，吸引更多科创企业来太投资。</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支持优质上市公司实施战略性并购重组和产业整合。利用好资产证券化契机，创新资本运作方式盘活存量，推进符合条件的企业扩大企业债、公司债、中期票据、短期融资券、资产证券化等债券融资规模，鼓励符合条件的创新创业公司和创业投资公司通过</w:t>
      </w:r>
      <w:r>
        <w:rPr>
          <w:rFonts w:ascii="Times New Roman" w:eastAsia="仿宋_GB2312" w:hAnsi="Times New Roman" w:cs="Times New Roman"/>
          <w:szCs w:val="32"/>
        </w:rPr>
        <w:t>“</w:t>
      </w:r>
      <w:r>
        <w:rPr>
          <w:rFonts w:ascii="Times New Roman" w:eastAsia="仿宋_GB2312" w:hAnsi="Times New Roman" w:cs="Times New Roman"/>
          <w:szCs w:val="32"/>
        </w:rPr>
        <w:t>双创债</w:t>
      </w:r>
      <w:r>
        <w:rPr>
          <w:rFonts w:ascii="Times New Roman" w:eastAsia="仿宋_GB2312" w:hAnsi="Times New Roman" w:cs="Times New Roman"/>
          <w:szCs w:val="32"/>
        </w:rPr>
        <w:t>”</w:t>
      </w:r>
      <w:r>
        <w:rPr>
          <w:rFonts w:ascii="Times New Roman" w:eastAsia="仿宋_GB2312" w:hAnsi="Times New Roman" w:cs="Times New Roman"/>
          <w:szCs w:val="32"/>
        </w:rPr>
        <w:t>融资，优化资本结构。利用银行间债券市场，推动辖内法人银行发行金融债券。利用中德金融合作契机，推动金融国际化合作。</w:t>
      </w:r>
    </w:p>
    <w:p w:rsidR="0023790C" w:rsidRDefault="00972AA8">
      <w:pPr>
        <w:spacing w:line="580" w:lineRule="exact"/>
        <w:ind w:firstLineChars="200" w:firstLine="643"/>
        <w:rPr>
          <w:rFonts w:ascii="Times New Roman" w:eastAsia="仿宋_GB2312" w:hAnsi="Times New Roman" w:cs="Times New Roman"/>
          <w:b/>
          <w:szCs w:val="32"/>
        </w:rPr>
      </w:pPr>
      <w:bookmarkStart w:id="28" w:name="_Toc87626032"/>
      <w:r>
        <w:rPr>
          <w:rFonts w:ascii="Times New Roman" w:eastAsia="仿宋_GB2312" w:hAnsi="Times New Roman" w:cs="Times New Roman"/>
          <w:b/>
          <w:szCs w:val="32"/>
        </w:rPr>
        <w:t>2.</w:t>
      </w:r>
      <w:r>
        <w:rPr>
          <w:rFonts w:ascii="Times New Roman" w:eastAsia="仿宋_GB2312" w:hAnsi="Times New Roman" w:cs="Times New Roman"/>
          <w:b/>
          <w:szCs w:val="32"/>
        </w:rPr>
        <w:t>畅通产业资本对接渠道</w:t>
      </w:r>
      <w:bookmarkEnd w:id="28"/>
    </w:p>
    <w:p w:rsidR="0023790C" w:rsidRDefault="00972AA8">
      <w:pPr>
        <w:spacing w:line="580" w:lineRule="exact"/>
        <w:ind w:firstLineChars="200" w:firstLine="640"/>
        <w:rPr>
          <w:rFonts w:ascii="Times New Roman" w:eastAsia="仿宋_GB2312" w:hAnsi="Times New Roman" w:cs="Times New Roman"/>
          <w:szCs w:val="32"/>
        </w:rPr>
      </w:pPr>
      <w:bookmarkStart w:id="29" w:name="_Toc87626033"/>
      <w:r>
        <w:rPr>
          <w:rFonts w:ascii="Times New Roman" w:eastAsia="仿宋_GB2312" w:hAnsi="Times New Roman" w:cs="Times New Roman"/>
          <w:szCs w:val="32"/>
        </w:rPr>
        <w:t>加大股改力度。积极引导上市后备企业严格按照《公司法》《证券法》要求，进行规范化股份制改造，扫清影响上市的法律障碍。在涉及环保批复、公积金证明、用地规划审批证明、消防</w:t>
      </w:r>
      <w:r>
        <w:rPr>
          <w:rFonts w:ascii="Times New Roman" w:eastAsia="仿宋_GB2312" w:hAnsi="Times New Roman" w:cs="Times New Roman"/>
          <w:szCs w:val="32"/>
        </w:rPr>
        <w:lastRenderedPageBreak/>
        <w:t>安全、项目立项等相关材料证明等问题上给予大力支持，为企业提供绿色通道。</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加强沟通协调。充分发挥市企业上市工作领导小组统筹协调、牵头作用，动态更新上市后备企业</w:t>
      </w:r>
      <w:r>
        <w:rPr>
          <w:rFonts w:ascii="Times New Roman" w:eastAsia="仿宋_GB2312" w:hAnsi="Times New Roman" w:cs="Times New Roman"/>
          <w:szCs w:val="32"/>
        </w:rPr>
        <w:t>“</w:t>
      </w:r>
      <w:r>
        <w:rPr>
          <w:rFonts w:ascii="Times New Roman" w:eastAsia="仿宋_GB2312" w:hAnsi="Times New Roman" w:cs="Times New Roman"/>
          <w:szCs w:val="32"/>
        </w:rPr>
        <w:t>白名单</w:t>
      </w:r>
      <w:r>
        <w:rPr>
          <w:rFonts w:ascii="Times New Roman" w:eastAsia="仿宋_GB2312" w:hAnsi="Times New Roman" w:cs="Times New Roman"/>
          <w:szCs w:val="32"/>
        </w:rPr>
        <w:t>”</w:t>
      </w:r>
      <w:r>
        <w:rPr>
          <w:rFonts w:ascii="Times New Roman" w:eastAsia="仿宋_GB2312" w:hAnsi="Times New Roman" w:cs="Times New Roman"/>
          <w:szCs w:val="32"/>
        </w:rPr>
        <w:t>，协调解决企业上市过程中的各项问题和障碍。主动对接上交所、深交所、北交所、江苏证监局以及券商中介机构，及时掌握上市最新动态。</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突出协调保障。持续关注北交所进展情况，加快相关政策研究，推进全市科技创新型中小企业进军资本市场步伐。结合</w:t>
      </w:r>
      <w:r>
        <w:rPr>
          <w:rFonts w:ascii="Times New Roman" w:eastAsia="仿宋_GB2312" w:hAnsi="Times New Roman" w:cs="Times New Roman"/>
          <w:szCs w:val="32"/>
        </w:rPr>
        <w:t>“BEGI·N”</w:t>
      </w:r>
      <w:r>
        <w:rPr>
          <w:rFonts w:ascii="Times New Roman" w:eastAsia="仿宋_GB2312" w:hAnsi="Times New Roman" w:cs="Times New Roman"/>
          <w:szCs w:val="32"/>
        </w:rPr>
        <w:t>金融沙龙举行上市相关业务知识培训，重点介绍北交所、科创板上市政策内容。</w:t>
      </w:r>
    </w:p>
    <w:p w:rsidR="0023790C" w:rsidRDefault="00972AA8">
      <w:pPr>
        <w:spacing w:line="580" w:lineRule="exact"/>
        <w:ind w:firstLineChars="200" w:firstLine="643"/>
        <w:rPr>
          <w:rFonts w:ascii="Times New Roman" w:eastAsia="仿宋_GB2312" w:hAnsi="Times New Roman" w:cs="Times New Roman"/>
          <w:b/>
          <w:szCs w:val="32"/>
        </w:rPr>
      </w:pPr>
      <w:r>
        <w:rPr>
          <w:rFonts w:ascii="Times New Roman" w:eastAsia="仿宋_GB2312" w:hAnsi="Times New Roman" w:cs="Times New Roman"/>
          <w:b/>
          <w:szCs w:val="32"/>
        </w:rPr>
        <w:t>3.</w:t>
      </w:r>
      <w:r>
        <w:rPr>
          <w:rFonts w:ascii="Times New Roman" w:eastAsia="仿宋_GB2312" w:hAnsi="Times New Roman" w:cs="Times New Roman"/>
          <w:b/>
          <w:szCs w:val="32"/>
        </w:rPr>
        <w:t>完善产业资本配套生态</w:t>
      </w:r>
      <w:bookmarkEnd w:id="29"/>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探索设立专业化投融资服务公司，定期专业化策划、组织峰会、路演、培训、交流等投融资活动，系统性地进行产业政策宣传、产业人才交流、产业资本对接，通过</w:t>
      </w:r>
      <w:r>
        <w:rPr>
          <w:rFonts w:ascii="Times New Roman" w:eastAsia="仿宋_GB2312" w:hAnsi="Times New Roman" w:cs="Times New Roman"/>
          <w:szCs w:val="32"/>
        </w:rPr>
        <w:t>“</w:t>
      </w:r>
      <w:r>
        <w:rPr>
          <w:rFonts w:ascii="Times New Roman" w:eastAsia="仿宋_GB2312" w:hAnsi="Times New Roman" w:cs="Times New Roman"/>
          <w:szCs w:val="32"/>
        </w:rPr>
        <w:t>走出去、引进来</w:t>
      </w:r>
      <w:r>
        <w:rPr>
          <w:rFonts w:ascii="Times New Roman" w:eastAsia="仿宋_GB2312" w:hAnsi="Times New Roman" w:cs="Times New Roman"/>
          <w:szCs w:val="32"/>
        </w:rPr>
        <w:t>”</w:t>
      </w:r>
      <w:r>
        <w:rPr>
          <w:rFonts w:ascii="Times New Roman" w:eastAsia="仿宋_GB2312" w:hAnsi="Times New Roman" w:cs="Times New Roman"/>
          <w:szCs w:val="32"/>
        </w:rPr>
        <w:t>，不断提高影响力，逐步形成品牌效应。</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创新人才培养模式和人才引进政策。通过培训、深造、落户优惠政策等方式，大力培养和引进高层次、不同领域细分行业的专业投资人才，形成围绕太仓先导产业发展各阶段的多层次股权投资专业人才队伍。</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深度对接上海虹桥商务区建设，联动上海产业发展。在娄江新城建设金融商务产业载体，打造高铁商务功能区，主动承接大虹桥商务区功能外溢，全力构建上海北翼国际开放枢纽。加快发</w:t>
      </w:r>
      <w:r>
        <w:rPr>
          <w:rFonts w:ascii="Times New Roman" w:eastAsia="仿宋_GB2312" w:hAnsi="Times New Roman" w:cs="Times New Roman"/>
          <w:szCs w:val="32"/>
        </w:rPr>
        <w:lastRenderedPageBreak/>
        <w:t>展服务外包、知识产权、人力资源、资产评估等配套商务服务业。</w:t>
      </w:r>
    </w:p>
    <w:p w:rsidR="0023790C" w:rsidRDefault="00972AA8">
      <w:pPr>
        <w:spacing w:line="580" w:lineRule="exact"/>
        <w:ind w:firstLineChars="200" w:firstLine="640"/>
        <w:rPr>
          <w:rFonts w:ascii="Times New Roman" w:eastAsia="楷体_GB2312" w:hAnsi="Times New Roman" w:cs="Times New Roman"/>
          <w:szCs w:val="32"/>
        </w:rPr>
      </w:pPr>
      <w:bookmarkStart w:id="30" w:name="_Toc87626034"/>
      <w:r>
        <w:rPr>
          <w:rFonts w:ascii="Times New Roman" w:eastAsia="楷体_GB2312" w:hAnsi="Times New Roman" w:cs="Times New Roman"/>
          <w:szCs w:val="32"/>
        </w:rPr>
        <w:t>（四）提升政府服务效能，</w:t>
      </w:r>
      <w:bookmarkEnd w:id="30"/>
      <w:r>
        <w:rPr>
          <w:rFonts w:ascii="Times New Roman" w:eastAsia="楷体_GB2312" w:hAnsi="Times New Roman" w:cs="Times New Roman"/>
          <w:szCs w:val="32"/>
        </w:rPr>
        <w:t>打造优质金融生态示范城市</w:t>
      </w:r>
    </w:p>
    <w:p w:rsidR="0023790C" w:rsidRDefault="00972AA8">
      <w:pPr>
        <w:spacing w:line="580" w:lineRule="exact"/>
        <w:ind w:firstLineChars="200" w:firstLine="643"/>
        <w:rPr>
          <w:rFonts w:ascii="Times New Roman" w:eastAsia="仿宋_GB2312" w:hAnsi="Times New Roman" w:cs="Times New Roman"/>
          <w:b/>
          <w:szCs w:val="32"/>
        </w:rPr>
      </w:pPr>
      <w:bookmarkStart w:id="31" w:name="_Toc87626035"/>
      <w:r>
        <w:rPr>
          <w:rFonts w:ascii="Times New Roman" w:eastAsia="仿宋_GB2312" w:hAnsi="Times New Roman" w:cs="Times New Roman"/>
          <w:b/>
          <w:szCs w:val="32"/>
        </w:rPr>
        <w:t>1.</w:t>
      </w:r>
      <w:r>
        <w:rPr>
          <w:rFonts w:ascii="Times New Roman" w:eastAsia="仿宋_GB2312" w:hAnsi="Times New Roman" w:cs="Times New Roman"/>
          <w:b/>
          <w:szCs w:val="32"/>
        </w:rPr>
        <w:t>提升金融开放合作影响力</w:t>
      </w:r>
      <w:bookmarkEnd w:id="31"/>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充分利用太仓沿江临沪设港的自然禀赋，发挥区位交通、商务成本、空间要素的优势，紧扣苏州（太仓）港口型国家物流枢纽入选国家物流枢纽建设名单、苏州建设产业资本中心和太仓建设娄江新城的有利契机，积极对接上海国际金融中心，切实加强</w:t>
      </w:r>
      <w:r>
        <w:rPr>
          <w:rFonts w:ascii="Times New Roman" w:eastAsia="仿宋_GB2312" w:hAnsi="Times New Roman" w:cs="Times New Roman"/>
          <w:szCs w:val="32"/>
        </w:rPr>
        <w:t>“</w:t>
      </w:r>
      <w:r>
        <w:rPr>
          <w:rFonts w:ascii="Times New Roman" w:eastAsia="仿宋_GB2312" w:hAnsi="Times New Roman" w:cs="Times New Roman"/>
          <w:szCs w:val="32"/>
        </w:rPr>
        <w:t>融入上海、对德合作、以港强市</w:t>
      </w:r>
      <w:r>
        <w:rPr>
          <w:rFonts w:ascii="Times New Roman" w:eastAsia="仿宋_GB2312" w:hAnsi="Times New Roman" w:cs="Times New Roman"/>
          <w:szCs w:val="32"/>
        </w:rPr>
        <w:t>”</w:t>
      </w:r>
      <w:r>
        <w:rPr>
          <w:rFonts w:ascii="Times New Roman" w:eastAsia="仿宋_GB2312" w:hAnsi="Times New Roman" w:cs="Times New Roman"/>
          <w:szCs w:val="32"/>
        </w:rPr>
        <w:t>三篇文章的金融支撑体系建设。</w:t>
      </w:r>
    </w:p>
    <w:p w:rsidR="0023790C" w:rsidRDefault="00972AA8">
      <w:pPr>
        <w:spacing w:line="580" w:lineRule="exact"/>
        <w:ind w:firstLineChars="200" w:firstLine="643"/>
        <w:rPr>
          <w:rFonts w:ascii="Times New Roman" w:eastAsia="仿宋_GB2312" w:hAnsi="Times New Roman" w:cs="Times New Roman"/>
          <w:b/>
          <w:szCs w:val="32"/>
        </w:rPr>
      </w:pPr>
      <w:r>
        <w:rPr>
          <w:rFonts w:ascii="Times New Roman" w:eastAsia="仿宋_GB2312" w:hAnsi="Times New Roman" w:cs="Times New Roman"/>
          <w:b/>
          <w:szCs w:val="32"/>
        </w:rPr>
        <w:t>（</w:t>
      </w:r>
      <w:r>
        <w:rPr>
          <w:rFonts w:ascii="Times New Roman" w:eastAsia="仿宋_GB2312" w:hAnsi="Times New Roman" w:cs="Times New Roman"/>
          <w:b/>
          <w:szCs w:val="32"/>
        </w:rPr>
        <w:t>1</w:t>
      </w:r>
      <w:r>
        <w:rPr>
          <w:rFonts w:ascii="Times New Roman" w:eastAsia="仿宋_GB2312" w:hAnsi="Times New Roman" w:cs="Times New Roman"/>
          <w:b/>
          <w:szCs w:val="32"/>
        </w:rPr>
        <w:t>）加强金融合作，全面融入上海</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深化长三角区域金融合作，深入对接上海证券交易所，为企业上市铺平道路。积极引进上海专业金融服务机构，加大合作，深入挖掘太仓市优质上市后备企业资源。积极发挥长三角产业升级股权投资基金作用，用金融资本力量推动太仓融入长三角区域科技创新、产业协同，实现资本运作与产业发展相互融合、相互促进。加强长三角区域金融监管，全力打通太仓市与长三角地区金融统计信息库，建立区域间金融风险快速反应和应急处理机制，共享金融风险线索，开展联合排查处置，共同打击非法金融活动，避免金融风险发生系统性扩散。推动长三角区域金融基础设施建设，积极对接区域金融征信体系，简化企业异地融资流程，降低企业跨区经营成本。探索建立统一的债权保护机制，明确债权处置顺序、保护范围，确保债权人的权益得到公平合理对待。</w:t>
      </w:r>
    </w:p>
    <w:p w:rsidR="0023790C" w:rsidRDefault="00972AA8">
      <w:pPr>
        <w:spacing w:line="580" w:lineRule="exact"/>
        <w:ind w:firstLineChars="200" w:firstLine="643"/>
        <w:rPr>
          <w:rFonts w:ascii="Times New Roman" w:eastAsia="仿宋_GB2312" w:hAnsi="Times New Roman" w:cs="Times New Roman"/>
          <w:b/>
          <w:szCs w:val="32"/>
        </w:rPr>
      </w:pPr>
      <w:r>
        <w:rPr>
          <w:rFonts w:ascii="Times New Roman" w:eastAsia="仿宋_GB2312" w:hAnsi="Times New Roman" w:cs="Times New Roman"/>
          <w:b/>
          <w:szCs w:val="32"/>
        </w:rPr>
        <w:t>（</w:t>
      </w:r>
      <w:r>
        <w:rPr>
          <w:rFonts w:ascii="Times New Roman" w:eastAsia="仿宋_GB2312" w:hAnsi="Times New Roman" w:cs="Times New Roman"/>
          <w:b/>
          <w:szCs w:val="32"/>
        </w:rPr>
        <w:t>2</w:t>
      </w:r>
      <w:r>
        <w:rPr>
          <w:rFonts w:ascii="Times New Roman" w:eastAsia="仿宋_GB2312" w:hAnsi="Times New Roman" w:cs="Times New Roman"/>
          <w:b/>
          <w:szCs w:val="32"/>
        </w:rPr>
        <w:t>）强化金融服务，助力对德合作</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lastRenderedPageBreak/>
        <w:t>强化金融信贷服务，用好线上综合金融服务平台，开展线下金融服务顾问走访，精准、全面、动态掌握德资企业动态融资需求，妥善解决好中小企业在加速发展中的融资难问题。强化资本支持服务，设立对德合作专项子基金，在为德资企业提供长期资本支持的同时，发挥资本招商作用，吸引更多德资企业落地太仓。强化金融基础设施建设服务，抓住国家放宽外资金融机构设立限制契机，加强与德国金融机构的交流联系，推动德资金融机构落户太仓设立分支机构。</w:t>
      </w:r>
    </w:p>
    <w:p w:rsidR="0023790C" w:rsidRDefault="00972AA8">
      <w:pPr>
        <w:spacing w:line="580" w:lineRule="exact"/>
        <w:ind w:firstLineChars="200" w:firstLine="643"/>
        <w:rPr>
          <w:rFonts w:ascii="Times New Roman" w:eastAsia="仿宋_GB2312" w:hAnsi="Times New Roman" w:cs="Times New Roman"/>
          <w:b/>
          <w:szCs w:val="32"/>
        </w:rPr>
      </w:pPr>
      <w:r>
        <w:rPr>
          <w:rFonts w:ascii="Times New Roman" w:eastAsia="仿宋_GB2312" w:hAnsi="Times New Roman" w:cs="Times New Roman"/>
          <w:b/>
          <w:szCs w:val="32"/>
        </w:rPr>
        <w:t>（</w:t>
      </w:r>
      <w:r>
        <w:rPr>
          <w:rFonts w:ascii="Times New Roman" w:eastAsia="仿宋_GB2312" w:hAnsi="Times New Roman" w:cs="Times New Roman"/>
          <w:b/>
          <w:szCs w:val="32"/>
        </w:rPr>
        <w:t>3</w:t>
      </w:r>
      <w:r>
        <w:rPr>
          <w:rFonts w:ascii="Times New Roman" w:eastAsia="仿宋_GB2312" w:hAnsi="Times New Roman" w:cs="Times New Roman"/>
          <w:b/>
          <w:szCs w:val="32"/>
        </w:rPr>
        <w:t>）发展物流金融，服务以港强市</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完善多层次金融机构服务体系，吸引创业投资基金、产业投资基金在港口设立机构，为港口基础设施建设提供资金支持。加快</w:t>
      </w:r>
      <w:r>
        <w:rPr>
          <w:rFonts w:ascii="Times New Roman" w:eastAsia="仿宋_GB2312" w:hAnsi="Times New Roman" w:cs="Times New Roman"/>
          <w:szCs w:val="32"/>
        </w:rPr>
        <w:t>“</w:t>
      </w:r>
      <w:r>
        <w:rPr>
          <w:rFonts w:ascii="Times New Roman" w:eastAsia="仿宋_GB2312" w:hAnsi="Times New Roman" w:cs="Times New Roman"/>
          <w:szCs w:val="32"/>
        </w:rPr>
        <w:t>区块链</w:t>
      </w:r>
      <w:r>
        <w:rPr>
          <w:rFonts w:ascii="Times New Roman" w:eastAsia="仿宋_GB2312" w:hAnsi="Times New Roman" w:cs="Times New Roman"/>
          <w:szCs w:val="32"/>
        </w:rPr>
        <w:t>+</w:t>
      </w:r>
      <w:r>
        <w:rPr>
          <w:rFonts w:ascii="Times New Roman" w:eastAsia="仿宋_GB2312" w:hAnsi="Times New Roman" w:cs="Times New Roman"/>
          <w:szCs w:val="32"/>
        </w:rPr>
        <w:t>供应链金融</w:t>
      </w:r>
      <w:r>
        <w:rPr>
          <w:rFonts w:ascii="Times New Roman" w:eastAsia="仿宋_GB2312" w:hAnsi="Times New Roman" w:cs="Times New Roman"/>
          <w:szCs w:val="32"/>
        </w:rPr>
        <w:t>”</w:t>
      </w:r>
      <w:r>
        <w:rPr>
          <w:rFonts w:ascii="Times New Roman" w:eastAsia="仿宋_GB2312" w:hAnsi="Times New Roman" w:cs="Times New Roman"/>
          <w:szCs w:val="32"/>
        </w:rPr>
        <w:t>发展，着力解决中小物流企业融资难的问题。加快发展融资租赁，大力推动港口、航运、集装箱以及大型设备等融资租赁服务。鼓励企业通过期货市场套期保值和外汇调期业务规避市场价格波动和汇率变动风险。推进金融人才培养与引进，补充金融发展所需的人才缺口，为港口金融发展提供坚实的人才保障。</w:t>
      </w:r>
    </w:p>
    <w:p w:rsidR="0023790C" w:rsidRDefault="00972AA8">
      <w:pPr>
        <w:spacing w:line="580" w:lineRule="exact"/>
        <w:ind w:firstLineChars="200" w:firstLine="643"/>
        <w:rPr>
          <w:rFonts w:ascii="Times New Roman" w:eastAsia="仿宋_GB2312" w:hAnsi="Times New Roman" w:cs="Times New Roman"/>
          <w:b/>
          <w:szCs w:val="32"/>
        </w:rPr>
      </w:pPr>
      <w:bookmarkStart w:id="32" w:name="_Toc87626036"/>
      <w:r>
        <w:rPr>
          <w:rFonts w:ascii="Times New Roman" w:eastAsia="仿宋_GB2312" w:hAnsi="Times New Roman" w:cs="Times New Roman"/>
          <w:b/>
          <w:szCs w:val="32"/>
        </w:rPr>
        <w:t>2.</w:t>
      </w:r>
      <w:r>
        <w:rPr>
          <w:rFonts w:ascii="Times New Roman" w:eastAsia="仿宋_GB2312" w:hAnsi="Times New Roman" w:cs="Times New Roman"/>
          <w:b/>
          <w:szCs w:val="32"/>
        </w:rPr>
        <w:t>提升金融发展区域竞争力</w:t>
      </w:r>
      <w:bookmarkEnd w:id="32"/>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加快建设高端金融载体，全力推进娄江新城金融</w:t>
      </w:r>
      <w:r>
        <w:rPr>
          <w:rFonts w:ascii="Times New Roman" w:eastAsia="仿宋_GB2312" w:hAnsi="Times New Roman" w:cs="Times New Roman"/>
          <w:szCs w:val="32"/>
        </w:rPr>
        <w:t>CBD</w:t>
      </w:r>
      <w:r>
        <w:rPr>
          <w:rFonts w:ascii="Times New Roman" w:eastAsia="仿宋_GB2312" w:hAnsi="Times New Roman" w:cs="Times New Roman"/>
          <w:szCs w:val="32"/>
        </w:rPr>
        <w:t>项目，将其打造成太仓金融新地标，有效提升娄江新城金融发展竞争力。完善金融业发展的政策措施，加强金融、财政、产业政策的协同配合，加大引进银行业分支机构、证券公司营业部等金融机构配</w:t>
      </w:r>
      <w:r>
        <w:rPr>
          <w:rFonts w:ascii="Times New Roman" w:eastAsia="仿宋_GB2312" w:hAnsi="Times New Roman" w:cs="Times New Roman"/>
          <w:szCs w:val="32"/>
        </w:rPr>
        <w:lastRenderedPageBreak/>
        <w:t>套支持力度，形成覆盖机构引进、人才奖励、风险补偿、创新支持等方面的一体化支持政策。通过政策激励，引导各类金融机构发展跨境金融、数字金融、文旅金融和绿色金融等新兴金融领域。</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完善金融人才政策服务环境，充分利用长三角人才一体化发展的契机，发挥中德合作的优势，建立更加开放的人才合作共享机制。贯彻落实省市出台的人才引进培养相关激励政策，对高端金融人才给予引进奖励、住房补贴、项目资助等支持。针对高端、紧缺型金融人才需求，提供子女入学、医疗健康等方面绿色通道服务。制定完善金融人才和高端金融人才认定标准，推动长三角一体化示范区实现外国高端人才统一互认。构建多层次的金融人才培训体系，支持金融从业人员参加国际通行的职业资格。</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加强社会信用体系建设，全面建立市场主体信用记录和信用档案，促进行业信用信息系统建设及互联互通，着重提升企业信用。完善多元化广覆盖的数字征信体系，持续推进信息采集提质扩面，加快构建数据采集长效机制，实现对太仓市小微企业经营、发展情况的全覆盖。</w:t>
      </w:r>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加强金融知识宣传和普及，重点普及金融安全、防范非法集资、消费保护、投资理财、征信意识、绿色金融等知识，提升公众的整体金融素养。</w:t>
      </w:r>
    </w:p>
    <w:p w:rsidR="0023790C" w:rsidRDefault="00972AA8">
      <w:pPr>
        <w:spacing w:line="580" w:lineRule="exact"/>
        <w:ind w:firstLineChars="200" w:firstLine="643"/>
        <w:rPr>
          <w:rFonts w:ascii="Times New Roman" w:eastAsia="仿宋_GB2312" w:hAnsi="Times New Roman" w:cs="Times New Roman"/>
          <w:b/>
          <w:szCs w:val="32"/>
        </w:rPr>
      </w:pPr>
      <w:bookmarkStart w:id="33" w:name="_Toc87626037"/>
      <w:r>
        <w:rPr>
          <w:rFonts w:ascii="Times New Roman" w:eastAsia="仿宋_GB2312" w:hAnsi="Times New Roman" w:cs="Times New Roman"/>
          <w:b/>
          <w:szCs w:val="32"/>
        </w:rPr>
        <w:t>3.</w:t>
      </w:r>
      <w:r>
        <w:rPr>
          <w:rFonts w:ascii="Times New Roman" w:eastAsia="仿宋_GB2312" w:hAnsi="Times New Roman" w:cs="Times New Roman"/>
          <w:b/>
          <w:szCs w:val="32"/>
        </w:rPr>
        <w:t>提升地方金融风险防控力</w:t>
      </w:r>
      <w:bookmarkEnd w:id="33"/>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坚持系统思维和底线思维，严守不发生系统性、区域性金融风险的底线。完善地方金融业综合统计制度，健全金融风险识别、</w:t>
      </w:r>
      <w:r>
        <w:rPr>
          <w:rFonts w:ascii="Times New Roman" w:eastAsia="仿宋_GB2312" w:hAnsi="Times New Roman" w:cs="Times New Roman"/>
          <w:szCs w:val="32"/>
        </w:rPr>
        <w:lastRenderedPageBreak/>
        <w:t>评估、监测机制。研究建立地方金融业营运状况预警系统，加强对地方金融组织与金融活动的动态监测，从事后的发现和化解风险，转向事前预警和预防风险。加快构建综合监控、部门联动、分级管理的金融风险防范与处置机制。健全完善金融突发事件应急处置预案，提高应对金融突发事件能力。加强地方金融监管及风险处置，压实小贷公司、融资担保机构、融资租赁公司等地方金融组织主体责任，加强内控管理，完善风控机制。积极协调处置大型企业资金链断裂引发的债务风险，推动重点风险企业并购重组工作，完善重点企业金融纾困机制。加强金融法治环境建设，健全法制与社会信用机制。引导政策性、商业性担保机构，共同构建市场功能健全、业务细分的多元化增信服务网络，健全增信与风险补偿机制。</w:t>
      </w:r>
    </w:p>
    <w:p w:rsidR="0023790C" w:rsidRDefault="00972AA8">
      <w:pPr>
        <w:spacing w:line="580" w:lineRule="exact"/>
        <w:ind w:firstLineChars="200" w:firstLine="640"/>
        <w:rPr>
          <w:rFonts w:ascii="Times New Roman" w:eastAsia="仿宋_GB2312" w:hAnsi="Times New Roman" w:cs="Times New Roman"/>
          <w:szCs w:val="32"/>
        </w:rPr>
      </w:pPr>
      <w:bookmarkStart w:id="34" w:name="_Toc87626038"/>
      <w:r>
        <w:rPr>
          <w:rFonts w:ascii="Times New Roman" w:eastAsia="黑体" w:hAnsi="Times New Roman" w:cs="Times New Roman"/>
          <w:szCs w:val="32"/>
        </w:rPr>
        <w:t>四、</w:t>
      </w:r>
      <w:bookmarkEnd w:id="34"/>
      <w:r>
        <w:rPr>
          <w:rFonts w:ascii="Times New Roman" w:eastAsia="黑体" w:hAnsi="Times New Roman" w:cs="Times New Roman"/>
          <w:szCs w:val="32"/>
        </w:rPr>
        <w:t>规划实施与保障</w:t>
      </w:r>
    </w:p>
    <w:p w:rsidR="0023790C" w:rsidRDefault="00972AA8">
      <w:pPr>
        <w:spacing w:line="580" w:lineRule="exact"/>
        <w:ind w:firstLineChars="200" w:firstLine="640"/>
        <w:rPr>
          <w:rFonts w:ascii="Times New Roman" w:eastAsia="楷体_GB2312" w:hAnsi="Times New Roman" w:cs="Times New Roman"/>
          <w:szCs w:val="32"/>
        </w:rPr>
      </w:pPr>
      <w:bookmarkStart w:id="35" w:name="_Toc87626039"/>
      <w:r>
        <w:rPr>
          <w:rFonts w:ascii="Times New Roman" w:eastAsia="楷体_GB2312" w:hAnsi="Times New Roman" w:cs="Times New Roman"/>
          <w:szCs w:val="32"/>
        </w:rPr>
        <w:t>（一）加强党的领导</w:t>
      </w:r>
      <w:bookmarkEnd w:id="35"/>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加强党对金融工作的领导，完善党领导金融工作的体制机制，保障党和国家的金融政策得到全面贯彻落实。加强金融类企业党建工作，进一步深化党的领导和公司治理有效结合。加强金融系干部队伍建设和党风廉政建设，始终把廉政建设、作风建设作为保底工程。</w:t>
      </w:r>
    </w:p>
    <w:p w:rsidR="0023790C" w:rsidRDefault="00972AA8">
      <w:pPr>
        <w:spacing w:line="580" w:lineRule="exact"/>
        <w:ind w:firstLineChars="200" w:firstLine="640"/>
        <w:rPr>
          <w:rFonts w:ascii="Times New Roman" w:eastAsia="楷体_GB2312" w:hAnsi="Times New Roman" w:cs="Times New Roman"/>
          <w:szCs w:val="32"/>
        </w:rPr>
      </w:pPr>
      <w:bookmarkStart w:id="36" w:name="_Toc87626040"/>
      <w:r>
        <w:rPr>
          <w:rFonts w:ascii="Times New Roman" w:eastAsia="楷体_GB2312" w:hAnsi="Times New Roman" w:cs="Times New Roman"/>
          <w:szCs w:val="32"/>
        </w:rPr>
        <w:t>（二）加强组织建设</w:t>
      </w:r>
      <w:bookmarkEnd w:id="36"/>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明确政府在规划实施中的职责，强化分工落实，对规划确定的发展目标、重点任务进行分解，明确工作责任，不断完善具体</w:t>
      </w:r>
      <w:r>
        <w:rPr>
          <w:rFonts w:ascii="Times New Roman" w:eastAsia="仿宋_GB2312" w:hAnsi="Times New Roman" w:cs="Times New Roman"/>
          <w:szCs w:val="32"/>
        </w:rPr>
        <w:lastRenderedPageBreak/>
        <w:t>工作方案并抓好组织实施。定期对规划落实情况、规划实施绩效、规划落地成果进行评估。建立对规划实施情况的动态监测、定期检查和评估机制，根据评估反馈结果和形势变化情况，对规划目标和发展策略予以适时修正和调整。加强市、镇（区）金融工作部门职能建设，为规划实施和项目落地提供组织保障。</w:t>
      </w:r>
    </w:p>
    <w:p w:rsidR="0023790C" w:rsidRDefault="00972AA8">
      <w:pPr>
        <w:spacing w:line="580" w:lineRule="exact"/>
        <w:ind w:firstLineChars="200" w:firstLine="640"/>
        <w:rPr>
          <w:rFonts w:ascii="Times New Roman" w:eastAsia="楷体_GB2312" w:hAnsi="Times New Roman" w:cs="Times New Roman"/>
          <w:szCs w:val="32"/>
        </w:rPr>
      </w:pPr>
      <w:bookmarkStart w:id="37" w:name="_Toc87626041"/>
      <w:r>
        <w:rPr>
          <w:rFonts w:ascii="Times New Roman" w:eastAsia="楷体_GB2312" w:hAnsi="Times New Roman" w:cs="Times New Roman"/>
          <w:szCs w:val="32"/>
        </w:rPr>
        <w:t>（三）完善市镇联动</w:t>
      </w:r>
      <w:bookmarkEnd w:id="37"/>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建立市、镇（区）常态化金融工作沟通协调机制，形成统一领导，分工明确、上下联动、沟通顺畅、执行高效、管理有序的市、镇（区）金融工作机制，确保规划顺利实施。</w:t>
      </w:r>
    </w:p>
    <w:p w:rsidR="0023790C" w:rsidRDefault="00972AA8">
      <w:pPr>
        <w:spacing w:line="580" w:lineRule="exact"/>
        <w:ind w:firstLineChars="200" w:firstLine="640"/>
        <w:rPr>
          <w:rFonts w:ascii="Times New Roman" w:eastAsia="楷体_GB2312" w:hAnsi="Times New Roman" w:cs="Times New Roman"/>
          <w:szCs w:val="32"/>
        </w:rPr>
      </w:pPr>
      <w:bookmarkStart w:id="38" w:name="_Toc87626042"/>
      <w:r>
        <w:rPr>
          <w:rFonts w:ascii="Times New Roman" w:eastAsia="楷体_GB2312" w:hAnsi="Times New Roman" w:cs="Times New Roman"/>
          <w:szCs w:val="32"/>
        </w:rPr>
        <w:t>（四）强化部门协调</w:t>
      </w:r>
      <w:bookmarkEnd w:id="38"/>
    </w:p>
    <w:p w:rsidR="0023790C" w:rsidRDefault="00972AA8">
      <w:pPr>
        <w:spacing w:line="580" w:lineRule="exact"/>
        <w:ind w:firstLineChars="200" w:firstLine="640"/>
        <w:rPr>
          <w:rFonts w:ascii="Times New Roman" w:eastAsia="仿宋_GB2312" w:hAnsi="Times New Roman" w:cs="Times New Roman"/>
          <w:szCs w:val="32"/>
        </w:rPr>
      </w:pPr>
      <w:r>
        <w:rPr>
          <w:rFonts w:ascii="Times New Roman" w:eastAsia="仿宋_GB2312" w:hAnsi="Times New Roman" w:cs="Times New Roman"/>
          <w:szCs w:val="32"/>
        </w:rPr>
        <w:t>建立健全政府、监管部门、金融机构协调联动机制和信息共享机制，制定分工明确的实施方案，推动各有关单位密切配合，及时研究和反馈经济金融运行中的问题，提出有针对性的建议和措施。完善协同推进工作机制，强化政策制定、执行、监督与评估的相互衔接，做好日常统筹协调工作，充分保障规划的有序实施和落地。</w:t>
      </w:r>
    </w:p>
    <w:sectPr w:rsidR="0023790C" w:rsidSect="0023790C">
      <w:footerReference w:type="default" r:id="rId9"/>
      <w:pgSz w:w="11900" w:h="16840"/>
      <w:pgMar w:top="1814" w:right="1531" w:bottom="1984" w:left="1531" w:header="851" w:footer="992" w:gutter="0"/>
      <w:pgNumType w:start="1"/>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EF0" w:rsidRDefault="00334EF0" w:rsidP="0023790C">
      <w:r>
        <w:separator/>
      </w:r>
    </w:p>
  </w:endnote>
  <w:endnote w:type="continuationSeparator" w:id="1">
    <w:p w:rsidR="00334EF0" w:rsidRDefault="00334EF0" w:rsidP="002379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90C" w:rsidRDefault="0023790C">
    <w:pPr>
      <w:pStyle w:val="a6"/>
      <w:jc w:val="center"/>
      <w:rPr>
        <w:rFonts w:ascii="仿宋" w:hAnsi="仿宋"/>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90C" w:rsidRDefault="00D71441">
    <w:pPr>
      <w:pStyle w:val="a6"/>
      <w:jc w:val="center"/>
      <w:rPr>
        <w:rFonts w:ascii="Times New Roman" w:hAnsi="Times New Roman" w:cs="Times New Roman"/>
      </w:rPr>
    </w:pPr>
    <w:r>
      <w:rPr>
        <w:rFonts w:ascii="Times New Roman" w:hAnsi="Times New Roman" w:cs="Times New Roman"/>
      </w:rPr>
      <w:fldChar w:fldCharType="begin"/>
    </w:r>
    <w:r w:rsidR="00972AA8">
      <w:rPr>
        <w:rFonts w:ascii="Times New Roman" w:hAnsi="Times New Roman" w:cs="Times New Roman"/>
      </w:rPr>
      <w:instrText>PAGE   \* MERGEFORMAT</w:instrText>
    </w:r>
    <w:r>
      <w:rPr>
        <w:rFonts w:ascii="Times New Roman" w:hAnsi="Times New Roman" w:cs="Times New Roman"/>
      </w:rPr>
      <w:fldChar w:fldCharType="separate"/>
    </w:r>
    <w:r w:rsidR="009D2572" w:rsidRPr="009D2572">
      <w:rPr>
        <w:rFonts w:ascii="Times New Roman" w:hAnsi="Times New Roman" w:cs="Times New Roman"/>
        <w:noProof/>
        <w:lang w:val="zh-CN"/>
      </w:rPr>
      <w:t>26</w:t>
    </w:r>
    <w:r>
      <w:rPr>
        <w:rFonts w:ascii="Times New Roman" w:hAnsi="Times New Roman" w:cs="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EF0" w:rsidRDefault="00334EF0" w:rsidP="0023790C">
      <w:r>
        <w:separator/>
      </w:r>
    </w:p>
  </w:footnote>
  <w:footnote w:type="continuationSeparator" w:id="1">
    <w:p w:rsidR="00334EF0" w:rsidRDefault="00334EF0" w:rsidP="002379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oNotTrackFormatting/>
  <w:defaultTabStop w:val="420"/>
  <w:drawingGridVerticalSpacing w:val="156"/>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88E35AE"/>
    <w:rsid w:val="00004F3F"/>
    <w:rsid w:val="00007E72"/>
    <w:rsid w:val="0001106B"/>
    <w:rsid w:val="00016176"/>
    <w:rsid w:val="0002044D"/>
    <w:rsid w:val="000318B7"/>
    <w:rsid w:val="00035679"/>
    <w:rsid w:val="000367FC"/>
    <w:rsid w:val="000461EB"/>
    <w:rsid w:val="0004635A"/>
    <w:rsid w:val="000464BA"/>
    <w:rsid w:val="000609B7"/>
    <w:rsid w:val="00066F74"/>
    <w:rsid w:val="000808D3"/>
    <w:rsid w:val="00087622"/>
    <w:rsid w:val="000A4E23"/>
    <w:rsid w:val="000B1D3F"/>
    <w:rsid w:val="000B5587"/>
    <w:rsid w:val="000B7A5D"/>
    <w:rsid w:val="000C2946"/>
    <w:rsid w:val="000C4078"/>
    <w:rsid w:val="000D620A"/>
    <w:rsid w:val="000E3ACB"/>
    <w:rsid w:val="000F5C4F"/>
    <w:rsid w:val="00107526"/>
    <w:rsid w:val="001077D0"/>
    <w:rsid w:val="00144DA1"/>
    <w:rsid w:val="00145D67"/>
    <w:rsid w:val="001654AA"/>
    <w:rsid w:val="001702D9"/>
    <w:rsid w:val="00171D0C"/>
    <w:rsid w:val="001754EB"/>
    <w:rsid w:val="001759C6"/>
    <w:rsid w:val="001A3477"/>
    <w:rsid w:val="001A70BB"/>
    <w:rsid w:val="001B04B4"/>
    <w:rsid w:val="001B0FCB"/>
    <w:rsid w:val="001B45E8"/>
    <w:rsid w:val="001C3289"/>
    <w:rsid w:val="001C63DA"/>
    <w:rsid w:val="001D3A20"/>
    <w:rsid w:val="001E31C4"/>
    <w:rsid w:val="001F36EE"/>
    <w:rsid w:val="001F6A5C"/>
    <w:rsid w:val="00203662"/>
    <w:rsid w:val="00207BC0"/>
    <w:rsid w:val="00207E3B"/>
    <w:rsid w:val="002133BF"/>
    <w:rsid w:val="0023790C"/>
    <w:rsid w:val="00252C65"/>
    <w:rsid w:val="00263A7E"/>
    <w:rsid w:val="00275583"/>
    <w:rsid w:val="002821D2"/>
    <w:rsid w:val="0028584C"/>
    <w:rsid w:val="002B55E9"/>
    <w:rsid w:val="002B7903"/>
    <w:rsid w:val="002D7926"/>
    <w:rsid w:val="002E5883"/>
    <w:rsid w:val="002E5AC4"/>
    <w:rsid w:val="002E6515"/>
    <w:rsid w:val="002F0E97"/>
    <w:rsid w:val="00302016"/>
    <w:rsid w:val="003032BB"/>
    <w:rsid w:val="00313603"/>
    <w:rsid w:val="00315EDF"/>
    <w:rsid w:val="00327644"/>
    <w:rsid w:val="00331930"/>
    <w:rsid w:val="00331EE6"/>
    <w:rsid w:val="00334EF0"/>
    <w:rsid w:val="00335DF3"/>
    <w:rsid w:val="00343214"/>
    <w:rsid w:val="00347BC5"/>
    <w:rsid w:val="00354DC3"/>
    <w:rsid w:val="003610C4"/>
    <w:rsid w:val="00363C90"/>
    <w:rsid w:val="0037054E"/>
    <w:rsid w:val="00372FFD"/>
    <w:rsid w:val="00381D3F"/>
    <w:rsid w:val="003820AC"/>
    <w:rsid w:val="003940FE"/>
    <w:rsid w:val="003A1BA2"/>
    <w:rsid w:val="003A6604"/>
    <w:rsid w:val="003B038B"/>
    <w:rsid w:val="003B29FA"/>
    <w:rsid w:val="003C0A27"/>
    <w:rsid w:val="003C179C"/>
    <w:rsid w:val="003E1CA9"/>
    <w:rsid w:val="003E53EA"/>
    <w:rsid w:val="003F3BD6"/>
    <w:rsid w:val="00403F9E"/>
    <w:rsid w:val="004117F9"/>
    <w:rsid w:val="004225EA"/>
    <w:rsid w:val="004227A8"/>
    <w:rsid w:val="00432AA5"/>
    <w:rsid w:val="0043499B"/>
    <w:rsid w:val="004357CD"/>
    <w:rsid w:val="004369A0"/>
    <w:rsid w:val="00437D71"/>
    <w:rsid w:val="00454517"/>
    <w:rsid w:val="00456AF2"/>
    <w:rsid w:val="004611A6"/>
    <w:rsid w:val="00463019"/>
    <w:rsid w:val="004666F3"/>
    <w:rsid w:val="004700B2"/>
    <w:rsid w:val="0047356A"/>
    <w:rsid w:val="0048254C"/>
    <w:rsid w:val="00484056"/>
    <w:rsid w:val="00495D30"/>
    <w:rsid w:val="004A7ADB"/>
    <w:rsid w:val="004B3137"/>
    <w:rsid w:val="004B7D12"/>
    <w:rsid w:val="004C4B29"/>
    <w:rsid w:val="004C5147"/>
    <w:rsid w:val="004C7210"/>
    <w:rsid w:val="004F0879"/>
    <w:rsid w:val="004F1E63"/>
    <w:rsid w:val="005111D0"/>
    <w:rsid w:val="0051545B"/>
    <w:rsid w:val="00517C66"/>
    <w:rsid w:val="0052260E"/>
    <w:rsid w:val="005240BB"/>
    <w:rsid w:val="00533741"/>
    <w:rsid w:val="00533A83"/>
    <w:rsid w:val="005576A7"/>
    <w:rsid w:val="00566827"/>
    <w:rsid w:val="00572346"/>
    <w:rsid w:val="00577947"/>
    <w:rsid w:val="00580648"/>
    <w:rsid w:val="00590148"/>
    <w:rsid w:val="005A0753"/>
    <w:rsid w:val="005A1E57"/>
    <w:rsid w:val="005A4AB0"/>
    <w:rsid w:val="005A66F6"/>
    <w:rsid w:val="005A68D7"/>
    <w:rsid w:val="005C59A9"/>
    <w:rsid w:val="005E05E1"/>
    <w:rsid w:val="005F0096"/>
    <w:rsid w:val="005F44B3"/>
    <w:rsid w:val="00603167"/>
    <w:rsid w:val="006115A2"/>
    <w:rsid w:val="00614A32"/>
    <w:rsid w:val="006158CC"/>
    <w:rsid w:val="00620AFA"/>
    <w:rsid w:val="0062218A"/>
    <w:rsid w:val="006224CC"/>
    <w:rsid w:val="00622649"/>
    <w:rsid w:val="006309B3"/>
    <w:rsid w:val="00656BD5"/>
    <w:rsid w:val="00660CDF"/>
    <w:rsid w:val="00662EBE"/>
    <w:rsid w:val="00664B1D"/>
    <w:rsid w:val="00667144"/>
    <w:rsid w:val="00670327"/>
    <w:rsid w:val="00672EE6"/>
    <w:rsid w:val="00682BF3"/>
    <w:rsid w:val="006900E6"/>
    <w:rsid w:val="00694B28"/>
    <w:rsid w:val="00694E91"/>
    <w:rsid w:val="0069628A"/>
    <w:rsid w:val="00696702"/>
    <w:rsid w:val="006A4054"/>
    <w:rsid w:val="006B4802"/>
    <w:rsid w:val="006B774E"/>
    <w:rsid w:val="006C31C9"/>
    <w:rsid w:val="006C3FB9"/>
    <w:rsid w:val="006C460B"/>
    <w:rsid w:val="006D57AA"/>
    <w:rsid w:val="006E4609"/>
    <w:rsid w:val="006F4663"/>
    <w:rsid w:val="00703793"/>
    <w:rsid w:val="00711856"/>
    <w:rsid w:val="00716D34"/>
    <w:rsid w:val="00717FCF"/>
    <w:rsid w:val="007229AF"/>
    <w:rsid w:val="00724DC0"/>
    <w:rsid w:val="007260A0"/>
    <w:rsid w:val="0073307D"/>
    <w:rsid w:val="007415FF"/>
    <w:rsid w:val="00746F70"/>
    <w:rsid w:val="00756AD1"/>
    <w:rsid w:val="0076174E"/>
    <w:rsid w:val="007669EF"/>
    <w:rsid w:val="0076796A"/>
    <w:rsid w:val="007715C9"/>
    <w:rsid w:val="007716EF"/>
    <w:rsid w:val="007855F4"/>
    <w:rsid w:val="0079187C"/>
    <w:rsid w:val="007929E0"/>
    <w:rsid w:val="00794043"/>
    <w:rsid w:val="00794E03"/>
    <w:rsid w:val="007B003B"/>
    <w:rsid w:val="007B2E7C"/>
    <w:rsid w:val="007B57C5"/>
    <w:rsid w:val="007B690E"/>
    <w:rsid w:val="007B72E3"/>
    <w:rsid w:val="007C719F"/>
    <w:rsid w:val="007D047B"/>
    <w:rsid w:val="007D761B"/>
    <w:rsid w:val="007E44F1"/>
    <w:rsid w:val="007F205C"/>
    <w:rsid w:val="00805863"/>
    <w:rsid w:val="008122BA"/>
    <w:rsid w:val="00815485"/>
    <w:rsid w:val="00820B2E"/>
    <w:rsid w:val="00821FF1"/>
    <w:rsid w:val="008231E3"/>
    <w:rsid w:val="008237CF"/>
    <w:rsid w:val="00827BDC"/>
    <w:rsid w:val="00827FBA"/>
    <w:rsid w:val="0083151C"/>
    <w:rsid w:val="008332ED"/>
    <w:rsid w:val="00835F95"/>
    <w:rsid w:val="0084142B"/>
    <w:rsid w:val="00842600"/>
    <w:rsid w:val="00847BAD"/>
    <w:rsid w:val="008638F5"/>
    <w:rsid w:val="00875661"/>
    <w:rsid w:val="00881E07"/>
    <w:rsid w:val="00892CFF"/>
    <w:rsid w:val="00896A97"/>
    <w:rsid w:val="008B285C"/>
    <w:rsid w:val="008B4092"/>
    <w:rsid w:val="008C4CD8"/>
    <w:rsid w:val="008C510C"/>
    <w:rsid w:val="008D4B6C"/>
    <w:rsid w:val="008E44B7"/>
    <w:rsid w:val="008E58E1"/>
    <w:rsid w:val="008F0D0E"/>
    <w:rsid w:val="009042EB"/>
    <w:rsid w:val="00905C2E"/>
    <w:rsid w:val="0090734F"/>
    <w:rsid w:val="00907DA1"/>
    <w:rsid w:val="00915CC0"/>
    <w:rsid w:val="009214E3"/>
    <w:rsid w:val="0092362C"/>
    <w:rsid w:val="00923E07"/>
    <w:rsid w:val="0093088B"/>
    <w:rsid w:val="009356BC"/>
    <w:rsid w:val="009501D2"/>
    <w:rsid w:val="00966106"/>
    <w:rsid w:val="00972AA8"/>
    <w:rsid w:val="009736D1"/>
    <w:rsid w:val="0097585E"/>
    <w:rsid w:val="009806C7"/>
    <w:rsid w:val="00980AA0"/>
    <w:rsid w:val="00983B1B"/>
    <w:rsid w:val="00985F9A"/>
    <w:rsid w:val="00993A8D"/>
    <w:rsid w:val="00996C2B"/>
    <w:rsid w:val="009A08FD"/>
    <w:rsid w:val="009A2293"/>
    <w:rsid w:val="009A4099"/>
    <w:rsid w:val="009A7443"/>
    <w:rsid w:val="009B46AA"/>
    <w:rsid w:val="009B620D"/>
    <w:rsid w:val="009C2188"/>
    <w:rsid w:val="009C4B2E"/>
    <w:rsid w:val="009D2572"/>
    <w:rsid w:val="009D28FD"/>
    <w:rsid w:val="009E2CA0"/>
    <w:rsid w:val="009E7A1A"/>
    <w:rsid w:val="009F23DB"/>
    <w:rsid w:val="009F27E5"/>
    <w:rsid w:val="009F716F"/>
    <w:rsid w:val="00A12BCD"/>
    <w:rsid w:val="00A20797"/>
    <w:rsid w:val="00A20E62"/>
    <w:rsid w:val="00A2256D"/>
    <w:rsid w:val="00A26B03"/>
    <w:rsid w:val="00A410A2"/>
    <w:rsid w:val="00A4539F"/>
    <w:rsid w:val="00A47C64"/>
    <w:rsid w:val="00A510B3"/>
    <w:rsid w:val="00A53F29"/>
    <w:rsid w:val="00A57EB3"/>
    <w:rsid w:val="00A747B5"/>
    <w:rsid w:val="00A77EE9"/>
    <w:rsid w:val="00A91413"/>
    <w:rsid w:val="00A96655"/>
    <w:rsid w:val="00A969B2"/>
    <w:rsid w:val="00AA1D0E"/>
    <w:rsid w:val="00AA49F9"/>
    <w:rsid w:val="00AC116C"/>
    <w:rsid w:val="00AC7E69"/>
    <w:rsid w:val="00AD2ECE"/>
    <w:rsid w:val="00AD5C9B"/>
    <w:rsid w:val="00AE23AF"/>
    <w:rsid w:val="00AF1435"/>
    <w:rsid w:val="00AF408F"/>
    <w:rsid w:val="00B1132B"/>
    <w:rsid w:val="00B16884"/>
    <w:rsid w:val="00B17585"/>
    <w:rsid w:val="00B22045"/>
    <w:rsid w:val="00B31BAF"/>
    <w:rsid w:val="00B451A7"/>
    <w:rsid w:val="00B67448"/>
    <w:rsid w:val="00B7778F"/>
    <w:rsid w:val="00B924A8"/>
    <w:rsid w:val="00B97EE9"/>
    <w:rsid w:val="00BA4913"/>
    <w:rsid w:val="00BB2F04"/>
    <w:rsid w:val="00BB53FB"/>
    <w:rsid w:val="00BC07C0"/>
    <w:rsid w:val="00BC4B33"/>
    <w:rsid w:val="00BC609D"/>
    <w:rsid w:val="00BD0F41"/>
    <w:rsid w:val="00BD4315"/>
    <w:rsid w:val="00BF2075"/>
    <w:rsid w:val="00BF5E24"/>
    <w:rsid w:val="00C078BE"/>
    <w:rsid w:val="00C11346"/>
    <w:rsid w:val="00C206AB"/>
    <w:rsid w:val="00C20B6C"/>
    <w:rsid w:val="00C21974"/>
    <w:rsid w:val="00C237B9"/>
    <w:rsid w:val="00C43B9E"/>
    <w:rsid w:val="00C44FB1"/>
    <w:rsid w:val="00C44FFE"/>
    <w:rsid w:val="00C508CD"/>
    <w:rsid w:val="00C57869"/>
    <w:rsid w:val="00C67BBE"/>
    <w:rsid w:val="00C751DD"/>
    <w:rsid w:val="00C76DE3"/>
    <w:rsid w:val="00C8692E"/>
    <w:rsid w:val="00C86F4F"/>
    <w:rsid w:val="00C934F2"/>
    <w:rsid w:val="00C93D5D"/>
    <w:rsid w:val="00CA2612"/>
    <w:rsid w:val="00CA3DCD"/>
    <w:rsid w:val="00CB20EA"/>
    <w:rsid w:val="00CB39DE"/>
    <w:rsid w:val="00CB3E4C"/>
    <w:rsid w:val="00CD2B30"/>
    <w:rsid w:val="00CE2323"/>
    <w:rsid w:val="00CE377A"/>
    <w:rsid w:val="00CF197E"/>
    <w:rsid w:val="00CF4141"/>
    <w:rsid w:val="00CF7E3A"/>
    <w:rsid w:val="00D0614F"/>
    <w:rsid w:val="00D11EAD"/>
    <w:rsid w:val="00D345D4"/>
    <w:rsid w:val="00D5201A"/>
    <w:rsid w:val="00D555B8"/>
    <w:rsid w:val="00D60203"/>
    <w:rsid w:val="00D6796F"/>
    <w:rsid w:val="00D70DB8"/>
    <w:rsid w:val="00D7112D"/>
    <w:rsid w:val="00D71441"/>
    <w:rsid w:val="00D7616F"/>
    <w:rsid w:val="00D824CB"/>
    <w:rsid w:val="00D93182"/>
    <w:rsid w:val="00DA3325"/>
    <w:rsid w:val="00DA4BF0"/>
    <w:rsid w:val="00DA52FB"/>
    <w:rsid w:val="00DA6D08"/>
    <w:rsid w:val="00DB52DC"/>
    <w:rsid w:val="00DB55B3"/>
    <w:rsid w:val="00DB5BD3"/>
    <w:rsid w:val="00DC5F03"/>
    <w:rsid w:val="00DE52F0"/>
    <w:rsid w:val="00DF478A"/>
    <w:rsid w:val="00E02835"/>
    <w:rsid w:val="00E033C0"/>
    <w:rsid w:val="00E03FC0"/>
    <w:rsid w:val="00E0415B"/>
    <w:rsid w:val="00E0697A"/>
    <w:rsid w:val="00E16F50"/>
    <w:rsid w:val="00E21FAF"/>
    <w:rsid w:val="00E25AFA"/>
    <w:rsid w:val="00E25F8C"/>
    <w:rsid w:val="00E31585"/>
    <w:rsid w:val="00E43609"/>
    <w:rsid w:val="00E45B4D"/>
    <w:rsid w:val="00E47F2E"/>
    <w:rsid w:val="00E60AB5"/>
    <w:rsid w:val="00E644D9"/>
    <w:rsid w:val="00E707C1"/>
    <w:rsid w:val="00E72365"/>
    <w:rsid w:val="00E83521"/>
    <w:rsid w:val="00E90AF1"/>
    <w:rsid w:val="00E93814"/>
    <w:rsid w:val="00E94AB3"/>
    <w:rsid w:val="00E97182"/>
    <w:rsid w:val="00E97816"/>
    <w:rsid w:val="00EA3A78"/>
    <w:rsid w:val="00EA511C"/>
    <w:rsid w:val="00EB2C44"/>
    <w:rsid w:val="00EC385C"/>
    <w:rsid w:val="00EC462D"/>
    <w:rsid w:val="00ED110D"/>
    <w:rsid w:val="00ED5BAE"/>
    <w:rsid w:val="00ED6EA1"/>
    <w:rsid w:val="00EE085C"/>
    <w:rsid w:val="00EE0D24"/>
    <w:rsid w:val="00EE470B"/>
    <w:rsid w:val="00EE7E96"/>
    <w:rsid w:val="00EF55D0"/>
    <w:rsid w:val="00F03A85"/>
    <w:rsid w:val="00F07A42"/>
    <w:rsid w:val="00F16AB7"/>
    <w:rsid w:val="00F170E5"/>
    <w:rsid w:val="00F275F1"/>
    <w:rsid w:val="00F27E53"/>
    <w:rsid w:val="00F3354A"/>
    <w:rsid w:val="00F35074"/>
    <w:rsid w:val="00F40070"/>
    <w:rsid w:val="00F41063"/>
    <w:rsid w:val="00F4577D"/>
    <w:rsid w:val="00F5336E"/>
    <w:rsid w:val="00F625DC"/>
    <w:rsid w:val="00F70446"/>
    <w:rsid w:val="00F8537B"/>
    <w:rsid w:val="00F911C6"/>
    <w:rsid w:val="00F936BE"/>
    <w:rsid w:val="00F96744"/>
    <w:rsid w:val="00FA0774"/>
    <w:rsid w:val="00FA3230"/>
    <w:rsid w:val="00FA5F66"/>
    <w:rsid w:val="00FA6FD2"/>
    <w:rsid w:val="00FA76F7"/>
    <w:rsid w:val="00FB5CD6"/>
    <w:rsid w:val="00FC134C"/>
    <w:rsid w:val="00FC1A1C"/>
    <w:rsid w:val="00FC5E2F"/>
    <w:rsid w:val="00FD47F4"/>
    <w:rsid w:val="00FE7B2F"/>
    <w:rsid w:val="00FF2003"/>
    <w:rsid w:val="00FF5F17"/>
    <w:rsid w:val="00FF711D"/>
    <w:rsid w:val="04766A0F"/>
    <w:rsid w:val="0571786F"/>
    <w:rsid w:val="15C71838"/>
    <w:rsid w:val="17FE7D3D"/>
    <w:rsid w:val="2D3506C0"/>
    <w:rsid w:val="369D7B74"/>
    <w:rsid w:val="36BF16C5"/>
    <w:rsid w:val="3B4C1141"/>
    <w:rsid w:val="3C8566E9"/>
    <w:rsid w:val="54341974"/>
    <w:rsid w:val="6310113F"/>
    <w:rsid w:val="688E35AE"/>
    <w:rsid w:val="6BA62CA2"/>
    <w:rsid w:val="78A82630"/>
    <w:rsid w:val="7A385D94"/>
    <w:rsid w:val="7F95231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toc 2" w:semiHidden="0" w:uiPriority="39" w:unhideWhenUsed="0" w:qFormat="1"/>
    <w:lsdException w:name="toc 3" w:semiHidden="0" w:uiPriority="39" w:unhideWhenUsed="0" w:qFormat="1"/>
    <w:lsdException w:name="annotation text" w:uiPriority="99" w:qFormat="1"/>
    <w:lsdException w:name="header" w:semiHidden="0" w:unhideWhenUsed="0" w:qFormat="1"/>
    <w:lsdException w:name="footer" w:semiHidden="0" w:unhideWhenUsed="0" w:qFormat="1"/>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Hyperlink" w:semiHidden="0" w:uiPriority="99"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90C"/>
    <w:pPr>
      <w:widowControl w:val="0"/>
      <w:jc w:val="both"/>
    </w:pPr>
    <w:rPr>
      <w:rFonts w:ascii="Cambria" w:eastAsia="仿宋" w:hAnsi="Cambria" w:cs="黑体"/>
      <w:kern w:val="2"/>
      <w:sz w:val="32"/>
      <w:szCs w:val="24"/>
    </w:rPr>
  </w:style>
  <w:style w:type="paragraph" w:styleId="1">
    <w:name w:val="heading 1"/>
    <w:basedOn w:val="a"/>
    <w:next w:val="a"/>
    <w:link w:val="1Char"/>
    <w:qFormat/>
    <w:rsid w:val="0023790C"/>
    <w:pPr>
      <w:keepNext/>
      <w:keepLines/>
      <w:spacing w:before="240"/>
      <w:outlineLvl w:val="0"/>
    </w:pPr>
    <w:rPr>
      <w:rFonts w:asciiTheme="majorHAnsi" w:eastAsiaTheme="majorEastAsia" w:hAnsiTheme="majorHAnsi" w:cstheme="majorBidi"/>
      <w:color w:val="2E74B5" w:themeColor="accent1" w:themeShade="BF"/>
      <w:szCs w:val="32"/>
    </w:rPr>
  </w:style>
  <w:style w:type="paragraph" w:styleId="2">
    <w:name w:val="heading 2"/>
    <w:basedOn w:val="a"/>
    <w:next w:val="a"/>
    <w:link w:val="2Char"/>
    <w:unhideWhenUsed/>
    <w:qFormat/>
    <w:rsid w:val="0023790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nhideWhenUsed/>
    <w:qFormat/>
    <w:rsid w:val="0023790C"/>
    <w:pPr>
      <w:keepNext/>
      <w:keepLines/>
      <w:spacing w:before="40"/>
      <w:outlineLvl w:val="2"/>
    </w:pPr>
    <w:rPr>
      <w:rFonts w:asciiTheme="majorHAnsi" w:eastAsiaTheme="majorEastAsia" w:hAnsiTheme="majorHAnsi" w:cstheme="majorBidi"/>
      <w:color w:val="1F4E79" w:themeColor="accent1" w:themeShade="80"/>
      <w:sz w:val="24"/>
    </w:rPr>
  </w:style>
  <w:style w:type="paragraph" w:styleId="4">
    <w:name w:val="heading 4"/>
    <w:basedOn w:val="a"/>
    <w:next w:val="a"/>
    <w:link w:val="4Char"/>
    <w:unhideWhenUsed/>
    <w:qFormat/>
    <w:rsid w:val="002379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23790C"/>
    <w:rPr>
      <w:sz w:val="20"/>
      <w:szCs w:val="20"/>
    </w:rPr>
  </w:style>
  <w:style w:type="paragraph" w:styleId="30">
    <w:name w:val="toc 3"/>
    <w:basedOn w:val="a"/>
    <w:next w:val="a"/>
    <w:uiPriority w:val="39"/>
    <w:qFormat/>
    <w:rsid w:val="0023790C"/>
    <w:pPr>
      <w:ind w:leftChars="100" w:left="100"/>
    </w:pPr>
    <w:rPr>
      <w:sz w:val="28"/>
    </w:rPr>
  </w:style>
  <w:style w:type="paragraph" w:styleId="a4">
    <w:name w:val="Date"/>
    <w:basedOn w:val="a"/>
    <w:next w:val="a"/>
    <w:link w:val="Char0"/>
    <w:qFormat/>
    <w:rsid w:val="0023790C"/>
    <w:pPr>
      <w:ind w:leftChars="2500" w:left="100"/>
    </w:pPr>
  </w:style>
  <w:style w:type="paragraph" w:styleId="a5">
    <w:name w:val="Balloon Text"/>
    <w:basedOn w:val="a"/>
    <w:link w:val="Char1"/>
    <w:qFormat/>
    <w:rsid w:val="0023790C"/>
    <w:rPr>
      <w:sz w:val="18"/>
      <w:szCs w:val="18"/>
    </w:rPr>
  </w:style>
  <w:style w:type="paragraph" w:styleId="a6">
    <w:name w:val="footer"/>
    <w:basedOn w:val="a"/>
    <w:qFormat/>
    <w:rsid w:val="0023790C"/>
    <w:pPr>
      <w:tabs>
        <w:tab w:val="center" w:pos="4153"/>
        <w:tab w:val="right" w:pos="8306"/>
      </w:tabs>
      <w:snapToGrid w:val="0"/>
      <w:jc w:val="left"/>
    </w:pPr>
    <w:rPr>
      <w:sz w:val="18"/>
      <w:szCs w:val="18"/>
    </w:rPr>
  </w:style>
  <w:style w:type="paragraph" w:styleId="a7">
    <w:name w:val="header"/>
    <w:basedOn w:val="a"/>
    <w:link w:val="Char2"/>
    <w:qFormat/>
    <w:rsid w:val="0023790C"/>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23790C"/>
  </w:style>
  <w:style w:type="paragraph" w:styleId="20">
    <w:name w:val="toc 2"/>
    <w:basedOn w:val="a"/>
    <w:next w:val="a"/>
    <w:uiPriority w:val="39"/>
    <w:qFormat/>
    <w:rsid w:val="0023790C"/>
  </w:style>
  <w:style w:type="paragraph" w:styleId="a8">
    <w:name w:val="annotation subject"/>
    <w:basedOn w:val="a3"/>
    <w:next w:val="a3"/>
    <w:link w:val="Char3"/>
    <w:qFormat/>
    <w:rsid w:val="0023790C"/>
    <w:pPr>
      <w:jc w:val="left"/>
    </w:pPr>
    <w:rPr>
      <w:b/>
      <w:bCs/>
      <w:sz w:val="32"/>
      <w:szCs w:val="24"/>
    </w:rPr>
  </w:style>
  <w:style w:type="character" w:styleId="a9">
    <w:name w:val="Hyperlink"/>
    <w:basedOn w:val="a0"/>
    <w:uiPriority w:val="99"/>
    <w:qFormat/>
    <w:rsid w:val="0023790C"/>
    <w:rPr>
      <w:color w:val="0000FF"/>
      <w:u w:val="single"/>
    </w:rPr>
  </w:style>
  <w:style w:type="character" w:styleId="aa">
    <w:name w:val="annotation reference"/>
    <w:basedOn w:val="a0"/>
    <w:uiPriority w:val="99"/>
    <w:semiHidden/>
    <w:unhideWhenUsed/>
    <w:qFormat/>
    <w:rsid w:val="0023790C"/>
    <w:rPr>
      <w:sz w:val="16"/>
      <w:szCs w:val="16"/>
    </w:rPr>
  </w:style>
  <w:style w:type="character" w:customStyle="1" w:styleId="Char2">
    <w:name w:val="页眉 Char"/>
    <w:basedOn w:val="a0"/>
    <w:link w:val="a7"/>
    <w:qFormat/>
    <w:rsid w:val="0023790C"/>
    <w:rPr>
      <w:rFonts w:ascii="Cambria" w:eastAsia="仿宋" w:hAnsi="Cambria" w:cs="黑体"/>
      <w:kern w:val="2"/>
      <w:sz w:val="18"/>
      <w:szCs w:val="18"/>
    </w:rPr>
  </w:style>
  <w:style w:type="character" w:customStyle="1" w:styleId="Char1">
    <w:name w:val="批注框文本 Char"/>
    <w:basedOn w:val="a0"/>
    <w:link w:val="a5"/>
    <w:qFormat/>
    <w:rsid w:val="0023790C"/>
    <w:rPr>
      <w:rFonts w:ascii="Cambria" w:eastAsia="仿宋" w:hAnsi="Cambria" w:cs="黑体"/>
      <w:kern w:val="2"/>
      <w:sz w:val="18"/>
      <w:szCs w:val="18"/>
    </w:rPr>
  </w:style>
  <w:style w:type="character" w:customStyle="1" w:styleId="Char">
    <w:name w:val="批注文字 Char"/>
    <w:basedOn w:val="a0"/>
    <w:link w:val="a3"/>
    <w:uiPriority w:val="99"/>
    <w:semiHidden/>
    <w:qFormat/>
    <w:rsid w:val="0023790C"/>
    <w:rPr>
      <w:rFonts w:ascii="Cambria" w:eastAsia="仿宋" w:hAnsi="Cambria" w:cs="黑体"/>
      <w:kern w:val="2"/>
    </w:rPr>
  </w:style>
  <w:style w:type="character" w:customStyle="1" w:styleId="Char3">
    <w:name w:val="批注主题 Char"/>
    <w:basedOn w:val="Char"/>
    <w:link w:val="a8"/>
    <w:qFormat/>
    <w:rsid w:val="0023790C"/>
    <w:rPr>
      <w:rFonts w:ascii="Cambria" w:eastAsia="仿宋" w:hAnsi="Cambria" w:cs="黑体"/>
      <w:b/>
      <w:bCs/>
      <w:kern w:val="2"/>
      <w:sz w:val="32"/>
      <w:szCs w:val="24"/>
    </w:rPr>
  </w:style>
  <w:style w:type="paragraph" w:customStyle="1" w:styleId="11">
    <w:name w:val="修订1"/>
    <w:hidden/>
    <w:uiPriority w:val="99"/>
    <w:unhideWhenUsed/>
    <w:qFormat/>
    <w:rsid w:val="0023790C"/>
    <w:rPr>
      <w:rFonts w:ascii="Cambria" w:eastAsia="仿宋" w:hAnsi="Cambria" w:cs="黑体"/>
      <w:kern w:val="2"/>
      <w:sz w:val="32"/>
      <w:szCs w:val="24"/>
    </w:rPr>
  </w:style>
  <w:style w:type="character" w:customStyle="1" w:styleId="1Char">
    <w:name w:val="标题 1 Char"/>
    <w:basedOn w:val="a0"/>
    <w:link w:val="1"/>
    <w:qFormat/>
    <w:rsid w:val="0023790C"/>
    <w:rPr>
      <w:rFonts w:asciiTheme="majorHAnsi" w:eastAsiaTheme="majorEastAsia" w:hAnsiTheme="majorHAnsi" w:cstheme="majorBidi"/>
      <w:color w:val="2E74B5" w:themeColor="accent1" w:themeShade="BF"/>
      <w:kern w:val="2"/>
      <w:sz w:val="32"/>
      <w:szCs w:val="32"/>
    </w:rPr>
  </w:style>
  <w:style w:type="character" w:customStyle="1" w:styleId="2Char">
    <w:name w:val="标题 2 Char"/>
    <w:basedOn w:val="a0"/>
    <w:link w:val="2"/>
    <w:qFormat/>
    <w:rsid w:val="0023790C"/>
    <w:rPr>
      <w:rFonts w:asciiTheme="majorHAnsi" w:eastAsiaTheme="majorEastAsia" w:hAnsiTheme="majorHAnsi" w:cstheme="majorBidi"/>
      <w:color w:val="2E74B5" w:themeColor="accent1" w:themeShade="BF"/>
      <w:kern w:val="2"/>
      <w:sz w:val="26"/>
      <w:szCs w:val="26"/>
    </w:rPr>
  </w:style>
  <w:style w:type="character" w:customStyle="1" w:styleId="3Char">
    <w:name w:val="标题 3 Char"/>
    <w:basedOn w:val="a0"/>
    <w:link w:val="3"/>
    <w:qFormat/>
    <w:rsid w:val="0023790C"/>
    <w:rPr>
      <w:rFonts w:asciiTheme="majorHAnsi" w:eastAsiaTheme="majorEastAsia" w:hAnsiTheme="majorHAnsi" w:cstheme="majorBidi"/>
      <w:color w:val="1F4E79" w:themeColor="accent1" w:themeShade="80"/>
      <w:kern w:val="2"/>
      <w:sz w:val="24"/>
      <w:szCs w:val="24"/>
    </w:rPr>
  </w:style>
  <w:style w:type="character" w:customStyle="1" w:styleId="4Char">
    <w:name w:val="标题 4 Char"/>
    <w:basedOn w:val="a0"/>
    <w:link w:val="4"/>
    <w:qFormat/>
    <w:rsid w:val="0023790C"/>
    <w:rPr>
      <w:rFonts w:asciiTheme="majorHAnsi" w:eastAsiaTheme="majorEastAsia" w:hAnsiTheme="majorHAnsi" w:cstheme="majorBidi"/>
      <w:i/>
      <w:iCs/>
      <w:color w:val="2E74B5" w:themeColor="accent1" w:themeShade="BF"/>
      <w:kern w:val="2"/>
      <w:sz w:val="32"/>
      <w:szCs w:val="24"/>
    </w:rPr>
  </w:style>
  <w:style w:type="paragraph" w:styleId="ab">
    <w:name w:val="List Paragraph"/>
    <w:basedOn w:val="a"/>
    <w:uiPriority w:val="99"/>
    <w:unhideWhenUsed/>
    <w:qFormat/>
    <w:rsid w:val="0023790C"/>
    <w:pPr>
      <w:ind w:left="720"/>
      <w:contextualSpacing/>
    </w:pPr>
  </w:style>
  <w:style w:type="character" w:customStyle="1" w:styleId="Char0">
    <w:name w:val="日期 Char"/>
    <w:basedOn w:val="a0"/>
    <w:link w:val="a4"/>
    <w:qFormat/>
    <w:rsid w:val="0023790C"/>
    <w:rPr>
      <w:rFonts w:ascii="Cambria" w:eastAsia="仿宋" w:hAnsi="Cambria" w:cs="黑体"/>
      <w:kern w:val="2"/>
      <w:sz w:val="32"/>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478F8C6A-9510-4E25-B3D1-33E373EE684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2506</Words>
  <Characters>14287</Characters>
  <Application>Microsoft Office Word</Application>
  <DocSecurity>0</DocSecurity>
  <Lines>119</Lines>
  <Paragraphs>33</Paragraphs>
  <ScaleCrop>false</ScaleCrop>
  <Company>HP Inc.</Company>
  <LinksUpToDate>false</LinksUpToDate>
  <CharactersWithSpaces>16760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魏天成</dc:creator>
  <cp:lastModifiedBy>秘书科</cp:lastModifiedBy>
  <cp:revision>8</cp:revision>
  <cp:lastPrinted>2021-12-31T08:51:00Z</cp:lastPrinted>
  <dcterms:created xsi:type="dcterms:W3CDTF">2021-12-27T08:32:00Z</dcterms:created>
  <dcterms:modified xsi:type="dcterms:W3CDTF">2021-12-31T08:51:00Z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D83AF8E942234E72821EDD9E59935DAA</vt:lpwstr>
  </property>
</Properties>
</file>