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方正小标宋_GBK" w:hAnsi="方正小标宋_GBK" w:eastAsia="方正小标宋_GBK" w:cs="方正小标宋_GBK"/>
        </w:rPr>
      </w:pPr>
    </w:p>
    <w:p>
      <w:pPr>
        <w:ind w:firstLine="0" w:firstLineChars="0"/>
        <w:rPr>
          <w:rFonts w:cs="Times New Roman"/>
        </w:rPr>
      </w:pPr>
    </w:p>
    <w:p>
      <w:pPr>
        <w:ind w:firstLine="0" w:firstLineChars="0"/>
        <w:rPr>
          <w:rFonts w:cs="Times New Roman"/>
        </w:rPr>
      </w:pPr>
    </w:p>
    <w:p>
      <w:pPr>
        <w:pStyle w:val="2"/>
        <w:jc w:val="left"/>
        <w:rPr>
          <w:rFonts w:cs="Times New Roman"/>
        </w:rPr>
      </w:pPr>
    </w:p>
    <w:p>
      <w:pPr>
        <w:pStyle w:val="20"/>
        <w:spacing w:line="700" w:lineRule="exact"/>
        <w:rPr>
          <w:rFonts w:ascii="Times New Roman" w:hAnsi="Times New Roman" w:cs="Times New Roman"/>
          <w:sz w:val="52"/>
          <w:szCs w:val="52"/>
        </w:rPr>
      </w:pPr>
      <w:r>
        <w:rPr>
          <w:rFonts w:ascii="Times New Roman" w:hAnsi="Times New Roman" w:cs="Times New Roman"/>
          <w:sz w:val="48"/>
          <w:szCs w:val="48"/>
        </w:rPr>
        <w:t>太仓市太湖</w:t>
      </w:r>
      <w:r>
        <w:rPr>
          <w:rFonts w:hint="eastAsia" w:ascii="Times New Roman" w:hAnsi="Times New Roman" w:cs="Times New Roman"/>
          <w:sz w:val="48"/>
          <w:szCs w:val="48"/>
        </w:rPr>
        <w:t>流域水环境</w:t>
      </w:r>
      <w:r>
        <w:rPr>
          <w:rFonts w:ascii="Times New Roman" w:hAnsi="Times New Roman" w:cs="Times New Roman"/>
          <w:sz w:val="48"/>
          <w:szCs w:val="48"/>
        </w:rPr>
        <w:t>综合治理规划（2021-2035年）</w:t>
      </w:r>
    </w:p>
    <w:p>
      <w:pPr>
        <w:spacing w:beforeLines="50" w:afterLines="50"/>
        <w:ind w:firstLine="0" w:firstLineChars="0"/>
        <w:jc w:val="center"/>
        <w:rPr>
          <w:rFonts w:eastAsia="方正楷体_GBK" w:cs="Times New Roman"/>
          <w:b/>
          <w:bCs/>
          <w:sz w:val="44"/>
          <w:szCs w:val="44"/>
        </w:rPr>
      </w:pPr>
    </w:p>
    <w:p>
      <w:pPr>
        <w:ind w:firstLine="643"/>
        <w:rPr>
          <w:rFonts w:cs="Times New Roman"/>
          <w:b/>
          <w:bCs/>
        </w:rPr>
      </w:pPr>
    </w:p>
    <w:p>
      <w:pPr>
        <w:rPr>
          <w:rFonts w:cs="Times New Roman"/>
        </w:rPr>
      </w:pPr>
    </w:p>
    <w:p>
      <w:pPr>
        <w:spacing w:line="240" w:lineRule="auto"/>
        <w:ind w:firstLine="0" w:firstLineChars="0"/>
        <w:jc w:val="center"/>
        <w:rPr>
          <w:rFonts w:cs="Times New Roman"/>
        </w:rPr>
      </w:pPr>
      <w:r>
        <w:rPr>
          <w:rFonts w:hint="eastAsia" w:cs="Times New Roman"/>
        </w:rPr>
        <w:drawing>
          <wp:inline distT="0" distB="0" distL="114300" distR="114300">
            <wp:extent cx="4617085" cy="3074035"/>
            <wp:effectExtent l="0" t="0" r="635" b="4445"/>
            <wp:docPr id="4" name="图片 4" descr="src=http___5b0988e595225.cdn.sohucs.com_images_20181030_b36351e3058747f5a7ee55d7bd0c210e.jpeg&amp;refer=http___5b0988e595225.cdn.sohu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rc=http___5b0988e595225.cdn.sohucs.com_images_20181030_b36351e3058747f5a7ee55d7bd0c210e.jpeg&amp;refer=http___5b0988e595225.cdn.sohucs"/>
                    <pic:cNvPicPr>
                      <a:picLocks noChangeAspect="1"/>
                    </pic:cNvPicPr>
                  </pic:nvPicPr>
                  <pic:blipFill>
                    <a:blip r:embed="rId18"/>
                    <a:stretch>
                      <a:fillRect/>
                    </a:stretch>
                  </pic:blipFill>
                  <pic:spPr>
                    <a:xfrm>
                      <a:off x="0" y="0"/>
                      <a:ext cx="4617085" cy="3074035"/>
                    </a:xfrm>
                    <a:prstGeom prst="rect">
                      <a:avLst/>
                    </a:prstGeom>
                    <a:effectLst>
                      <a:softEdge rad="63500"/>
                    </a:effectLst>
                  </pic:spPr>
                </pic:pic>
              </a:graphicData>
            </a:graphic>
          </wp:inline>
        </w:drawing>
      </w:r>
    </w:p>
    <w:p>
      <w:pPr>
        <w:rPr>
          <w:rFonts w:cs="Times New Roman"/>
        </w:rPr>
      </w:pPr>
    </w:p>
    <w:p>
      <w:pPr>
        <w:rPr>
          <w:rFonts w:cs="Times New Roman"/>
        </w:rPr>
      </w:pPr>
    </w:p>
    <w:p>
      <w:pPr>
        <w:rPr>
          <w:rFonts w:cs="Times New Roman"/>
        </w:rPr>
      </w:pPr>
    </w:p>
    <w:p>
      <w:pPr>
        <w:rPr>
          <w:rFonts w:cs="Times New Roman"/>
        </w:rPr>
      </w:pPr>
    </w:p>
    <w:p>
      <w:pPr>
        <w:ind w:firstLine="0" w:firstLineChars="0"/>
        <w:jc w:val="center"/>
        <w:rPr>
          <w:rFonts w:eastAsia="方正楷体_GBK" w:cs="Times New Roman"/>
          <w:b/>
          <w:bCs/>
          <w:sz w:val="36"/>
          <w:szCs w:val="36"/>
        </w:rPr>
      </w:pPr>
      <w:r>
        <w:rPr>
          <w:rFonts w:eastAsia="方正楷体_GBK" w:cs="Times New Roman"/>
          <w:b/>
          <w:bCs/>
          <w:sz w:val="36"/>
          <w:szCs w:val="36"/>
        </w:rPr>
        <w:t>二〇二</w:t>
      </w:r>
      <w:r>
        <w:rPr>
          <w:rFonts w:hint="eastAsia" w:eastAsia="方正楷体_GBK" w:cs="Times New Roman"/>
          <w:b/>
          <w:bCs/>
          <w:sz w:val="36"/>
          <w:szCs w:val="36"/>
          <w:lang w:val="en-US" w:eastAsia="zh-CN"/>
        </w:rPr>
        <w:t>三</w:t>
      </w:r>
      <w:r>
        <w:rPr>
          <w:rFonts w:hint="eastAsia" w:eastAsia="方正楷体_GBK" w:cs="Times New Roman"/>
          <w:b/>
          <w:bCs/>
          <w:sz w:val="36"/>
          <w:szCs w:val="36"/>
        </w:rPr>
        <w:t xml:space="preserve"> </w:t>
      </w:r>
      <w:r>
        <w:rPr>
          <w:rFonts w:eastAsia="方正楷体_GBK" w:cs="Times New Roman"/>
          <w:b/>
          <w:bCs/>
          <w:sz w:val="36"/>
          <w:szCs w:val="36"/>
        </w:rPr>
        <w:t>年</w:t>
      </w:r>
      <w:r>
        <w:rPr>
          <w:rFonts w:hint="eastAsia" w:eastAsia="方正楷体_GBK" w:cs="Times New Roman"/>
          <w:b/>
          <w:bCs/>
          <w:sz w:val="36"/>
          <w:szCs w:val="36"/>
          <w:lang w:val="en-US" w:eastAsia="zh-CN"/>
        </w:rPr>
        <w:t>五</w:t>
      </w:r>
      <w:r>
        <w:rPr>
          <w:rFonts w:hint="eastAsia" w:eastAsia="方正楷体_GBK" w:cs="Times New Roman"/>
          <w:b/>
          <w:bCs/>
          <w:sz w:val="36"/>
          <w:szCs w:val="36"/>
        </w:rPr>
        <w:t>月</w:t>
      </w:r>
    </w:p>
    <w:p>
      <w:pPr>
        <w:rPr>
          <w:rFonts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lowerRoman" w:start="1"/>
          <w:cols w:space="720" w:num="1"/>
          <w:docGrid w:type="lines" w:linePitch="312" w:charSpace="0"/>
        </w:sectPr>
      </w:pPr>
    </w:p>
    <w:sdt>
      <w:sdtPr>
        <w:rPr>
          <w:rFonts w:ascii="宋体" w:hAnsi="宋体" w:eastAsia="宋体" w:cs="Times New Roman"/>
          <w:b w:val="0"/>
          <w:kern w:val="0"/>
          <w:sz w:val="21"/>
          <w:szCs w:val="20"/>
        </w:rPr>
        <w:id w:val="147451929"/>
        <w:docPartObj>
          <w:docPartGallery w:val="Table of Contents"/>
          <w:docPartUnique/>
        </w:docPartObj>
      </w:sdtPr>
      <w:sdtEndPr>
        <w:rPr>
          <w:rFonts w:ascii="Times New Roman" w:hAnsi="Times New Roman" w:eastAsia="宋体" w:cs="Times New Roman"/>
          <w:b w:val="0"/>
          <w:kern w:val="0"/>
          <w:sz w:val="20"/>
          <w:szCs w:val="20"/>
        </w:rPr>
      </w:sdtEndPr>
      <w:sdtContent>
        <w:p>
          <w:pPr>
            <w:pStyle w:val="3"/>
            <w:spacing w:before="217" w:after="217"/>
            <w:jc w:val="center"/>
            <w:rPr>
              <w:rFonts w:cs="Times New Roman"/>
              <w:sz w:val="36"/>
              <w:szCs w:val="36"/>
            </w:rPr>
          </w:pPr>
          <w:bookmarkStart w:id="0" w:name="_Toc11399"/>
          <w:bookmarkStart w:id="1" w:name="_Toc16928"/>
          <w:r>
            <w:rPr>
              <w:rFonts w:cs="Times New Roman"/>
              <w:sz w:val="36"/>
              <w:szCs w:val="36"/>
            </w:rPr>
            <w:t>目  录</w:t>
          </w:r>
          <w:bookmarkEnd w:id="0"/>
          <w:bookmarkEnd w:id="1"/>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TOC \o "1-3" \h \u </w:instrText>
          </w:r>
          <w:r>
            <w:rPr>
              <w:rFonts w:hint="default" w:ascii="Times New Roman" w:hAnsi="Times New Roman" w:eastAsia="宋体" w:cs="Times New Roman"/>
              <w:sz w:val="24"/>
              <w:szCs w:val="24"/>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"_Toc11399"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目  录</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_Toc11399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I</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"_Toc17321"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前  言</w:t>
          </w:r>
          <w:r>
            <w:rPr>
              <w:rFonts w:hint="default" w:ascii="Times New Roman" w:hAnsi="Times New Roman" w:eastAsia="黑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"_Toc13967"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第一章 太仓市基本情况</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_Toc13967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"_Toc9774"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第一节 流域概况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_Toc9774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"_Toc27343"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一、自然地理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_Toc27343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"_Toc23838"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二、社会经济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_Toc23838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"_Toc5513"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三、水生态环境状况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_Toc5513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"_Toc3701"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第二节 “十三五”治理成效</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_Toc3701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"_Toc3226"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一、流域治理战略布局更加清晰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_Toc3226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"_Toc10529"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二、水生态文明支撑保障体系落地见效</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_Toc10529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"_Toc22937"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三、碧水保卫战取得显著成效</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_Toc22937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"_Toc5430"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四、水生态保护引领高质量发展更加有力</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_Toc5430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"_Toc7615"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第三节 存在主要问题</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_Toc7615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"_Toc10937"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一、区域水环境质量仍需继续提升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_Toc10937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"_Toc17916"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二、环境基础设施存在短板</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_Toc17916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"_Toc19407"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三、工业水污染集中治理能力不足</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_Toc19407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"_Toc6390"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四、农业面源污染问题仍然存在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_Toc6390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"_Toc9551"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五、河湖水生态系统亟待整体修复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_Toc9551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"_Toc13765"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第二章 总体要求</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_Toc13765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9</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"_Toc28945"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第一节 指导思想</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_Toc28945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"_Toc4506"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第二节 基本原则</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_Toc4506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"_Toc12131"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第三节 治理分区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_Toc12131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"_Toc13254"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第四节 治理目标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_Toc13254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"_Toc14742"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一、“十四五”目标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_Toc14742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"_Toc10926"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二、二〇三五年远景目标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_Toc10926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"_Toc23934"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第三章 主要任务</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_Toc23934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17</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"_Toc18867"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第一节 推动绿色低碳，打造高质量发展新高地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_Toc18867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"_Toc29268"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一、引导产业合理布局</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_Toc29268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"_Toc32543"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二、加快制造业绿色化改造</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_Toc32543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"_Toc6504"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三、推进现代化生态城市建设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_Toc6504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"_Toc19077"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四、打造太湖流域最美乡村</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_Toc19077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"_Toc12659"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五、推行生态低碳生产生活方式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_Toc12659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"_Toc24392"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第二节 深化控源截污，不断提升污染治理水平</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_Toc24392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"_Toc31130"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一、系统推进入河（湖）排污口排查整治</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_Toc31130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"_Toc7197"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二、强化工业污染综合治理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_Toc7197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"_Toc2396"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三、推进城镇污水收集处理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_Toc2396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"_Toc1979"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四、突出农业农村污染防控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_Toc1979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"_Toc11510"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五、提升港航防污治污能力</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_Toc11510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"_Toc17450"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六、加强小流域综合整治</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_Toc17450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"_Toc29203"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第三节 推进生态保护和修复，促进人与自然和谐共生</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_Toc29203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"_Toc13631"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一、强化生态空间监督管理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_Toc13631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"_Toc20150"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二、统筹推进生态保护修复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_Toc20150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"_Toc15436"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三、提升生物多样性保护水平</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_Toc15436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"_Toc23750"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第四节 提升节水增效水平，加强水资源节约集约循环利用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_Toc23750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"_Toc14869"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一、强化水资源刚性约束</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_Toc14869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"_Toc13987"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二、加强重点领域节水</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_Toc13987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"_Toc20858"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三、推进非常规水资源利用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_Toc20858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"_Toc9638"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第五节 增强应急防控能力，切实保障饮用水安全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_Toc9638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"_Toc30848"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一、深化饮用水水源地保护和管理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_Toc30848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"_Toc6535"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二、强化优质供水保障</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_Toc6535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"_Toc4769"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第六节 坚持低碳循环生态，建立健全有机废弃物处理利用体系</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_Toc4769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"_Toc22517"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一、加快分类—收集—储存—运输体系建设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_Toc22517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"_Toc26244"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二、完善处理—利用—资源化体系建设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_Toc26244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"_Toc3556"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三、健全技术支撑—监督评估体系建设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_Toc3556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"_Toc4749"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第七节 加强改革创新，提升治理体系和治理能力现代化水平</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_Toc4749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"_Toc30816"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一、完善生态环境管理制度</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_Toc30816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"_Toc32493"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二、强化水环境达标精细化管理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_Toc32493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"_Toc18662"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三、加强监测监控能力建设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_Toc18662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1"/>
            <w:tabs>
              <w:tab w:val="right" w:leader="dot" w:pos="8844"/>
            </w:tabs>
            <w:spacing w:line="340" w:lineRule="exact"/>
            <w:ind w:left="128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"_Toc269"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四、提升生态环境执法效能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"_Toc18832"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第四章 重点工程及投资匡算</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_Toc18832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58</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"_Toc17299"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第五章 保障措施</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_Toc17299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59</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"_Toc10135"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一、加强组织管理、强化监督考核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_Toc10135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"_Toc24402"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二、强化政策支撑、坚持科学决策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_Toc24402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"_Toc16124"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三、加大资金投入、拓宽融资渠道</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_Toc16124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8"/>
            <w:tabs>
              <w:tab w:val="right" w:leader="dot" w:pos="8844"/>
            </w:tabs>
            <w:spacing w:line="340" w:lineRule="exact"/>
            <w:ind w:left="640" w:firstLine="480"/>
            <w:rPr>
              <w:rFonts w:hint="default" w:ascii="Times New Roman" w:hAnsi="Times New Roman" w:eastAsia="宋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"_Toc13533" </w:instrText>
          </w:r>
          <w:r>
            <w:rPr>
              <w:rFonts w:hint="default" w:ascii="Times New Roman" w:hAnsi="Times New Roman" w:cs="Times New Roman"/>
            </w:rPr>
            <w:fldChar w:fldCharType="separate"/>
          </w:r>
          <w:r>
            <w:rPr>
              <w:rFonts w:hint="default" w:ascii="Times New Roman" w:hAnsi="Times New Roman" w:eastAsia="宋体" w:cs="Times New Roman"/>
              <w:sz w:val="24"/>
              <w:szCs w:val="24"/>
            </w:rPr>
            <w:t>四、完善信息公开、加强宣传教育</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_Toc13533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"_Toc21401"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附表</w:t>
          </w:r>
          <w:r>
            <w:rPr>
              <w:rFonts w:hint="default" w:ascii="Times New Roman" w:hAnsi="Times New Roman" w:eastAsia="黑体" w:cs="Times New Roman"/>
              <w:sz w:val="24"/>
              <w:szCs w:val="24"/>
              <w:lang w:val="en-US" w:eastAsia="zh-CN"/>
            </w:rPr>
            <w:t xml:space="preserve">1 </w:t>
          </w:r>
          <w:r>
            <w:rPr>
              <w:rFonts w:hint="default" w:ascii="Times New Roman" w:hAnsi="Times New Roman" w:eastAsia="黑体" w:cs="Times New Roman"/>
              <w:sz w:val="24"/>
              <w:szCs w:val="24"/>
            </w:rPr>
            <w:t>重点</w:t>
          </w:r>
          <w:r>
            <w:rPr>
              <w:rFonts w:hint="default" w:ascii="Times New Roman" w:hAnsi="Times New Roman" w:eastAsia="黑体" w:cs="Times New Roman"/>
              <w:sz w:val="24"/>
              <w:szCs w:val="24"/>
              <w:lang w:val="en-US" w:eastAsia="zh-CN"/>
            </w:rPr>
            <w:t>工程项目</w:t>
          </w:r>
          <w:r>
            <w:rPr>
              <w:rFonts w:hint="default" w:ascii="Times New Roman" w:hAnsi="Times New Roman" w:eastAsia="黑体" w:cs="Times New Roman"/>
              <w:sz w:val="24"/>
              <w:szCs w:val="24"/>
            </w:rPr>
            <w:t>表</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_Toc21401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6</w:t>
          </w:r>
          <w:r>
            <w:rPr>
              <w:rFonts w:hint="default" w:ascii="Times New Roman" w:hAnsi="Times New Roman" w:eastAsia="黑体" w:cs="Times New Roman"/>
              <w:sz w:val="24"/>
              <w:szCs w:val="24"/>
              <w:lang w:val="en-US" w:eastAsia="zh-CN"/>
            </w:rPr>
            <w:t>2</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15"/>
            <w:tabs>
              <w:tab w:val="right" w:leader="dot" w:pos="8844"/>
            </w:tabs>
            <w:spacing w:line="340" w:lineRule="exact"/>
            <w:ind w:firstLine="480"/>
            <w:rPr>
              <w:rFonts w:hint="default" w:ascii="Times New Roman" w:hAnsi="Times New Roman" w:eastAsia="黑体"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"_Toc21401" </w:instrText>
          </w:r>
          <w:r>
            <w:rPr>
              <w:rFonts w:hint="default" w:ascii="Times New Roman" w:hAnsi="Times New Roman" w:cs="Times New Roman"/>
            </w:rPr>
            <w:fldChar w:fldCharType="separate"/>
          </w:r>
          <w:r>
            <w:rPr>
              <w:rFonts w:hint="default" w:ascii="Times New Roman" w:hAnsi="Times New Roman" w:eastAsia="黑体" w:cs="Times New Roman"/>
              <w:sz w:val="24"/>
              <w:szCs w:val="24"/>
            </w:rPr>
            <w:t>附表</w:t>
          </w:r>
          <w:r>
            <w:rPr>
              <w:rFonts w:hint="default" w:ascii="Times New Roman" w:hAnsi="Times New Roman" w:eastAsia="黑体" w:cs="Times New Roman"/>
              <w:sz w:val="24"/>
              <w:szCs w:val="24"/>
              <w:lang w:val="en-US" w:eastAsia="zh-CN"/>
            </w:rPr>
            <w:t xml:space="preserve">2 </w:t>
          </w:r>
          <w:r>
            <w:rPr>
              <w:rFonts w:hint="default" w:ascii="Times New Roman" w:hAnsi="Times New Roman" w:eastAsia="黑体" w:cs="Times New Roman"/>
              <w:sz w:val="24"/>
              <w:szCs w:val="24"/>
            </w:rPr>
            <w:t>重点关联断面水质工作目标表</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_Toc21401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6</w:t>
          </w:r>
          <w:r>
            <w:rPr>
              <w:rFonts w:hint="default" w:ascii="Times New Roman" w:hAnsi="Times New Roman" w:eastAsia="黑体" w:cs="Times New Roman"/>
              <w:sz w:val="24"/>
              <w:szCs w:val="24"/>
              <w:lang w:val="en-US" w:eastAsia="zh-CN"/>
            </w:rPr>
            <w:t>6</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pPr>
            <w:pStyle w:val="64"/>
            <w:tabs>
              <w:tab w:val="right" w:leader="dot" w:pos="8844"/>
            </w:tabs>
            <w:spacing w:line="340" w:lineRule="exact"/>
            <w:sectPr>
              <w:headerReference r:id="rId11" w:type="default"/>
              <w:footerReference r:id="rId12" w:type="default"/>
              <w:pgSz w:w="11906" w:h="16838"/>
              <w:pgMar w:top="2098" w:right="1474" w:bottom="1985" w:left="1588" w:header="851" w:footer="1701" w:gutter="0"/>
              <w:pgNumType w:fmt="upperRoman" w:start="1"/>
              <w:cols w:space="425" w:num="1"/>
              <w:docGrid w:type="lines" w:linePitch="435" w:charSpace="0"/>
            </w:sectPr>
          </w:pPr>
          <w:r>
            <w:rPr>
              <w:rFonts w:hint="default" w:ascii="Times New Roman" w:hAnsi="Times New Roman" w:cs="Times New Roman"/>
              <w:szCs w:val="24"/>
            </w:rPr>
            <w:fldChar w:fldCharType="end"/>
          </w:r>
        </w:p>
      </w:sdtContent>
    </w:sdt>
    <w:p>
      <w:pPr>
        <w:pStyle w:val="3"/>
        <w:spacing w:before="217" w:after="217"/>
        <w:jc w:val="center"/>
        <w:rPr>
          <w:rFonts w:cs="Times New Roman"/>
          <w:sz w:val="36"/>
          <w:szCs w:val="36"/>
        </w:rPr>
      </w:pPr>
      <w:bookmarkStart w:id="2" w:name="_Toc109979258"/>
      <w:bookmarkStart w:id="3" w:name="_Toc17321"/>
      <w:r>
        <w:rPr>
          <w:rFonts w:cs="Times New Roman"/>
          <w:sz w:val="36"/>
          <w:szCs w:val="36"/>
        </w:rPr>
        <w:t>前  言</w:t>
      </w:r>
      <w:bookmarkEnd w:id="2"/>
      <w:bookmarkEnd w:id="3"/>
    </w:p>
    <w:p>
      <w:pPr>
        <w:pStyle w:val="2"/>
        <w:jc w:val="both"/>
        <w:rPr>
          <w:rFonts w:eastAsia="仿宋_GB2312" w:cs="Times New Roman"/>
        </w:rPr>
      </w:pPr>
      <w:r>
        <w:rPr>
          <w:rFonts w:eastAsia="仿宋_GB2312" w:cs="Times New Roman"/>
        </w:rPr>
        <w:t>“</w:t>
      </w:r>
      <w:r>
        <w:rPr>
          <w:rFonts w:eastAsia="仿宋_GB2312" w:cs="Times New Roman"/>
          <w:spacing w:val="6"/>
          <w:kern w:val="0"/>
        </w:rPr>
        <w:t>十四五”时期是开启全面建设社会主义现代化国家新征程、向第二个百年奋斗目标进军的第一个五年，也是深入打好水污染防治攻坚战、持续改善水生态环境的重要阶段。太湖作为全国第三大淡水湖和长三角地区主要供水水源，是我市水污染防治攻坚战的重要一环，加强太湖保护和治理，研究编制好《太仓市太湖流域水环境综合治理规划》，对进一步发挥水生态环境保护倒逼作用，协同推进经济高质量发展和水生态环境高水平保护，持续推进“现代田园城、幸福金太仓”建设具有重大意义。</w:t>
      </w:r>
    </w:p>
    <w:p>
      <w:pPr>
        <w:pStyle w:val="46"/>
        <w:spacing w:line="572" w:lineRule="exact"/>
        <w:ind w:firstLine="640"/>
        <w:rPr>
          <w:rFonts w:eastAsia="仿宋_GB2312" w:cs="Times New Roman"/>
          <w:szCs w:val="32"/>
        </w:rPr>
      </w:pPr>
      <w:r>
        <w:rPr>
          <w:rFonts w:eastAsia="仿宋_GB2312" w:cs="Times New Roman"/>
          <w:szCs w:val="32"/>
        </w:rPr>
        <w:t>2007年以来，苏州市委、市政府坚决贯彻党中央、江苏省的决策部署，经过各方共同努力，太湖治理成效显著，连续14年实现“两个确保”目标。但也必须看到，太湖治理是一项长期、艰巨、复杂的系统工程，随着长三角一体化发展深入推进，水环境提升、水生态修复、水资源平衡和社会经济高质量协同发展面临更大压力。</w:t>
      </w:r>
    </w:p>
    <w:p>
      <w:pPr>
        <w:pStyle w:val="46"/>
        <w:spacing w:line="572" w:lineRule="exact"/>
        <w:ind w:firstLine="640"/>
        <w:rPr>
          <w:rFonts w:eastAsia="仿宋_GB2312" w:cs="Times New Roman"/>
        </w:rPr>
      </w:pPr>
      <w:r>
        <w:rPr>
          <w:rFonts w:eastAsia="仿宋_GB2312" w:cs="Times New Roman"/>
        </w:rPr>
        <w:t>本规划以《太湖流域水环境综合治理总体方案》、《江苏省太湖流域水环境综合治理规划（2021~2035年）》、《苏州市太湖流域水环境综合治理规划（2021~2035年）》、《太仓市国民经济和社会发展第十四个五年规划和二〇三五年远景目标纲要》等国家、省、市相关规划为指导，在《太仓市太湖流域水平衡分析专题研究报告》、《太仓市太湖流域磷平衡分析专题研究报告》、《太仓市太湖流域河湖生态系统调查专题研究报告》以及《太仓市环太湖地区城乡有机废弃物处理利用体系建设专题研究报告》4个专题研究的基础上，系统总结太仓市“十三五”太湖流域治理取得的成效和问题，科学谋划新时期太湖治理思路和目标任务，是今后一段时期指导全市太湖流域生态环境保护和综合治理的重要依据。</w:t>
      </w:r>
    </w:p>
    <w:p>
      <w:pPr>
        <w:rPr>
          <w:rFonts w:eastAsia="仿宋_GB2312" w:cs="Times New Roman"/>
        </w:rPr>
      </w:pPr>
      <w:r>
        <w:rPr>
          <w:rFonts w:eastAsia="仿宋_GB2312" w:cs="Times New Roman"/>
        </w:rPr>
        <w:t>本规划范围为太仓全市。现状基准年为2020年，规划实施限期2021~2025年，远期展望到2035年。</w:t>
      </w:r>
    </w:p>
    <w:p>
      <w:pPr>
        <w:rPr>
          <w:rFonts w:cs="Times New Roman"/>
        </w:rPr>
      </w:pPr>
    </w:p>
    <w:p>
      <w:pPr>
        <w:rPr>
          <w:rFonts w:cs="Times New Roman"/>
        </w:rPr>
        <w:sectPr>
          <w:footerReference r:id="rId13" w:type="default"/>
          <w:pgSz w:w="11906" w:h="16838"/>
          <w:pgMar w:top="2098" w:right="1474" w:bottom="1985" w:left="1588" w:header="851" w:footer="1701" w:gutter="0"/>
          <w:pgNumType w:fmt="upperRoman" w:start="1"/>
          <w:cols w:space="425" w:num="1"/>
          <w:docGrid w:type="lines" w:linePitch="435" w:charSpace="0"/>
        </w:sectPr>
      </w:pPr>
    </w:p>
    <w:p>
      <w:pPr>
        <w:pStyle w:val="3"/>
        <w:spacing w:before="217" w:after="217"/>
        <w:jc w:val="center"/>
        <w:rPr>
          <w:rFonts w:cs="Times New Roman"/>
        </w:rPr>
      </w:pPr>
      <w:bookmarkStart w:id="4" w:name="_Toc13967"/>
      <w:r>
        <w:rPr>
          <w:rFonts w:hint="eastAsia" w:cs="Times New Roman"/>
        </w:rPr>
        <w:t>第一章 太仓市基本情况</w:t>
      </w:r>
      <w:bookmarkEnd w:id="4"/>
    </w:p>
    <w:p>
      <w:pPr>
        <w:pStyle w:val="4"/>
        <w:spacing w:before="217" w:after="217"/>
        <w:rPr>
          <w:rFonts w:cs="Times New Roman"/>
        </w:rPr>
      </w:pPr>
      <w:bookmarkStart w:id="5" w:name="_Toc9774"/>
      <w:r>
        <w:rPr>
          <w:rFonts w:hint="eastAsia" w:cs="Times New Roman"/>
        </w:rPr>
        <w:t>第一节 流域概况</w:t>
      </w:r>
      <w:bookmarkEnd w:id="5"/>
    </w:p>
    <w:p>
      <w:pPr>
        <w:pStyle w:val="5"/>
        <w:spacing w:before="217" w:after="217"/>
        <w:rPr>
          <w:rFonts w:cs="Times New Roman"/>
        </w:rPr>
      </w:pPr>
      <w:bookmarkStart w:id="6" w:name="_Toc27343"/>
      <w:r>
        <w:rPr>
          <w:rFonts w:hint="eastAsia" w:cs="Times New Roman"/>
        </w:rPr>
        <w:t>一、自然地理</w:t>
      </w:r>
      <w:bookmarkEnd w:id="6"/>
    </w:p>
    <w:p>
      <w:pPr>
        <w:rPr>
          <w:rFonts w:eastAsia="仿宋_GB2312" w:cs="Times New Roman"/>
          <w:snapToGrid w:val="0"/>
        </w:rPr>
      </w:pPr>
      <w:r>
        <w:rPr>
          <w:rFonts w:eastAsia="仿宋_GB2312" w:cs="Times New Roman"/>
          <w:snapToGrid w:val="0"/>
        </w:rPr>
        <w:t>太仓市位于江苏省东南部，长江口南岸，地处北纬31°20'～31°45'、东经120°58'～121°20'。东濒长江，与崇明岛隔江相望；西连昆山市；南临上海市宝山区、嘉定区；北接常熟市。总面积809.93平方公里，长江水域面积143.97平方公里，陆地面积665.96平方公里。</w:t>
      </w:r>
    </w:p>
    <w:p>
      <w:pPr>
        <w:textAlignment w:val="baseline"/>
        <w:rPr>
          <w:rFonts w:eastAsia="仿宋_GB2312" w:cs="Times New Roman"/>
        </w:rPr>
      </w:pPr>
      <w:r>
        <w:rPr>
          <w:rFonts w:eastAsia="仿宋_GB2312" w:cs="Times New Roman"/>
        </w:rPr>
        <w:t>太仓市紧邻长江，境内河流稠密，塘浦纵横交织，属于典型的江南水乡。水域面积256 km</w:t>
      </w:r>
      <w:r>
        <w:rPr>
          <w:rFonts w:eastAsia="仿宋_GB2312" w:cs="Times New Roman"/>
          <w:vertAlign w:val="superscript"/>
        </w:rPr>
        <w:t>2</w:t>
      </w:r>
      <w:r>
        <w:rPr>
          <w:rFonts w:eastAsia="仿宋_GB2312" w:cs="Times New Roman"/>
        </w:rPr>
        <w:t>，分长江水域和内陆水域，其中长江水域面积144 km</w:t>
      </w:r>
      <w:r>
        <w:rPr>
          <w:rFonts w:eastAsia="仿宋_GB2312" w:cs="Times New Roman"/>
          <w:vertAlign w:val="superscript"/>
        </w:rPr>
        <w:t>2</w:t>
      </w:r>
      <w:r>
        <w:rPr>
          <w:rFonts w:eastAsia="仿宋_GB2312" w:cs="Times New Roman"/>
        </w:rPr>
        <w:t>，内陆水域水面积112 km</w:t>
      </w:r>
      <w:r>
        <w:rPr>
          <w:rFonts w:eastAsia="仿宋_GB2312" w:cs="Times New Roman"/>
          <w:vertAlign w:val="superscript"/>
        </w:rPr>
        <w:t>2</w:t>
      </w:r>
      <w:r>
        <w:rPr>
          <w:rFonts w:eastAsia="仿宋_GB2312" w:cs="Times New Roman"/>
        </w:rPr>
        <w:t>。全市现有各级河道4000余条，总长度3099.74 km，其中流域性河道长江太仓境内长36.20 km；区域性河道共有5条，总长度123.47 km，分别是东西向的浏河塘、杨林塘、七浦塘、新荡茜河和南北向的盐铁塘；市级河道（除流域域性河道外）12条，总长度162.01 km，分别是东西向的新泾塘、钱泾塘、荡茜河、鹿鸣泾、浪港河、茜泾河和南北向的吴塘河、半泾河、十八港、白米泾、石头塘、随塘河。东西向通江河道主要承担防洪排涝、引水灌溉、航运等功能；南北向河道主要起到沟通水系、排涝、引水、调蓄水等量功能。</w:t>
      </w:r>
    </w:p>
    <w:p>
      <w:pPr>
        <w:pStyle w:val="5"/>
        <w:spacing w:before="217" w:after="217"/>
        <w:rPr>
          <w:rFonts w:cs="Times New Roman"/>
        </w:rPr>
      </w:pPr>
      <w:bookmarkStart w:id="7" w:name="_Toc23838"/>
      <w:r>
        <w:rPr>
          <w:rFonts w:hint="eastAsia" w:cs="Times New Roman"/>
        </w:rPr>
        <w:t>二、社会经济</w:t>
      </w:r>
      <w:bookmarkEnd w:id="7"/>
    </w:p>
    <w:p>
      <w:pPr>
        <w:rPr>
          <w:rFonts w:eastAsia="仿宋_GB2312" w:cs="Times New Roman"/>
          <w:snapToGrid w:val="0"/>
        </w:rPr>
      </w:pPr>
      <w:r>
        <w:rPr>
          <w:rFonts w:eastAsia="仿宋_GB2312" w:cs="Times New Roman"/>
          <w:snapToGrid w:val="0"/>
        </w:rPr>
        <w:t>2020年</w:t>
      </w:r>
      <w:r>
        <w:rPr>
          <w:rFonts w:hint="eastAsia" w:eastAsia="仿宋_GB2312" w:cs="Times New Roman"/>
          <w:snapToGrid w:val="0"/>
        </w:rPr>
        <w:t>末</w:t>
      </w:r>
      <w:r>
        <w:rPr>
          <w:rFonts w:eastAsia="仿宋_GB2312" w:cs="Times New Roman"/>
          <w:snapToGrid w:val="0"/>
        </w:rPr>
        <w:t>，太仓市常住人口为83.1</w:t>
      </w:r>
      <w:r>
        <w:rPr>
          <w:rFonts w:hint="eastAsia" w:eastAsia="仿宋_GB2312" w:cs="Times New Roman"/>
          <w:snapToGrid w:val="0"/>
        </w:rPr>
        <w:t>2</w:t>
      </w:r>
      <w:r>
        <w:rPr>
          <w:rFonts w:eastAsia="仿宋_GB2312" w:cs="Times New Roman"/>
          <w:snapToGrid w:val="0"/>
        </w:rPr>
        <w:t>万人</w:t>
      </w:r>
      <w:r>
        <w:rPr>
          <w:rFonts w:hint="eastAsia" w:eastAsia="仿宋_GB2312" w:cs="Times New Roman"/>
          <w:snapToGrid w:val="0"/>
        </w:rPr>
        <w:t>，</w:t>
      </w:r>
      <w:r>
        <w:rPr>
          <w:rFonts w:eastAsia="仿宋_GB2312" w:cs="Times New Roman"/>
          <w:snapToGrid w:val="0"/>
        </w:rPr>
        <w:t>城镇化率</w:t>
      </w:r>
      <w:r>
        <w:rPr>
          <w:rFonts w:hint="eastAsia" w:eastAsia="仿宋_GB2312" w:cs="Times New Roman"/>
          <w:snapToGrid w:val="0"/>
        </w:rPr>
        <w:t>70.61</w:t>
      </w:r>
      <w:r>
        <w:rPr>
          <w:rFonts w:eastAsia="仿宋_GB2312" w:cs="Times New Roman"/>
          <w:snapToGrid w:val="0"/>
        </w:rPr>
        <w:t>%；2019年末，太仓市常住人口</w:t>
      </w:r>
      <w:r>
        <w:rPr>
          <w:rFonts w:hint="eastAsia" w:eastAsia="仿宋_GB2312" w:cs="Times New Roman"/>
          <w:snapToGrid w:val="0"/>
        </w:rPr>
        <w:t>82.50</w:t>
      </w:r>
      <w:r>
        <w:rPr>
          <w:rFonts w:eastAsia="仿宋_GB2312" w:cs="Times New Roman"/>
          <w:snapToGrid w:val="0"/>
        </w:rPr>
        <w:t>万人，城镇化率</w:t>
      </w:r>
      <w:r>
        <w:rPr>
          <w:rFonts w:hint="eastAsia" w:eastAsia="仿宋_GB2312" w:cs="Times New Roman"/>
          <w:snapToGrid w:val="0"/>
        </w:rPr>
        <w:t>70.50</w:t>
      </w:r>
      <w:r>
        <w:rPr>
          <w:rFonts w:eastAsia="仿宋_GB2312" w:cs="Times New Roman"/>
          <w:snapToGrid w:val="0"/>
        </w:rPr>
        <w:t>%。太仓市辖国家级太仓港经济技术开发区（以下简称“港区”）、</w:t>
      </w:r>
      <w:r>
        <w:rPr>
          <w:rFonts w:hint="eastAsia" w:eastAsia="仿宋_GB2312" w:cs="Times New Roman"/>
          <w:snapToGrid w:val="0"/>
        </w:rPr>
        <w:t>省级</w:t>
      </w:r>
      <w:r>
        <w:rPr>
          <w:rFonts w:eastAsia="仿宋_GB2312" w:cs="Times New Roman"/>
          <w:snapToGrid w:val="0"/>
        </w:rPr>
        <w:t>太仓高新技术产业开发区（以下简称“</w:t>
      </w:r>
      <w:r>
        <w:rPr>
          <w:rFonts w:hint="eastAsia" w:eastAsia="仿宋_GB2312" w:cs="Times New Roman"/>
          <w:snapToGrid w:val="0"/>
        </w:rPr>
        <w:t>高新区</w:t>
      </w:r>
      <w:r>
        <w:rPr>
          <w:rFonts w:eastAsia="仿宋_GB2312" w:cs="Times New Roman"/>
          <w:snapToGrid w:val="0"/>
        </w:rPr>
        <w:t>”）、科教新城、城厢镇、沙溪镇、长江口旅游度假区(浏河镇)、浮桥镇、璜泾镇、双凤镇、娄东街道和陆渡街道。其中常住人口数量最多的为沙溪镇，其次为城厢镇和经济开发区</w:t>
      </w:r>
      <w:r>
        <w:rPr>
          <w:rFonts w:hint="eastAsia" w:eastAsia="仿宋_GB2312" w:cs="Times New Roman"/>
          <w:snapToGrid w:val="0"/>
        </w:rPr>
        <w:t>。</w:t>
      </w:r>
    </w:p>
    <w:p>
      <w:pPr>
        <w:pStyle w:val="32"/>
        <w:ind w:firstLine="640"/>
        <w:rPr>
          <w:lang w:val="en-US"/>
        </w:rPr>
      </w:pPr>
      <w:r>
        <w:rPr>
          <w:rFonts w:eastAsia="仿宋_GB2312" w:cs="Times New Roman"/>
          <w:snapToGrid w:val="0"/>
        </w:rPr>
        <w:t>2020年，太仓市实现地区生产总值1386.09亿元，按可比价格计算，比上年增长3.9%。其中，第一产业增加值26.96亿元，下降18.4%；第二产业增加值666.53亿元，增长4.3%；第三产业增加值692.60亿元，增长4.7%。第一产业增加值占地区生产总值的比重为1.9%，第二产业增加值比重为48.1%，第三产业增加值比重为50.0%。三次产业结构比重调整优化至</w:t>
      </w:r>
      <w:r>
        <w:rPr>
          <w:rFonts w:hint="eastAsia" w:eastAsia="仿宋_GB2312" w:cs="Times New Roman"/>
          <w:snapToGrid w:val="0"/>
          <w:lang w:val="en-US"/>
        </w:rPr>
        <w:t>1.9</w:t>
      </w:r>
      <w:r>
        <w:rPr>
          <w:rFonts w:eastAsia="仿宋_GB2312" w:cs="Times New Roman"/>
          <w:snapToGrid w:val="0"/>
        </w:rPr>
        <w:t>∶</w:t>
      </w:r>
      <w:r>
        <w:rPr>
          <w:rFonts w:hint="eastAsia" w:eastAsia="仿宋_GB2312" w:cs="Times New Roman"/>
          <w:snapToGrid w:val="0"/>
          <w:lang w:val="en-US"/>
        </w:rPr>
        <w:t>48.1</w:t>
      </w:r>
      <w:r>
        <w:rPr>
          <w:rFonts w:eastAsia="仿宋_GB2312" w:cs="Times New Roman"/>
          <w:snapToGrid w:val="0"/>
        </w:rPr>
        <w:t>∶50。</w:t>
      </w:r>
    </w:p>
    <w:p>
      <w:pPr>
        <w:pStyle w:val="5"/>
        <w:spacing w:before="217" w:after="217"/>
        <w:rPr>
          <w:rFonts w:cs="Times New Roman"/>
        </w:rPr>
      </w:pPr>
      <w:bookmarkStart w:id="8" w:name="_Toc5513"/>
      <w:r>
        <w:rPr>
          <w:rFonts w:hint="eastAsia" w:cs="Times New Roman"/>
        </w:rPr>
        <w:t>三、水生态环境状况</w:t>
      </w:r>
      <w:bookmarkEnd w:id="8"/>
    </w:p>
    <w:p>
      <w:pPr>
        <w:pStyle w:val="2"/>
        <w:jc w:val="both"/>
        <w:rPr>
          <w:rFonts w:eastAsia="仿宋_GB2312" w:cs="Times New Roman"/>
          <w:snapToGrid w:val="0"/>
        </w:rPr>
      </w:pPr>
      <w:r>
        <w:rPr>
          <w:rFonts w:eastAsia="仿宋_GB2312" w:cs="Times New Roman"/>
          <w:snapToGrid w:val="0"/>
        </w:rPr>
        <w:t>“十三五”期间，太仓市地表水环境质量稳中向好，2020年，9个国、省、市考断面水质均稳定达标。全市共有2个国考断面，断面名称及目标水质分别为浏河（长江）Ⅱ类、浏河闸（浏河塘）Ⅲ类；全市共有4个省考断面，断面名称及目标水质分别为仪桥Ⅲ类、荡茜河桥Ⅲ类、振东渡口Ⅳ类、新丰桥镇Ⅳ类；全市共有3个市考断面，断面名称及目标水质分别为华能杂货码头Ⅲ类、墅沟河桥Ⅲ类、金仓湖Ⅲ类。</w:t>
      </w:r>
    </w:p>
    <w:p>
      <w:pPr>
        <w:rPr>
          <w:rFonts w:eastAsia="仿宋_GB2312" w:cs="Times New Roman"/>
          <w:snapToGrid w:val="0"/>
        </w:rPr>
      </w:pPr>
      <w:r>
        <w:rPr>
          <w:rFonts w:eastAsia="仿宋_GB2312" w:cs="Times New Roman"/>
          <w:snapToGrid w:val="0"/>
        </w:rPr>
        <w:t>20</w:t>
      </w:r>
      <w:r>
        <w:rPr>
          <w:rFonts w:hint="eastAsia" w:eastAsia="仿宋_GB2312" w:cs="Times New Roman"/>
          <w:snapToGrid w:val="0"/>
        </w:rPr>
        <w:t>20</w:t>
      </w:r>
      <w:r>
        <w:rPr>
          <w:rFonts w:eastAsia="仿宋_GB2312" w:cs="Times New Roman"/>
          <w:snapToGrid w:val="0"/>
        </w:rPr>
        <w:t>年，</w:t>
      </w:r>
      <w:r>
        <w:rPr>
          <w:rFonts w:hint="eastAsia" w:eastAsia="仿宋_GB2312" w:cs="Times New Roman"/>
          <w:snapToGrid w:val="0"/>
        </w:rPr>
        <w:t>太仓</w:t>
      </w:r>
      <w:r>
        <w:rPr>
          <w:rFonts w:eastAsia="仿宋_GB2312" w:cs="Times New Roman"/>
          <w:snapToGrid w:val="0"/>
        </w:rPr>
        <w:t>市</w:t>
      </w:r>
      <w:r>
        <w:rPr>
          <w:rFonts w:hint="eastAsia" w:eastAsia="仿宋_GB2312" w:cs="Times New Roman"/>
          <w:snapToGrid w:val="0"/>
        </w:rPr>
        <w:t>主要</w:t>
      </w:r>
      <w:r>
        <w:rPr>
          <w:rFonts w:eastAsia="仿宋_GB2312" w:cs="Times New Roman"/>
          <w:snapToGrid w:val="0"/>
        </w:rPr>
        <w:t>污染物</w:t>
      </w:r>
      <w:r>
        <w:rPr>
          <w:rFonts w:hint="eastAsia" w:eastAsia="仿宋_GB2312" w:cs="Times New Roman"/>
          <w:snapToGrid w:val="0"/>
        </w:rPr>
        <w:t>化学需氧量</w:t>
      </w:r>
      <w:r>
        <w:rPr>
          <w:rFonts w:eastAsia="仿宋_GB2312" w:cs="Times New Roman"/>
          <w:snapToGrid w:val="0"/>
        </w:rPr>
        <w:t>、氨氮、总氮</w:t>
      </w:r>
      <w:r>
        <w:rPr>
          <w:rFonts w:hint="eastAsia" w:eastAsia="仿宋_GB2312" w:cs="Times New Roman"/>
          <w:snapToGrid w:val="0"/>
        </w:rPr>
        <w:t>、</w:t>
      </w:r>
      <w:r>
        <w:rPr>
          <w:rFonts w:eastAsia="仿宋_GB2312" w:cs="Times New Roman"/>
          <w:snapToGrid w:val="0"/>
        </w:rPr>
        <w:t>总磷</w:t>
      </w:r>
      <w:r>
        <w:rPr>
          <w:rFonts w:hint="eastAsia" w:eastAsia="仿宋_GB2312" w:cs="Times New Roman"/>
          <w:snapToGrid w:val="0"/>
        </w:rPr>
        <w:t>排放量</w:t>
      </w:r>
      <w:r>
        <w:rPr>
          <w:rFonts w:eastAsia="仿宋_GB2312" w:cs="Times New Roman"/>
          <w:snapToGrid w:val="0"/>
        </w:rPr>
        <w:t>分别为</w:t>
      </w:r>
      <w:r>
        <w:rPr>
          <w:rFonts w:hint="eastAsia" w:eastAsia="仿宋_GB2312" w:cs="Times New Roman"/>
          <w:snapToGrid w:val="0"/>
        </w:rPr>
        <w:t>7933.21</w:t>
      </w:r>
      <w:r>
        <w:rPr>
          <w:rFonts w:eastAsia="仿宋_GB2312" w:cs="Times New Roman"/>
          <w:snapToGrid w:val="0"/>
        </w:rPr>
        <w:t>吨、</w:t>
      </w:r>
      <w:r>
        <w:rPr>
          <w:rFonts w:hint="eastAsia" w:eastAsia="仿宋_GB2312" w:cs="Times New Roman"/>
          <w:snapToGrid w:val="0"/>
        </w:rPr>
        <w:t>764.41</w:t>
      </w:r>
      <w:r>
        <w:rPr>
          <w:rFonts w:eastAsia="仿宋_GB2312" w:cs="Times New Roman"/>
          <w:snapToGrid w:val="0"/>
        </w:rPr>
        <w:t>吨、</w:t>
      </w:r>
      <w:r>
        <w:rPr>
          <w:rFonts w:hint="eastAsia" w:eastAsia="仿宋_GB2312" w:cs="Times New Roman"/>
          <w:snapToGrid w:val="0"/>
        </w:rPr>
        <w:t>2901.51</w:t>
      </w:r>
      <w:r>
        <w:rPr>
          <w:rFonts w:eastAsia="仿宋_GB2312" w:cs="Times New Roman"/>
          <w:snapToGrid w:val="0"/>
        </w:rPr>
        <w:t>吨</w:t>
      </w:r>
      <w:r>
        <w:rPr>
          <w:rFonts w:hint="eastAsia" w:eastAsia="仿宋_GB2312" w:cs="Times New Roman"/>
          <w:snapToGrid w:val="0"/>
        </w:rPr>
        <w:t>、310.209</w:t>
      </w:r>
      <w:r>
        <w:rPr>
          <w:rFonts w:eastAsia="仿宋_GB2312" w:cs="Times New Roman"/>
          <w:snapToGrid w:val="0"/>
        </w:rPr>
        <w:t>吨</w:t>
      </w:r>
      <w:r>
        <w:rPr>
          <w:rFonts w:hint="eastAsia" w:eastAsia="仿宋_GB2312" w:cs="Times New Roman"/>
          <w:snapToGrid w:val="0"/>
        </w:rPr>
        <w:t>，</w:t>
      </w:r>
      <w:r>
        <w:rPr>
          <w:rFonts w:eastAsia="仿宋_GB2312" w:cs="Times New Roman"/>
          <w:snapToGrid w:val="0"/>
        </w:rPr>
        <w:t>较201</w:t>
      </w:r>
      <w:r>
        <w:rPr>
          <w:rFonts w:hint="eastAsia" w:eastAsia="仿宋_GB2312" w:cs="Times New Roman"/>
          <w:snapToGrid w:val="0"/>
        </w:rPr>
        <w:t>5</w:t>
      </w:r>
      <w:r>
        <w:rPr>
          <w:rFonts w:eastAsia="仿宋_GB2312" w:cs="Times New Roman"/>
          <w:snapToGrid w:val="0"/>
        </w:rPr>
        <w:t>年分别</w:t>
      </w:r>
      <w:r>
        <w:rPr>
          <w:rFonts w:hint="eastAsia" w:eastAsia="仿宋_GB2312" w:cs="Times New Roman"/>
          <w:snapToGrid w:val="0"/>
        </w:rPr>
        <w:t>下降13.25</w:t>
      </w:r>
      <w:r>
        <w:rPr>
          <w:rFonts w:eastAsia="仿宋_GB2312" w:cs="Times New Roman"/>
          <w:snapToGrid w:val="0"/>
        </w:rPr>
        <w:t>%、</w:t>
      </w:r>
      <w:r>
        <w:rPr>
          <w:rFonts w:hint="eastAsia" w:eastAsia="仿宋_GB2312" w:cs="Times New Roman"/>
          <w:snapToGrid w:val="0"/>
        </w:rPr>
        <w:t>14.99</w:t>
      </w:r>
      <w:r>
        <w:rPr>
          <w:rFonts w:eastAsia="仿宋_GB2312" w:cs="Times New Roman"/>
          <w:snapToGrid w:val="0"/>
        </w:rPr>
        <w:t>%、</w:t>
      </w:r>
      <w:r>
        <w:rPr>
          <w:rFonts w:hint="eastAsia" w:eastAsia="仿宋_GB2312" w:cs="Times New Roman"/>
          <w:snapToGrid w:val="0"/>
        </w:rPr>
        <w:t>12.24</w:t>
      </w:r>
      <w:r>
        <w:rPr>
          <w:rFonts w:eastAsia="仿宋_GB2312" w:cs="Times New Roman"/>
          <w:snapToGrid w:val="0"/>
        </w:rPr>
        <w:t>%和</w:t>
      </w:r>
      <w:r>
        <w:rPr>
          <w:rFonts w:hint="eastAsia" w:eastAsia="仿宋_GB2312" w:cs="Times New Roman"/>
          <w:snapToGrid w:val="0"/>
        </w:rPr>
        <w:t>12.36</w:t>
      </w:r>
      <w:r>
        <w:rPr>
          <w:rFonts w:eastAsia="仿宋_GB2312" w:cs="Times New Roman"/>
          <w:snapToGrid w:val="0"/>
        </w:rPr>
        <w:t>%</w:t>
      </w:r>
      <w:r>
        <w:rPr>
          <w:rFonts w:hint="eastAsia" w:eastAsia="仿宋_GB2312" w:cs="Times New Roman"/>
          <w:snapToGrid w:val="0"/>
        </w:rPr>
        <w:t>，</w:t>
      </w:r>
      <w:r>
        <w:rPr>
          <w:rFonts w:eastAsia="仿宋_GB2312" w:cs="Times New Roman"/>
          <w:snapToGrid w:val="0"/>
        </w:rPr>
        <w:t>已按</w:t>
      </w:r>
      <w:r>
        <w:rPr>
          <w:rFonts w:hint="eastAsia" w:eastAsia="仿宋_GB2312" w:cs="Times New Roman"/>
          <w:snapToGrid w:val="0"/>
        </w:rPr>
        <w:t>上级</w:t>
      </w:r>
      <w:r>
        <w:rPr>
          <w:rFonts w:eastAsia="仿宋_GB2312" w:cs="Times New Roman"/>
          <w:snapToGrid w:val="0"/>
        </w:rPr>
        <w:t>要求完成“十三五”总量减排目标任务。</w:t>
      </w:r>
    </w:p>
    <w:p>
      <w:pPr>
        <w:pStyle w:val="32"/>
        <w:ind w:firstLine="640"/>
        <w:rPr>
          <w:rFonts w:eastAsia="仿宋_GB2312" w:cs="Times New Roman"/>
          <w:snapToGrid w:val="0"/>
          <w:lang w:val="en-US"/>
        </w:rPr>
      </w:pPr>
      <w:r>
        <w:rPr>
          <w:rFonts w:hint="eastAsia" w:eastAsia="仿宋_GB2312" w:cs="Times New Roman"/>
          <w:snapToGrid w:val="0"/>
          <w:lang w:val="en-US"/>
        </w:rPr>
        <w:t>2020年，太仓市</w:t>
      </w:r>
      <w:r>
        <w:rPr>
          <w:rFonts w:eastAsia="仿宋_GB2312" w:cs="Times New Roman"/>
          <w:snapToGrid w:val="0"/>
          <w:lang w:val="en-US"/>
        </w:rPr>
        <w:t>一湖六河中，金仓湖和七浦塘的水体透明度较高，七浦塘的溶解氧含量较高。金仓湖和浪港等部分采样点位叶绿素a含量高于20 μg/L。浮游植物优势类群为绿藻</w:t>
      </w:r>
      <w:r>
        <w:rPr>
          <w:rFonts w:hint="eastAsia" w:eastAsia="仿宋_GB2312" w:cs="Times New Roman"/>
          <w:snapToGrid w:val="0"/>
          <w:lang w:val="en-US"/>
        </w:rPr>
        <w:t>；</w:t>
      </w:r>
      <w:r>
        <w:rPr>
          <w:rFonts w:eastAsia="仿宋_GB2312" w:cs="Times New Roman"/>
          <w:snapToGrid w:val="0"/>
          <w:lang w:val="en-US"/>
        </w:rPr>
        <w:t>底栖动物优势种以耐污种为主</w:t>
      </w:r>
      <w:r>
        <w:rPr>
          <w:rFonts w:hint="eastAsia" w:eastAsia="仿宋_GB2312" w:cs="Times New Roman"/>
          <w:snapToGrid w:val="0"/>
          <w:lang w:val="en-US"/>
        </w:rPr>
        <w:t>，</w:t>
      </w:r>
      <w:r>
        <w:rPr>
          <w:rFonts w:eastAsia="仿宋_GB2312" w:cs="Times New Roman"/>
          <w:snapToGrid w:val="0"/>
          <w:lang w:val="en-US"/>
        </w:rPr>
        <w:t>金仓湖和杨林塘的底栖动物密度较高</w:t>
      </w:r>
      <w:r>
        <w:rPr>
          <w:rFonts w:hint="eastAsia" w:eastAsia="仿宋_GB2312" w:cs="Times New Roman"/>
          <w:snapToGrid w:val="0"/>
          <w:lang w:val="en-US"/>
        </w:rPr>
        <w:t>，</w:t>
      </w:r>
      <w:r>
        <w:rPr>
          <w:rFonts w:eastAsia="仿宋_GB2312" w:cs="Times New Roman"/>
          <w:snapToGrid w:val="0"/>
          <w:lang w:val="en-US"/>
        </w:rPr>
        <w:t>浪港、浏河塘和七浦塘的Shannon-Wiener多样性指数较高，新泾和杨林塘较低</w:t>
      </w:r>
      <w:r>
        <w:rPr>
          <w:rFonts w:hint="eastAsia" w:eastAsia="仿宋_GB2312" w:cs="Times New Roman"/>
          <w:snapToGrid w:val="0"/>
          <w:lang w:val="en-US"/>
        </w:rPr>
        <w:t>；</w:t>
      </w:r>
      <w:r>
        <w:rPr>
          <w:rFonts w:eastAsia="仿宋_GB2312" w:cs="Times New Roman"/>
          <w:snapToGrid w:val="0"/>
          <w:lang w:val="en-US"/>
        </w:rPr>
        <w:t>鱼类现状</w:t>
      </w:r>
      <w:r>
        <w:rPr>
          <w:rFonts w:hint="eastAsia" w:eastAsia="仿宋_GB2312" w:cs="Times New Roman"/>
          <w:snapToGrid w:val="0"/>
          <w:lang w:val="en-US"/>
        </w:rPr>
        <w:t>以</w:t>
      </w:r>
      <w:r>
        <w:rPr>
          <w:rFonts w:eastAsia="仿宋_GB2312" w:cs="Times New Roman"/>
          <w:snapToGrid w:val="0"/>
          <w:lang w:val="en-US"/>
        </w:rPr>
        <w:t>七浦塘的</w:t>
      </w:r>
      <w:r>
        <w:rPr>
          <w:rFonts w:hint="eastAsia" w:eastAsia="仿宋_GB2312" w:cs="Times New Roman"/>
          <w:snapToGrid w:val="0"/>
          <w:lang w:val="en-US"/>
        </w:rPr>
        <w:t>s</w:t>
      </w:r>
      <w:r>
        <w:rPr>
          <w:rFonts w:eastAsia="仿宋_GB2312" w:cs="Times New Roman"/>
          <w:snapToGrid w:val="0"/>
          <w:lang w:val="en-US"/>
        </w:rPr>
        <w:t>hannon-Wiener多样性指数最高，浏河塘和杨林塘次之，新泾和浪港较低，金仓湖最低</w:t>
      </w:r>
      <w:r>
        <w:rPr>
          <w:rFonts w:hint="eastAsia" w:eastAsia="仿宋_GB2312" w:cs="Times New Roman"/>
          <w:snapToGrid w:val="0"/>
          <w:lang w:val="en-US"/>
        </w:rPr>
        <w:t>；</w:t>
      </w:r>
      <w:r>
        <w:rPr>
          <w:rFonts w:eastAsia="仿宋_GB2312" w:cs="Times New Roman"/>
          <w:snapToGrid w:val="0"/>
          <w:lang w:val="en-US"/>
        </w:rPr>
        <w:t>水生植物现状浪港水生植物种类最多，七浦塘最少</w:t>
      </w:r>
      <w:r>
        <w:rPr>
          <w:rFonts w:hint="eastAsia" w:eastAsia="仿宋_GB2312" w:cs="Times New Roman"/>
          <w:snapToGrid w:val="0"/>
          <w:lang w:val="en-US"/>
        </w:rPr>
        <w:t>。</w:t>
      </w:r>
    </w:p>
    <w:p>
      <w:pPr>
        <w:ind w:firstLine="0" w:firstLineChars="0"/>
      </w:pPr>
    </w:p>
    <w:p>
      <w:pPr>
        <w:pStyle w:val="3"/>
        <w:spacing w:before="217" w:after="217"/>
        <w:rPr>
          <w:rFonts w:cs="Times New Roman"/>
        </w:rPr>
        <w:sectPr>
          <w:footerReference r:id="rId14" w:type="default"/>
          <w:pgSz w:w="11906" w:h="16838"/>
          <w:pgMar w:top="2098" w:right="1474" w:bottom="1985" w:left="1588" w:header="851" w:footer="1701" w:gutter="0"/>
          <w:pgNumType w:start="1"/>
          <w:cols w:space="425" w:num="1"/>
          <w:docGrid w:type="lines" w:linePitch="435" w:charSpace="0"/>
        </w:sectPr>
      </w:pPr>
    </w:p>
    <w:p>
      <w:pPr>
        <w:pStyle w:val="4"/>
        <w:spacing w:before="217" w:after="217"/>
        <w:rPr>
          <w:rFonts w:cs="Times New Roman"/>
        </w:rPr>
      </w:pPr>
      <w:bookmarkStart w:id="9" w:name="_Toc109979264"/>
      <w:bookmarkStart w:id="10" w:name="_Toc109217316"/>
      <w:bookmarkStart w:id="11" w:name="_Toc3701"/>
      <w:r>
        <w:rPr>
          <w:rFonts w:hint="eastAsia" w:cs="Times New Roman"/>
        </w:rPr>
        <w:t>第二节 “十三五”治理成效</w:t>
      </w:r>
      <w:bookmarkEnd w:id="9"/>
      <w:bookmarkEnd w:id="10"/>
      <w:bookmarkEnd w:id="11"/>
    </w:p>
    <w:p>
      <w:pPr>
        <w:pStyle w:val="5"/>
        <w:spacing w:before="217" w:after="217"/>
        <w:rPr>
          <w:rFonts w:cs="Times New Roman"/>
        </w:rPr>
      </w:pPr>
      <w:bookmarkStart w:id="12" w:name="_Toc3226"/>
      <w:r>
        <w:rPr>
          <w:rFonts w:hint="eastAsia" w:cs="Times New Roman"/>
        </w:rPr>
        <w:t>一、流域治理战略布局更加清晰</w:t>
      </w:r>
      <w:bookmarkEnd w:id="12"/>
    </w:p>
    <w:p>
      <w:pPr>
        <w:rPr>
          <w:rFonts w:eastAsia="仿宋_GB2312" w:cs="Times New Roman"/>
        </w:rPr>
      </w:pPr>
      <w:r>
        <w:rPr>
          <w:rFonts w:eastAsia="仿宋_GB2312" w:cs="Times New Roman"/>
        </w:rPr>
        <w:t>“十三五”时期是太仓市补齐生态环境短板、实现环境质量总体改善的攻坚期，大江大河生态环境保护修复思路更加明确，生态环境保护发生了转折性变化，经济社会发展取得历史性成就。《生态文明体制改革总体方案》等一系列重要文件的出台为解决生态环境领域突出问题提供了良好的制度环境；供给侧结构性改革为优化区域产业结构，加快推进绿色发展创造了有利契机；长江经济带“共抓大保护、不搞大开发”等国家重大战略的实施，推动了沿江地市跨区域生态保护、环境综合治理等方面的协调联动。</w:t>
      </w:r>
    </w:p>
    <w:p>
      <w:pPr>
        <w:pStyle w:val="5"/>
        <w:spacing w:before="217" w:after="217"/>
        <w:rPr>
          <w:rFonts w:cs="Times New Roman"/>
        </w:rPr>
      </w:pPr>
      <w:bookmarkStart w:id="13" w:name="_Toc10529"/>
      <w:r>
        <w:rPr>
          <w:rFonts w:hint="eastAsia" w:cs="Times New Roman"/>
        </w:rPr>
        <w:t>二、</w:t>
      </w:r>
      <w:r>
        <w:rPr>
          <w:rFonts w:cs="Times New Roman"/>
        </w:rPr>
        <w:t>水生态文明支撑保障体系落地见效</w:t>
      </w:r>
      <w:bookmarkEnd w:id="13"/>
    </w:p>
    <w:p>
      <w:pPr>
        <w:rPr>
          <w:rFonts w:eastAsia="仿宋_GB2312" w:cs="Times New Roman"/>
        </w:rPr>
      </w:pPr>
      <w:r>
        <w:rPr>
          <w:rFonts w:eastAsia="仿宋_GB2312" w:cs="Times New Roman"/>
        </w:rPr>
        <w:t>太湖水污染防治条例修正版颁布施行，法律政策保障得到加强。太仓市发展改革、工业和信息化、财政、自然资源、生态环境、住房城乡建设、交通运输、海事、水利、农业农村、卫生健康等有关部门各司其职、积极探索，党政同责、一岗双责的工作格局基本形成。组建并完善生态环境保护综合执法队伍，水生态环境保护力量不断壮大。建立实施分析预警、调度通报、独立调查、跟踪督办相结合的水生态环境问题发现和推动解决工作机制。</w:t>
      </w:r>
    </w:p>
    <w:p>
      <w:pPr>
        <w:pStyle w:val="5"/>
        <w:spacing w:before="217" w:after="217"/>
        <w:rPr>
          <w:rFonts w:cs="Times New Roman"/>
        </w:rPr>
      </w:pPr>
      <w:bookmarkStart w:id="14" w:name="_Toc22937"/>
      <w:r>
        <w:rPr>
          <w:rFonts w:hint="eastAsia" w:cs="Times New Roman"/>
        </w:rPr>
        <w:t>三、</w:t>
      </w:r>
      <w:r>
        <w:rPr>
          <w:rFonts w:cs="Times New Roman"/>
        </w:rPr>
        <w:t>碧水保卫战取得显著成效</w:t>
      </w:r>
      <w:bookmarkEnd w:id="14"/>
    </w:p>
    <w:p>
      <w:pPr>
        <w:rPr>
          <w:rFonts w:eastAsia="仿宋_GB2312" w:cs="Times New Roman"/>
          <w:bCs/>
        </w:rPr>
      </w:pPr>
      <w:r>
        <w:rPr>
          <w:rFonts w:eastAsia="仿宋_GB2312" w:cs="Times New Roman"/>
          <w:bCs/>
        </w:rPr>
        <w:t>“十三五”期间，太仓全面落实“水十条”、太湖水污染防治重点任务，围绕水环境质量改善这一核心，以解决突出水环境问题为重点，全力打好碧水保卫战，全市地表水水质总体呈现趋好态势。2016-2017年度，全市共有2个国考断面（浏河、浏河闸断面），优Ⅲ及以上比例100%；2018年，全市共有省级以上考核断面6个（其中国考为：浏河、浏河闸断面；省考为：仪桥、荡茜河桥、振东渡口和新丰桥镇断面），国考断面优Ⅲ及以上比例为100%，省考以上断面优Ⅲ及以上比例为66.7%；2019-2020年度，全市共有省级以上考核断面6个，国考断面优Ⅲ及以上比例为100%，省考以上断面优Ⅲ及以上比例为100%。全市地表水环境质量稳中向好，达标率及优Ⅲ比例位列苏州地区前茅。</w:t>
      </w:r>
    </w:p>
    <w:p>
      <w:pPr>
        <w:pStyle w:val="5"/>
        <w:spacing w:before="217" w:after="217"/>
        <w:rPr>
          <w:rFonts w:cs="Times New Roman"/>
        </w:rPr>
      </w:pPr>
      <w:bookmarkStart w:id="15" w:name="_Toc5430"/>
      <w:r>
        <w:rPr>
          <w:rFonts w:hint="eastAsia" w:cs="Times New Roman"/>
        </w:rPr>
        <w:t>四、</w:t>
      </w:r>
      <w:r>
        <w:rPr>
          <w:rFonts w:cs="Times New Roman"/>
        </w:rPr>
        <w:t>水生态保护引领高质量发展更加有力</w:t>
      </w:r>
      <w:bookmarkEnd w:id="15"/>
    </w:p>
    <w:p>
      <w:pPr>
        <w:rPr>
          <w:rFonts w:eastAsia="仿宋_GB2312" w:cs="Times New Roman"/>
        </w:rPr>
      </w:pPr>
      <w:r>
        <w:rPr>
          <w:rFonts w:eastAsia="仿宋_GB2312" w:cs="Times New Roman"/>
        </w:rPr>
        <w:t>绿水青山就是金山银山的理念深入人心，太仓市“十三五”期间水生态环境保护引导、优化、倒逼和促进作用逐步发挥。不符合国家和地方产业政策、产能低端低效、严重污染水环境的生产项目被依法取缔，水污染防治重点行业清洁化改造全面实施，省级及以上工业园区污水集中处理设施全部建成。水资源开发利用效率进一步提升，2020年，全市万元地区生产总值用水量为49立方米，较2015年的71.22立方米下降了</w:t>
      </w:r>
      <w:r>
        <w:rPr>
          <w:rFonts w:hint="eastAsia" w:eastAsia="仿宋_GB2312" w:cs="Times New Roman"/>
        </w:rPr>
        <w:t>31.2</w:t>
      </w:r>
      <w:r>
        <w:rPr>
          <w:rFonts w:eastAsia="仿宋_GB2312" w:cs="Times New Roman"/>
        </w:rPr>
        <w:t>%；万元工业增加值用水量为64.85立方米，较2015年的89.66立方米下降了27.67%，下降率为苏州市最高；节水效果初步显现，农田灌溉水有效利用系数从2015年的0.655提高至2020年的0.68；2020年，城镇污水厂尾水资源化利用率达26.2%。</w:t>
      </w:r>
    </w:p>
    <w:p>
      <w:pPr>
        <w:pStyle w:val="4"/>
        <w:spacing w:before="217" w:after="217"/>
        <w:rPr>
          <w:rFonts w:cs="Times New Roman"/>
        </w:rPr>
      </w:pPr>
      <w:bookmarkStart w:id="16" w:name="_Toc7615"/>
      <w:r>
        <w:rPr>
          <w:rFonts w:hint="eastAsia" w:cs="Times New Roman"/>
        </w:rPr>
        <w:t>第三节 存在</w:t>
      </w:r>
      <w:r>
        <w:rPr>
          <w:rFonts w:cs="Times New Roman"/>
        </w:rPr>
        <w:t>主要问题</w:t>
      </w:r>
      <w:bookmarkEnd w:id="16"/>
    </w:p>
    <w:p>
      <w:pPr>
        <w:pStyle w:val="5"/>
        <w:spacing w:before="217" w:after="217"/>
        <w:rPr>
          <w:rFonts w:cs="Times New Roman"/>
        </w:rPr>
      </w:pPr>
      <w:bookmarkStart w:id="17" w:name="_Toc10937"/>
      <w:r>
        <w:rPr>
          <w:rFonts w:hint="eastAsia" w:cs="Times New Roman"/>
        </w:rPr>
        <w:t>一、区域</w:t>
      </w:r>
      <w:r>
        <w:rPr>
          <w:rFonts w:cs="Times New Roman"/>
        </w:rPr>
        <w:t>水环境质量仍需继续提升</w:t>
      </w:r>
      <w:bookmarkEnd w:id="17"/>
    </w:p>
    <w:p>
      <w:pPr>
        <w:widowControl/>
        <w:jc w:val="left"/>
        <w:rPr>
          <w:rFonts w:eastAsia="仿宋_GB2312" w:cs="Times New Roman"/>
          <w:bCs/>
        </w:rPr>
      </w:pPr>
      <w:r>
        <w:rPr>
          <w:rFonts w:eastAsia="仿宋_GB2312" w:cs="Times New Roman"/>
          <w:bCs/>
        </w:rPr>
        <w:t>“十三五”期间，</w:t>
      </w:r>
      <w:r>
        <w:rPr>
          <w:rFonts w:cs="Times New Roman"/>
          <w:bCs/>
        </w:rPr>
        <w:t>太仓市国、省</w:t>
      </w:r>
      <w:r>
        <w:rPr>
          <w:rFonts w:hint="eastAsia" w:cs="Times New Roman"/>
          <w:bCs/>
        </w:rPr>
        <w:t>、市</w:t>
      </w:r>
      <w:r>
        <w:rPr>
          <w:rFonts w:eastAsia="仿宋_GB2312" w:cs="Times New Roman"/>
          <w:bCs/>
        </w:rPr>
        <w:t>考核断面的年均值虽然能够达到考核要求，但是</w:t>
      </w:r>
      <w:r>
        <w:rPr>
          <w:rFonts w:hint="eastAsia" w:eastAsia="仿宋_GB2312" w:cs="Times New Roman"/>
          <w:bCs/>
        </w:rPr>
        <w:t>仍存在以下问题：一是</w:t>
      </w:r>
      <w:r>
        <w:rPr>
          <w:rFonts w:eastAsia="仿宋_GB2312" w:cs="Times New Roman"/>
          <w:bCs/>
        </w:rPr>
        <w:t>国、省</w:t>
      </w:r>
      <w:r>
        <w:rPr>
          <w:rFonts w:hint="eastAsia" w:eastAsia="仿宋_GB2312" w:cs="Times New Roman"/>
          <w:bCs/>
        </w:rPr>
        <w:t>、市</w:t>
      </w:r>
      <w:r>
        <w:rPr>
          <w:rFonts w:eastAsia="仿宋_GB2312" w:cs="Times New Roman"/>
          <w:bCs/>
        </w:rPr>
        <w:t>考逐月监测数据存在一定波动，不能稳定达标</w:t>
      </w:r>
      <w:r>
        <w:rPr>
          <w:rFonts w:hint="eastAsia" w:eastAsia="仿宋_GB2312" w:cs="Times New Roman"/>
          <w:bCs/>
        </w:rPr>
        <w:t>，</w:t>
      </w:r>
      <w:r>
        <w:rPr>
          <w:rFonts w:eastAsia="仿宋_GB2312" w:cs="Times New Roman"/>
          <w:bCs/>
        </w:rPr>
        <w:t>主要超标指标为氨氮和总磷</w:t>
      </w:r>
      <w:r>
        <w:rPr>
          <w:rFonts w:hint="eastAsia" w:eastAsia="仿宋_GB2312" w:cs="Times New Roman"/>
          <w:bCs/>
        </w:rPr>
        <w:t>；二是劣Ⅴ类河道尚未完全消除，虽然目前全市已</w:t>
      </w:r>
      <w:r>
        <w:rPr>
          <w:rFonts w:eastAsia="仿宋_GB2312" w:cs="Times New Roman"/>
          <w:bCs/>
        </w:rPr>
        <w:t>基本实现消除城镇黑臭水体目标，</w:t>
      </w:r>
      <w:r>
        <w:rPr>
          <w:rFonts w:hint="eastAsia" w:eastAsia="仿宋_GB2312" w:cs="Times New Roman"/>
          <w:bCs/>
        </w:rPr>
        <w:t>但</w:t>
      </w:r>
      <w:r>
        <w:rPr>
          <w:rFonts w:eastAsia="仿宋_GB2312" w:cs="Times New Roman"/>
          <w:bCs/>
        </w:rPr>
        <w:t>通过</w:t>
      </w:r>
      <w:r>
        <w:rPr>
          <w:rFonts w:hint="eastAsia" w:eastAsia="仿宋_GB2312" w:cs="Times New Roman"/>
          <w:bCs/>
        </w:rPr>
        <w:t>对全市河道的全面摸排，现有劣</w:t>
      </w:r>
      <w:r>
        <w:rPr>
          <w:rFonts w:eastAsia="仿宋_GB2312" w:cs="Times New Roman"/>
          <w:bCs/>
        </w:rPr>
        <w:t>V</w:t>
      </w:r>
      <w:r>
        <w:rPr>
          <w:rFonts w:hint="eastAsia" w:eastAsia="仿宋_GB2312" w:cs="Times New Roman"/>
          <w:bCs/>
        </w:rPr>
        <w:t>类河道</w:t>
      </w:r>
      <w:r>
        <w:rPr>
          <w:rFonts w:eastAsia="仿宋_GB2312" w:cs="Times New Roman"/>
          <w:bCs/>
        </w:rPr>
        <w:t>121</w:t>
      </w:r>
      <w:r>
        <w:rPr>
          <w:rFonts w:hint="eastAsia" w:eastAsia="仿宋_GB2312" w:cs="Times New Roman"/>
          <w:bCs/>
        </w:rPr>
        <w:t>条，“消劣争优”治理任务尚未完成。</w:t>
      </w:r>
    </w:p>
    <w:p>
      <w:pPr>
        <w:pStyle w:val="5"/>
        <w:spacing w:before="217" w:after="217"/>
        <w:rPr>
          <w:rFonts w:cs="Times New Roman"/>
        </w:rPr>
      </w:pPr>
      <w:bookmarkStart w:id="18" w:name="_Toc17916"/>
      <w:r>
        <w:rPr>
          <w:rFonts w:hint="eastAsia" w:cs="Times New Roman"/>
        </w:rPr>
        <w:t>二、环境基础设施存在短板</w:t>
      </w:r>
      <w:bookmarkEnd w:id="18"/>
    </w:p>
    <w:p>
      <w:pPr>
        <w:widowControl/>
        <w:jc w:val="left"/>
        <w:rPr>
          <w:rFonts w:eastAsia="仿宋_GB2312" w:cs="Times New Roman"/>
          <w:bCs/>
        </w:rPr>
      </w:pPr>
      <w:r>
        <w:rPr>
          <w:rFonts w:eastAsia="仿宋_GB2312" w:cs="Times New Roman"/>
          <w:bCs/>
        </w:rPr>
        <w:t>随着</w:t>
      </w:r>
      <w:r>
        <w:rPr>
          <w:rFonts w:hint="eastAsia" w:eastAsia="仿宋_GB2312" w:cs="Times New Roman"/>
          <w:bCs/>
        </w:rPr>
        <w:t>城镇</w:t>
      </w:r>
      <w:r>
        <w:rPr>
          <w:rFonts w:eastAsia="仿宋_GB2312" w:cs="Times New Roman"/>
          <w:bCs/>
        </w:rPr>
        <w:t>生活污水治理三年行动计划稳步推进，太仓市生活污水治理状况有所改善，</w:t>
      </w:r>
      <w:r>
        <w:rPr>
          <w:rFonts w:hint="eastAsia" w:eastAsia="仿宋_GB2312" w:cs="Times New Roman"/>
          <w:bCs/>
        </w:rPr>
        <w:t>但在环境基础设施能力建设方面仍存在问题。一是各区域污水处理厂污水处理负荷不均衡，总体来看目前污水处理厂规模能够满足全市污水处理需求，但是各区域污水厂负荷分布不均，其中璜泾污水处理厂负荷率较高，已达91.4%；二是污水管网收集系统不健全，从目前污水管网覆盖空白区排查结果来看，城厢镇、沙溪镇分别有0.14</w:t>
      </w:r>
      <w:r>
        <w:rPr>
          <w:rFonts w:hint="eastAsia" w:eastAsia="黑体" w:cs="Times New Roman"/>
        </w:rPr>
        <w:t>km</w:t>
      </w:r>
      <w:r>
        <w:rPr>
          <w:rFonts w:hint="eastAsia" w:eastAsia="黑体" w:cs="Times New Roman"/>
          <w:vertAlign w:val="superscript"/>
        </w:rPr>
        <w:t>2</w:t>
      </w:r>
      <w:r>
        <w:rPr>
          <w:rFonts w:hint="eastAsia" w:eastAsia="黑体" w:cs="Times New Roman"/>
        </w:rPr>
        <w:t>、3.6km</w:t>
      </w:r>
      <w:r>
        <w:rPr>
          <w:rFonts w:hint="eastAsia" w:eastAsia="黑体" w:cs="Times New Roman"/>
          <w:vertAlign w:val="superscript"/>
        </w:rPr>
        <w:t>2</w:t>
      </w:r>
      <w:r>
        <w:rPr>
          <w:rFonts w:hint="eastAsia" w:eastAsia="仿宋_GB2312" w:cs="Times New Roman"/>
          <w:bCs/>
        </w:rPr>
        <w:t>的区域面积存在管网老旧缺失、污水未接管和未铺设管网等问题。此外，2020年全市9家城镇污水处理厂中，有2家城市污水处理厂CODcr和BOD平均进水浓度偏低（CODcr＜260mg/L，BOD＜100mg/L），分别为江城、南郊污水处理厂，说明雨水进入污水管网混排。</w:t>
      </w:r>
    </w:p>
    <w:p>
      <w:pPr>
        <w:pStyle w:val="5"/>
        <w:spacing w:before="217" w:after="217"/>
        <w:rPr>
          <w:rFonts w:cs="Times New Roman"/>
        </w:rPr>
      </w:pPr>
      <w:bookmarkStart w:id="19" w:name="_Toc19407"/>
      <w:r>
        <w:rPr>
          <w:rFonts w:hint="eastAsia" w:cs="Times New Roman"/>
        </w:rPr>
        <w:t>三、工业水污染集中治理能力不足</w:t>
      </w:r>
      <w:bookmarkEnd w:id="19"/>
    </w:p>
    <w:p>
      <w:pPr>
        <w:widowControl/>
        <w:jc w:val="left"/>
        <w:rPr>
          <w:rFonts w:eastAsia="仿宋_GB2312" w:cs="Times New Roman"/>
          <w:bCs/>
        </w:rPr>
      </w:pPr>
      <w:r>
        <w:rPr>
          <w:rFonts w:eastAsia="仿宋_GB2312" w:cs="Times New Roman"/>
          <w:bCs/>
        </w:rPr>
        <w:t>太仓市目前共有177家排放工业废水的工业企业，其中69家接管工业污水</w:t>
      </w:r>
      <w:r>
        <w:rPr>
          <w:rFonts w:hint="eastAsia" w:eastAsia="仿宋_GB2312" w:cs="Times New Roman"/>
          <w:bCs/>
        </w:rPr>
        <w:t>处理</w:t>
      </w:r>
      <w:r>
        <w:rPr>
          <w:rFonts w:eastAsia="仿宋_GB2312" w:cs="Times New Roman"/>
          <w:bCs/>
        </w:rPr>
        <w:t>厂，67家接管城镇污水</w:t>
      </w:r>
      <w:r>
        <w:rPr>
          <w:rFonts w:hint="eastAsia" w:eastAsia="仿宋_GB2312" w:cs="Times New Roman"/>
          <w:bCs/>
        </w:rPr>
        <w:t>处理</w:t>
      </w:r>
      <w:r>
        <w:rPr>
          <w:rFonts w:eastAsia="仿宋_GB2312" w:cs="Times New Roman"/>
          <w:bCs/>
        </w:rPr>
        <w:t>厂，37家外排入河。目前仅港区内建有1座工业污水处理厂（港城组团污水</w:t>
      </w:r>
      <w:r>
        <w:rPr>
          <w:rFonts w:hint="eastAsia" w:eastAsia="仿宋_GB2312" w:cs="Times New Roman"/>
          <w:bCs/>
        </w:rPr>
        <w:t>处理</w:t>
      </w:r>
      <w:r>
        <w:rPr>
          <w:rFonts w:eastAsia="仿宋_GB2312" w:cs="Times New Roman"/>
          <w:bCs/>
        </w:rPr>
        <w:t>厂</w:t>
      </w:r>
      <w:r>
        <w:rPr>
          <w:rFonts w:hint="eastAsia" w:eastAsia="仿宋_GB2312" w:cs="Times New Roman"/>
          <w:bCs/>
        </w:rPr>
        <w:t>，2020年稳定达标排放</w:t>
      </w:r>
      <w:r>
        <w:rPr>
          <w:rFonts w:eastAsia="仿宋_GB2312" w:cs="Times New Roman"/>
          <w:bCs/>
        </w:rPr>
        <w:t>），且接管企业均为港区化工园内的工业企业，其余区镇均缺乏配套的工业污水处理厂，需</w:t>
      </w:r>
      <w:r>
        <w:rPr>
          <w:rFonts w:eastAsia="仿宋_GB2312" w:cs="Times New Roman"/>
          <w:szCs w:val="20"/>
        </w:rPr>
        <w:t>依托城镇污水</w:t>
      </w:r>
      <w:r>
        <w:rPr>
          <w:rFonts w:hint="eastAsia" w:eastAsia="仿宋_GB2312" w:cs="Times New Roman"/>
          <w:bCs/>
        </w:rPr>
        <w:t>处理</w:t>
      </w:r>
      <w:r>
        <w:rPr>
          <w:rFonts w:eastAsia="仿宋_GB2312" w:cs="Times New Roman"/>
          <w:szCs w:val="20"/>
        </w:rPr>
        <w:t>厂处理</w:t>
      </w:r>
      <w:r>
        <w:rPr>
          <w:rFonts w:hint="eastAsia" w:eastAsia="仿宋_GB2312" w:cs="Times New Roman"/>
          <w:szCs w:val="20"/>
        </w:rPr>
        <w:t>或外排入河，增加了城镇污水</w:t>
      </w:r>
      <w:r>
        <w:rPr>
          <w:rFonts w:hint="eastAsia" w:eastAsia="仿宋_GB2312" w:cs="Times New Roman"/>
          <w:bCs/>
        </w:rPr>
        <w:t>处理</w:t>
      </w:r>
      <w:r>
        <w:rPr>
          <w:rFonts w:hint="eastAsia" w:eastAsia="仿宋_GB2312" w:cs="Times New Roman"/>
          <w:szCs w:val="20"/>
        </w:rPr>
        <w:t>厂的处理负荷和对外环境的直接影响</w:t>
      </w:r>
      <w:r>
        <w:rPr>
          <w:rFonts w:eastAsia="仿宋_GB2312" w:cs="Times New Roman"/>
          <w:bCs/>
        </w:rPr>
        <w:t>。</w:t>
      </w:r>
    </w:p>
    <w:p>
      <w:pPr>
        <w:pStyle w:val="5"/>
        <w:spacing w:before="217" w:after="217"/>
        <w:rPr>
          <w:rFonts w:cs="Times New Roman"/>
        </w:rPr>
      </w:pPr>
      <w:bookmarkStart w:id="20" w:name="_Toc6390"/>
      <w:r>
        <w:rPr>
          <w:rFonts w:hint="eastAsia" w:cs="Times New Roman"/>
        </w:rPr>
        <w:t>四、</w:t>
      </w:r>
      <w:r>
        <w:rPr>
          <w:rFonts w:cs="Times New Roman"/>
        </w:rPr>
        <w:t>农业面源污染问题仍然存在</w:t>
      </w:r>
      <w:bookmarkEnd w:id="20"/>
    </w:p>
    <w:p>
      <w:pPr>
        <w:widowControl/>
        <w:jc w:val="left"/>
        <w:rPr>
          <w:rFonts w:eastAsia="仿宋_GB2312" w:cs="Times New Roman"/>
          <w:bCs/>
        </w:rPr>
      </w:pPr>
      <w:r>
        <w:rPr>
          <w:rFonts w:hint="eastAsia" w:eastAsia="仿宋_GB2312" w:cs="Times New Roman"/>
          <w:bCs/>
        </w:rPr>
        <w:t>太仓市农业面源污染方面主要存在以下问题：一是种植业污染问题。</w:t>
      </w:r>
      <w:r>
        <w:rPr>
          <w:rFonts w:hint="eastAsia" w:eastAsia="仿宋_GB2312"/>
          <w:bCs/>
        </w:rPr>
        <w:t>专题研究表明</w:t>
      </w:r>
      <w:r>
        <w:rPr>
          <w:rFonts w:hint="eastAsia" w:eastAsia="仿宋_GB2312" w:cs="Times New Roman"/>
          <w:bCs/>
        </w:rPr>
        <w:t>，丰水年和平水年</w:t>
      </w:r>
      <w:r>
        <w:rPr>
          <w:rFonts w:eastAsia="仿宋_GB2312" w:cs="Times New Roman"/>
          <w:bCs/>
        </w:rPr>
        <w:t>太仓</w:t>
      </w:r>
      <w:r>
        <w:rPr>
          <w:rFonts w:hint="eastAsia" w:eastAsia="仿宋_GB2312" w:cs="Times New Roman"/>
          <w:bCs/>
        </w:rPr>
        <w:t>市入河</w:t>
      </w:r>
      <w:r>
        <w:rPr>
          <w:rFonts w:eastAsia="仿宋_GB2312" w:cs="Times New Roman"/>
          <w:bCs/>
        </w:rPr>
        <w:t>总磷负荷主要来源于</w:t>
      </w:r>
      <w:r>
        <w:rPr>
          <w:rFonts w:hint="eastAsia" w:eastAsia="仿宋_GB2312" w:cs="Times New Roman"/>
          <w:bCs/>
        </w:rPr>
        <w:t>水田产污，占比21</w:t>
      </w:r>
      <w:r>
        <w:rPr>
          <w:rFonts w:eastAsia="仿宋_GB2312" w:cs="Times New Roman"/>
          <w:bCs/>
        </w:rPr>
        <w:t>%</w:t>
      </w:r>
      <w:r>
        <w:rPr>
          <w:rFonts w:hint="eastAsia" w:eastAsia="仿宋_GB2312" w:cs="Times New Roman"/>
          <w:bCs/>
        </w:rPr>
        <w:t>，太仓港区（浮桥镇）、沙溪镇的总磷负荷最高。</w:t>
      </w:r>
      <w:r>
        <w:rPr>
          <w:rFonts w:eastAsia="仿宋_GB2312" w:cs="Times New Roman"/>
          <w:bCs/>
        </w:rPr>
        <w:t>由此可见</w:t>
      </w:r>
      <w:r>
        <w:rPr>
          <w:rFonts w:hint="eastAsia" w:eastAsia="仿宋_GB2312" w:cs="Times New Roman"/>
          <w:bCs/>
        </w:rPr>
        <w:t>种植业</w:t>
      </w:r>
      <w:r>
        <w:rPr>
          <w:rFonts w:eastAsia="仿宋_GB2312" w:cs="Times New Roman"/>
          <w:bCs/>
        </w:rPr>
        <w:t>污染问题在太仓市仍比较突出</w:t>
      </w:r>
      <w:r>
        <w:rPr>
          <w:rFonts w:hint="eastAsia" w:eastAsia="仿宋_GB2312" w:cs="Times New Roman"/>
          <w:bCs/>
        </w:rPr>
        <w:t>。二是水产养殖问题。总结太仓市多年来水产养殖污染减排措施的执行效果，尚存在尾水净化区配置不全面、尾水净化法缺乏针对性、尾水净化力发挥不充分、尾水外排时监管难到位等问题。此外，池塘内水质往往优于水源水质，但冬季清塘时水质不良也会影响到外源水质，且尚有散户养殖区域未流转水面设立净化区。</w:t>
      </w:r>
    </w:p>
    <w:p>
      <w:pPr>
        <w:pStyle w:val="5"/>
        <w:spacing w:before="217" w:after="217"/>
        <w:rPr>
          <w:rFonts w:cs="Times New Roman"/>
        </w:rPr>
      </w:pPr>
      <w:bookmarkStart w:id="21" w:name="_Toc9551"/>
      <w:r>
        <w:rPr>
          <w:rFonts w:hint="eastAsia" w:cs="Times New Roman"/>
        </w:rPr>
        <w:t>五、</w:t>
      </w:r>
      <w:r>
        <w:rPr>
          <w:rFonts w:cs="Times New Roman"/>
        </w:rPr>
        <w:t>河湖水生态系统亟待整体修复</w:t>
      </w:r>
      <w:bookmarkEnd w:id="21"/>
    </w:p>
    <w:p>
      <w:pPr>
        <w:rPr>
          <w:rFonts w:eastAsia="仿宋_GB2312" w:cs="Times New Roman"/>
        </w:rPr>
      </w:pPr>
      <w:r>
        <w:rPr>
          <w:rFonts w:eastAsia="仿宋_GB2312" w:cs="Times New Roman"/>
          <w:bCs/>
        </w:rPr>
        <w:t>“十三五”期间，太仓市水生态环境治理取得了一定的成效，但水生态系统修复尚处在初级阶段，河湖良性的保护与利用体系还未形成，生态监测尚属空白，生态清淤后续淤泥资源化利用、河湖生态水位、水生态修复等关键技术和机理研究程度不够，生态功能修复推进进度较缓，水生态良性循环任重道远。</w:t>
      </w:r>
    </w:p>
    <w:p>
      <w:pPr>
        <w:adjustRightInd w:val="0"/>
        <w:snapToGrid w:val="0"/>
        <w:rPr>
          <w:rFonts w:eastAsia="仿宋_GB2312" w:cs="Times New Roman"/>
        </w:rPr>
        <w:sectPr>
          <w:pgSz w:w="11906" w:h="16838"/>
          <w:pgMar w:top="2098" w:right="1474" w:bottom="1985" w:left="1588" w:header="851" w:footer="1701" w:gutter="0"/>
          <w:cols w:space="425" w:num="1"/>
          <w:docGrid w:type="lines" w:linePitch="435" w:charSpace="0"/>
        </w:sectPr>
      </w:pPr>
    </w:p>
    <w:p>
      <w:pPr>
        <w:pStyle w:val="3"/>
        <w:spacing w:before="156" w:after="156"/>
        <w:jc w:val="center"/>
        <w:rPr>
          <w:rFonts w:cs="Times New Roman"/>
        </w:rPr>
      </w:pPr>
      <w:bookmarkStart w:id="22" w:name="_Toc470176215"/>
      <w:bookmarkStart w:id="23" w:name="_Toc13765"/>
      <w:r>
        <w:rPr>
          <w:rFonts w:hint="eastAsia" w:cs="Times New Roman"/>
        </w:rPr>
        <w:t xml:space="preserve">第二章 </w:t>
      </w:r>
      <w:r>
        <w:rPr>
          <w:rFonts w:cs="Times New Roman"/>
        </w:rPr>
        <w:t>总体要求</w:t>
      </w:r>
      <w:bookmarkEnd w:id="22"/>
      <w:bookmarkEnd w:id="23"/>
    </w:p>
    <w:p>
      <w:pPr>
        <w:pStyle w:val="4"/>
        <w:spacing w:before="156" w:after="156"/>
        <w:rPr>
          <w:rFonts w:cs="Times New Roman"/>
        </w:rPr>
      </w:pPr>
      <w:bookmarkStart w:id="24" w:name="_Toc470176216"/>
      <w:bookmarkStart w:id="25" w:name="_Toc28945"/>
      <w:r>
        <w:rPr>
          <w:rFonts w:hint="eastAsia" w:cs="Times New Roman"/>
        </w:rPr>
        <w:t xml:space="preserve">第一节 </w:t>
      </w:r>
      <w:r>
        <w:rPr>
          <w:rFonts w:cs="Times New Roman"/>
        </w:rPr>
        <w:t>指导思想</w:t>
      </w:r>
      <w:bookmarkEnd w:id="24"/>
      <w:bookmarkEnd w:id="25"/>
    </w:p>
    <w:p>
      <w:pPr>
        <w:pStyle w:val="46"/>
        <w:spacing w:line="580" w:lineRule="exact"/>
        <w:ind w:firstLine="640"/>
        <w:rPr>
          <w:rFonts w:eastAsia="仿宋_GB2312" w:cs="Times New Roman"/>
          <w:bCs/>
          <w:szCs w:val="32"/>
        </w:rPr>
      </w:pPr>
      <w:r>
        <w:rPr>
          <w:rFonts w:eastAsia="仿宋_GB2312" w:cs="Times New Roman"/>
          <w:bCs/>
          <w:szCs w:val="32"/>
        </w:rPr>
        <w:t>以习近平新时代中国特色社会主义思想为指导，全面贯彻党的十九大和十九届历次全会精神，把习近平总书记对江苏、苏州工作的一系列重要讲话指示精神作为工作指南，深入践行“争当表率、争做示范、走在前列”新使命新要求，立足新发展阶段，完整、准确、全面贯彻新发展理念，构建新发展格局。紧扣长江经济带发展和长三角一体化发展战略目标，全面落实国家、江苏省治太部署和美丽苏州建设要求，以“控源截污、生态扩容、科学调配、精准防控”为主线，统筹水生态、水环境、水资源、水安全等要素，强化源头治理、系统治理、协同治理，确保饮用水安全，确保不发生大面积水质黑臭，将太湖建设成为长三角区域一体化发展的生态支撑、江南水乡山水城湖和谐发展的典型示范、全国富营养化湖泊治理的标志标杆，为建设展现“强富美高”新图景的社会主义现代化强市奠定坚实基础，谱写美丽太湖新篇章。</w:t>
      </w:r>
    </w:p>
    <w:p>
      <w:pPr>
        <w:pStyle w:val="4"/>
        <w:spacing w:before="156" w:after="156"/>
        <w:rPr>
          <w:rFonts w:cs="Times New Roman"/>
        </w:rPr>
      </w:pPr>
      <w:bookmarkStart w:id="26" w:name="_Toc470176217"/>
      <w:bookmarkStart w:id="27" w:name="_Toc4506"/>
      <w:r>
        <w:rPr>
          <w:rFonts w:hint="eastAsia" w:cs="Times New Roman"/>
        </w:rPr>
        <w:t xml:space="preserve">第二节 </w:t>
      </w:r>
      <w:r>
        <w:rPr>
          <w:rFonts w:cs="Times New Roman"/>
        </w:rPr>
        <w:t>基本原则</w:t>
      </w:r>
      <w:bookmarkEnd w:id="26"/>
      <w:bookmarkEnd w:id="27"/>
    </w:p>
    <w:p>
      <w:pPr>
        <w:pStyle w:val="46"/>
        <w:spacing w:line="580" w:lineRule="exact"/>
        <w:ind w:firstLine="643"/>
        <w:rPr>
          <w:rFonts w:eastAsia="仿宋_GB2312" w:cs="Times New Roman"/>
          <w:szCs w:val="32"/>
        </w:rPr>
      </w:pPr>
      <w:r>
        <w:rPr>
          <w:rFonts w:eastAsia="仿宋_GB2312" w:cs="Times New Roman"/>
          <w:b/>
          <w:szCs w:val="32"/>
        </w:rPr>
        <w:t>——生态优先，绿色发展。</w:t>
      </w:r>
      <w:r>
        <w:rPr>
          <w:rFonts w:eastAsia="仿宋_GB2312" w:cs="Times New Roman"/>
          <w:szCs w:val="32"/>
        </w:rPr>
        <w:t>牢固树立“绿水青山就是金山银山”理念，围绕长三角一体化、长江经济带、“一带一路”等重大战略决策部署，注重保护与发展的协同性、联动性、整体性，以水定城、以水定地、以水定人、以水定产，促进经济社会发展与水资源水环境承载能力相协调，以高水平保护引导推动高质量发展，不断提升经济社会发展的“绿色含量”。</w:t>
      </w:r>
    </w:p>
    <w:p>
      <w:pPr>
        <w:pStyle w:val="46"/>
        <w:spacing w:line="580" w:lineRule="exact"/>
        <w:ind w:firstLine="643"/>
        <w:rPr>
          <w:rFonts w:eastAsia="仿宋_GB2312" w:cs="Times New Roman"/>
          <w:szCs w:val="32"/>
        </w:rPr>
      </w:pPr>
      <w:r>
        <w:rPr>
          <w:rFonts w:eastAsia="仿宋_GB2312" w:cs="Times New Roman"/>
          <w:b/>
          <w:szCs w:val="32"/>
        </w:rPr>
        <w:t>——以人为本、可观可感。</w:t>
      </w:r>
      <w:r>
        <w:rPr>
          <w:rFonts w:eastAsia="仿宋_GB2312" w:cs="Times New Roman"/>
          <w:szCs w:val="32"/>
        </w:rPr>
        <w:t>坚持以人民为中心，积极回应群众关切，顺应群众对美丽河湖的向往，统筹城乡环境治理和改善农村人居环境，着力解决人民群众关心的水生态环境问题，不断提供更多优质的水生态产品，能够持续满足人民群众景观、休闲、垂钓、游泳等亲水需求，不断增强人民群众获得感、幸福感、安全感。</w:t>
      </w:r>
    </w:p>
    <w:p>
      <w:pPr>
        <w:pStyle w:val="46"/>
        <w:spacing w:line="580" w:lineRule="exact"/>
        <w:ind w:firstLine="643"/>
        <w:rPr>
          <w:rFonts w:eastAsia="仿宋_GB2312" w:cs="Times New Roman"/>
          <w:szCs w:val="32"/>
        </w:rPr>
      </w:pPr>
      <w:r>
        <w:rPr>
          <w:rFonts w:eastAsia="仿宋_GB2312" w:cs="Times New Roman"/>
          <w:b/>
          <w:szCs w:val="32"/>
        </w:rPr>
        <w:t>——系统谋划，彰显特色。</w:t>
      </w:r>
      <w:r>
        <w:rPr>
          <w:rFonts w:eastAsia="仿宋_GB2312" w:cs="Times New Roman"/>
          <w:szCs w:val="32"/>
        </w:rPr>
        <w:t>坚持“山水林田湖草生命共同体”理念，从生态系统整体性和流域系统性出发，以水生态环境质量目标为导向，强化山水林田湖草等各种生态要素的协同治理，以河湖为统领，</w:t>
      </w:r>
      <w:r>
        <w:rPr>
          <w:rFonts w:eastAsia="仿宋_GB2312" w:cs="Times New Roman"/>
        </w:rPr>
        <w:t>统筹水生态、水环境、水资源、水安全等要素</w:t>
      </w:r>
      <w:r>
        <w:rPr>
          <w:rFonts w:eastAsia="仿宋_GB2312" w:cs="Times New Roman"/>
          <w:szCs w:val="32"/>
        </w:rPr>
        <w:t>，增强各项举措的关联性和耦合性。彰显苏州特色，切实维护自然山水和人居风貌，打造诗意栖居、梦里水乡的美丽城市。</w:t>
      </w:r>
    </w:p>
    <w:p>
      <w:pPr>
        <w:pStyle w:val="46"/>
        <w:spacing w:line="580" w:lineRule="exact"/>
        <w:ind w:firstLine="643"/>
        <w:rPr>
          <w:rFonts w:eastAsia="仿宋_GB2312" w:cs="Times New Roman"/>
          <w:szCs w:val="32"/>
        </w:rPr>
      </w:pPr>
      <w:r>
        <w:rPr>
          <w:rFonts w:eastAsia="仿宋_GB2312" w:cs="Times New Roman"/>
          <w:b/>
          <w:szCs w:val="32"/>
        </w:rPr>
        <w:t>——整体推进、重点突破。</w:t>
      </w:r>
      <w:r>
        <w:rPr>
          <w:rFonts w:eastAsia="仿宋_GB2312" w:cs="Times New Roman"/>
          <w:szCs w:val="32"/>
        </w:rPr>
        <w:t>坚持精准、科学、依法治污，着力补短板、强弱项，准确识别问题症结，因地制宜，科学施策。提升生态环境治理现代化水平，加快治理制度、政策和科技创新，力争在若干难点问题和关键环节率先实现突破，带动水环境治理、水生态保护、水资源节约、水安全保障各项工作整体推进。</w:t>
      </w:r>
    </w:p>
    <w:p>
      <w:pPr>
        <w:ind w:firstLine="643"/>
        <w:rPr>
          <w:rFonts w:eastAsia="仿宋_GB2312" w:cs="Times New Roman"/>
        </w:rPr>
      </w:pPr>
      <w:r>
        <w:rPr>
          <w:rFonts w:eastAsia="仿宋_GB2312" w:cs="Times New Roman"/>
          <w:b/>
        </w:rPr>
        <w:t>——多元共治，落实责任。</w:t>
      </w:r>
      <w:r>
        <w:rPr>
          <w:rFonts w:eastAsia="仿宋_GB2312" w:cs="Times New Roman"/>
        </w:rPr>
        <w:t>坚持党委领导、政府主导、企业主体、公众参与的多元共治格局，建立健全政府、社会和公众协同推进机制，增强价值认同，凝聚整体合力。深入实施污染防治攻坚战，强化“党政同责”“一岗双责”，落实地方人民政府规划实施和水生态环境保护主体责任，对问题、目标、措施等实施清单管理，确保水生态环境质量“只能更好、不能变坏”。</w:t>
      </w:r>
    </w:p>
    <w:p>
      <w:pPr>
        <w:pStyle w:val="4"/>
        <w:spacing w:before="156" w:after="156"/>
        <w:rPr>
          <w:rFonts w:cs="Times New Roman"/>
        </w:rPr>
      </w:pPr>
      <w:bookmarkStart w:id="28" w:name="_Toc12131"/>
      <w:bookmarkStart w:id="29" w:name="_Toc109217321"/>
      <w:bookmarkStart w:id="30" w:name="_Toc109979278"/>
      <w:r>
        <w:rPr>
          <w:rFonts w:cs="Times New Roman"/>
        </w:rPr>
        <w:t>第三节 治理分区</w:t>
      </w:r>
      <w:bookmarkEnd w:id="28"/>
      <w:bookmarkEnd w:id="29"/>
      <w:bookmarkEnd w:id="30"/>
    </w:p>
    <w:p>
      <w:pPr>
        <w:pStyle w:val="2"/>
        <w:jc w:val="left"/>
        <w:rPr>
          <w:rFonts w:eastAsia="仿宋_GB2312" w:cs="Times New Roman"/>
          <w:bCs/>
        </w:rPr>
      </w:pPr>
      <w:r>
        <w:rPr>
          <w:rFonts w:eastAsia="仿宋_GB2312" w:cs="Times New Roman"/>
          <w:bCs/>
        </w:rPr>
        <w:t>根据国家《太湖流域水环境综合治理总体方案》，将太湖流域划分为太湖湖体保护区域、江苏上游地区、浙江上游地区和太湖下游地区四类分，实施分区治理，提升治理精准化水平。我市全域属于太湖下游地区，坚持节水优先，提高区域水资源利用效率，全力提升河网湖荡水质，恢复水生态功能。</w:t>
      </w:r>
    </w:p>
    <w:p>
      <w:pPr>
        <w:pStyle w:val="4"/>
        <w:spacing w:before="156" w:after="156"/>
        <w:rPr>
          <w:rFonts w:cs="Times New Roman"/>
        </w:rPr>
      </w:pPr>
      <w:bookmarkStart w:id="31" w:name="_Toc470176218"/>
      <w:bookmarkStart w:id="32" w:name="_Toc13254"/>
      <w:r>
        <w:rPr>
          <w:rFonts w:hint="eastAsia" w:cs="Times New Roman"/>
        </w:rPr>
        <w:t xml:space="preserve">第四节 </w:t>
      </w:r>
      <w:r>
        <w:rPr>
          <w:rFonts w:cs="Times New Roman"/>
        </w:rPr>
        <w:t>治理目标</w:t>
      </w:r>
      <w:bookmarkEnd w:id="31"/>
      <w:bookmarkEnd w:id="32"/>
    </w:p>
    <w:p>
      <w:pPr>
        <w:pStyle w:val="5"/>
        <w:spacing w:before="156" w:after="156"/>
        <w:rPr>
          <w:rFonts w:cs="Times New Roman"/>
        </w:rPr>
      </w:pPr>
      <w:bookmarkStart w:id="33" w:name="_Toc14742"/>
      <w:r>
        <w:rPr>
          <w:rFonts w:hint="eastAsia" w:cs="Times New Roman"/>
        </w:rPr>
        <w:t>一</w:t>
      </w:r>
      <w:r>
        <w:rPr>
          <w:rFonts w:cs="Times New Roman"/>
        </w:rPr>
        <w:t>、“十四五”目标</w:t>
      </w:r>
      <w:bookmarkEnd w:id="33"/>
    </w:p>
    <w:p>
      <w:pPr>
        <w:rPr>
          <w:rFonts w:eastAsia="仿宋_GB2312" w:cs="Times New Roman"/>
        </w:rPr>
      </w:pPr>
      <w:r>
        <w:rPr>
          <w:rFonts w:eastAsia="仿宋_GB2312" w:cs="Times New Roman"/>
        </w:rPr>
        <w:t>到2025年，全市水环境综合治理成效持续巩固，入河湖污染物大幅削减，省考及以上断面所在12条重点河流水质全部优良，水生态环境质量明显改善，饮用水安全保障水平进一步提高，力争在“有河有水、有鱼有草、人水和谐”上实现突破。</w:t>
      </w:r>
    </w:p>
    <w:p>
      <w:pPr>
        <w:pStyle w:val="32"/>
        <w:ind w:firstLine="643"/>
      </w:pPr>
      <w:r>
        <w:rPr>
          <w:rFonts w:cs="Times New Roman"/>
          <w:b/>
          <w:bCs/>
        </w:rPr>
        <w:t>饮用水安全</w:t>
      </w:r>
      <w:r>
        <w:rPr>
          <w:rFonts w:hint="eastAsia" w:cs="Times New Roman"/>
          <w:b/>
          <w:bCs/>
          <w:lang w:val="en-US"/>
        </w:rPr>
        <w:t>持续</w:t>
      </w:r>
      <w:r>
        <w:rPr>
          <w:rFonts w:cs="Times New Roman"/>
          <w:b/>
          <w:bCs/>
        </w:rPr>
        <w:t>保障</w:t>
      </w:r>
      <w:r>
        <w:rPr>
          <w:rFonts w:hint="eastAsia" w:cs="Times New Roman"/>
          <w:b/>
          <w:bCs/>
        </w:rPr>
        <w:t>。</w:t>
      </w:r>
      <w:r>
        <w:rPr>
          <w:rFonts w:eastAsia="仿宋_GB2312" w:cs="Times New Roman"/>
        </w:rPr>
        <w:t>到2025年，太仓市三水厂集中式饮用水水源地水质持续稳定达到《地表水环境质量标准》基本项目限值的III类标准和补充项目、特定项目的要求。</w:t>
      </w:r>
    </w:p>
    <w:p>
      <w:pPr>
        <w:ind w:firstLine="643"/>
        <w:rPr>
          <w:rFonts w:eastAsia="仿宋_GB2312" w:cs="Times New Roman"/>
        </w:rPr>
      </w:pPr>
      <w:r>
        <w:rPr>
          <w:rFonts w:eastAsia="仿宋_GB2312" w:cs="Times New Roman"/>
          <w:b/>
          <w:bCs/>
        </w:rPr>
        <w:t>流域水环境质量持续改善。</w:t>
      </w:r>
      <w:r>
        <w:rPr>
          <w:rFonts w:eastAsia="仿宋_GB2312" w:cs="Times New Roman"/>
        </w:rPr>
        <w:t>到2025年，地表水国家考核断面水质优良（达到或优于Ⅲ类）比例达到100%，省考以上断面达到100%，河流省考以上断面全部达到III类</w:t>
      </w:r>
      <w:r>
        <w:rPr>
          <w:rFonts w:hint="eastAsia" w:eastAsia="仿宋_GB2312" w:cs="Times New Roman"/>
        </w:rPr>
        <w:t>。</w:t>
      </w:r>
      <w:r>
        <w:rPr>
          <w:rFonts w:eastAsia="仿宋_GB2312" w:cs="Times New Roman"/>
        </w:rPr>
        <w:t>水质达到工作目标要求。城市、乡镇建成区90%以上面积建成污水处理提质增效达标区。国、省考断面具体水质目标情况见表</w:t>
      </w:r>
      <w:r>
        <w:rPr>
          <w:rFonts w:hint="eastAsia" w:eastAsia="仿宋_GB2312" w:cs="Times New Roman"/>
        </w:rPr>
        <w:t>2</w:t>
      </w:r>
      <w:r>
        <w:rPr>
          <w:rFonts w:eastAsia="仿宋_GB2312" w:cs="Times New Roman"/>
        </w:rPr>
        <w:t>-1</w:t>
      </w:r>
      <w:r>
        <w:rPr>
          <w:rFonts w:hint="eastAsia" w:eastAsia="仿宋_GB2312" w:cs="Times New Roman"/>
        </w:rPr>
        <w:t>，</w:t>
      </w:r>
      <w:r>
        <w:rPr>
          <w:rFonts w:eastAsia="仿宋_GB2312" w:cs="Times New Roman"/>
        </w:rPr>
        <w:t>26个重点关联断面</w:t>
      </w:r>
      <w:r>
        <w:rPr>
          <w:rFonts w:hint="eastAsia" w:eastAsia="仿宋_GB2312" w:cs="Times New Roman"/>
        </w:rPr>
        <w:t>水质目标</w:t>
      </w:r>
      <w:r>
        <w:rPr>
          <w:rFonts w:eastAsia="仿宋_GB2312" w:cs="Times New Roman"/>
        </w:rPr>
        <w:t>具体</w:t>
      </w:r>
      <w:r>
        <w:rPr>
          <w:rFonts w:hint="eastAsia" w:eastAsia="仿宋_GB2312" w:cs="Times New Roman"/>
        </w:rPr>
        <w:t>设置情况详</w:t>
      </w:r>
      <w:r>
        <w:rPr>
          <w:rFonts w:eastAsia="仿宋_GB2312" w:cs="Times New Roman"/>
        </w:rPr>
        <w:t>见</w:t>
      </w:r>
      <w:r>
        <w:rPr>
          <w:rFonts w:hint="eastAsia" w:eastAsia="仿宋_GB2312" w:cs="Times New Roman"/>
        </w:rPr>
        <w:t>附表2。</w:t>
      </w:r>
    </w:p>
    <w:p>
      <w:pPr>
        <w:ind w:firstLine="643"/>
        <w:rPr>
          <w:rFonts w:eastAsia="仿宋_GB2312" w:cs="Times New Roman"/>
        </w:rPr>
      </w:pPr>
      <w:r>
        <w:rPr>
          <w:rFonts w:eastAsia="仿宋_GB2312" w:cs="Times New Roman"/>
          <w:b/>
          <w:bCs/>
        </w:rPr>
        <w:t>河湖水生态系统得到有效恢复。</w:t>
      </w:r>
      <w:r>
        <w:rPr>
          <w:rFonts w:eastAsia="仿宋_GB2312" w:cs="Times New Roman"/>
        </w:rPr>
        <w:t>全市水生态保护修复工作全面铺开。建设人工湿地建设面积36.9公顷。长江力争逐步恢复纹缟鰕虎、子陵吻鰕虎、铜鱼、水葱、水车前、野慈姑等水生动植物。自然湿地保护率</w:t>
      </w:r>
      <w:r>
        <w:rPr>
          <w:rFonts w:hint="eastAsia" w:eastAsia="仿宋_GB2312" w:cs="Times New Roman"/>
        </w:rPr>
        <w:t>大于72.4</w:t>
      </w:r>
      <w:r>
        <w:rPr>
          <w:rFonts w:eastAsia="仿宋_GB2312" w:cs="Times New Roman"/>
        </w:rPr>
        <w:t>%。</w:t>
      </w:r>
    </w:p>
    <w:p>
      <w:pPr>
        <w:ind w:firstLine="0" w:firstLineChars="0"/>
        <w:jc w:val="center"/>
        <w:rPr>
          <w:rFonts w:eastAsia="黑体" w:cs="Times New Roman"/>
          <w:sz w:val="30"/>
          <w:szCs w:val="30"/>
        </w:rPr>
      </w:pPr>
      <w:bookmarkStart w:id="34" w:name="_Toc53660865"/>
      <w:bookmarkStart w:id="35" w:name="_Toc28090500"/>
      <w:r>
        <w:rPr>
          <w:rFonts w:eastAsia="黑体" w:cs="Times New Roman"/>
          <w:sz w:val="30"/>
          <w:szCs w:val="30"/>
        </w:rPr>
        <w:t>表</w:t>
      </w:r>
      <w:r>
        <w:rPr>
          <w:rFonts w:hint="eastAsia" w:eastAsia="黑体" w:cs="Times New Roman"/>
          <w:sz w:val="30"/>
          <w:szCs w:val="30"/>
        </w:rPr>
        <w:t>2</w:t>
      </w:r>
      <w:r>
        <w:rPr>
          <w:rFonts w:eastAsia="黑体" w:cs="Times New Roman"/>
          <w:sz w:val="30"/>
          <w:szCs w:val="30"/>
        </w:rPr>
        <w:t>-1  太仓市“十四五”国、省考断面水质目标</w:t>
      </w:r>
      <w:bookmarkEnd w:id="34"/>
      <w:bookmarkEnd w:id="35"/>
      <w:r>
        <w:rPr>
          <w:rFonts w:eastAsia="黑体" w:cs="Times New Roman"/>
          <w:sz w:val="30"/>
          <w:szCs w:val="30"/>
        </w:rPr>
        <w:t>表</w:t>
      </w:r>
    </w:p>
    <w:tbl>
      <w:tblPr>
        <w:tblStyle w:val="23"/>
        <w:tblW w:w="4994"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39"/>
        <w:gridCol w:w="731"/>
        <w:gridCol w:w="963"/>
        <w:gridCol w:w="1076"/>
        <w:gridCol w:w="892"/>
        <w:gridCol w:w="1090"/>
        <w:gridCol w:w="768"/>
        <w:gridCol w:w="921"/>
        <w:gridCol w:w="919"/>
        <w:gridCol w:w="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blHeader/>
        </w:trPr>
        <w:tc>
          <w:tcPr>
            <w:tcW w:w="257"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序号</w:t>
            </w:r>
          </w:p>
        </w:tc>
        <w:tc>
          <w:tcPr>
            <w:tcW w:w="429"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地市</w:t>
            </w:r>
          </w:p>
        </w:tc>
        <w:tc>
          <w:tcPr>
            <w:tcW w:w="565"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考核市、区</w:t>
            </w:r>
          </w:p>
        </w:tc>
        <w:tc>
          <w:tcPr>
            <w:tcW w:w="631"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所属流域</w:t>
            </w:r>
          </w:p>
        </w:tc>
        <w:tc>
          <w:tcPr>
            <w:tcW w:w="524"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所在水体</w:t>
            </w:r>
          </w:p>
        </w:tc>
        <w:tc>
          <w:tcPr>
            <w:tcW w:w="639"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断面名称</w:t>
            </w:r>
          </w:p>
        </w:tc>
        <w:tc>
          <w:tcPr>
            <w:tcW w:w="451"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断面属性</w:t>
            </w:r>
          </w:p>
        </w:tc>
        <w:tc>
          <w:tcPr>
            <w:tcW w:w="541"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2020年水质</w:t>
            </w:r>
            <w:r>
              <w:rPr>
                <w:rFonts w:hint="eastAsia" w:eastAsia="黑体" w:cs="Times New Roman"/>
                <w:kern w:val="0"/>
                <w:sz w:val="21"/>
                <w:szCs w:val="21"/>
              </w:rPr>
              <w:t>目标</w:t>
            </w:r>
          </w:p>
        </w:tc>
        <w:tc>
          <w:tcPr>
            <w:tcW w:w="540"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2025年水质目标</w:t>
            </w:r>
          </w:p>
        </w:tc>
        <w:tc>
          <w:tcPr>
            <w:tcW w:w="419" w:type="pct"/>
            <w:vAlign w:val="center"/>
          </w:tcPr>
          <w:p>
            <w:pPr>
              <w:widowControl/>
              <w:spacing w:line="300" w:lineRule="exact"/>
              <w:ind w:firstLine="0" w:firstLineChars="0"/>
              <w:jc w:val="center"/>
              <w:rPr>
                <w:rFonts w:eastAsia="黑体" w:cs="Times New Roman"/>
                <w:kern w:val="0"/>
                <w:sz w:val="21"/>
                <w:szCs w:val="21"/>
              </w:rPr>
            </w:pPr>
            <w:r>
              <w:rPr>
                <w:rFonts w:eastAsia="黑体" w:cs="Times New Roman"/>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1</w:t>
            </w:r>
          </w:p>
        </w:tc>
        <w:tc>
          <w:tcPr>
            <w:tcW w:w="42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63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长江</w:t>
            </w:r>
          </w:p>
        </w:tc>
        <w:tc>
          <w:tcPr>
            <w:tcW w:w="639"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浏河（右岸）</w:t>
            </w:r>
          </w:p>
        </w:tc>
        <w:tc>
          <w:tcPr>
            <w:tcW w:w="45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国考</w:t>
            </w:r>
          </w:p>
        </w:tc>
        <w:tc>
          <w:tcPr>
            <w:tcW w:w="54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Ⅱ</w:t>
            </w:r>
          </w:p>
        </w:tc>
        <w:tc>
          <w:tcPr>
            <w:tcW w:w="540"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Ⅱ</w:t>
            </w:r>
          </w:p>
        </w:tc>
        <w:tc>
          <w:tcPr>
            <w:tcW w:w="419" w:type="pct"/>
            <w:shd w:val="clear" w:color="auto" w:fill="auto"/>
            <w:vAlign w:val="center"/>
          </w:tcPr>
          <w:p>
            <w:pPr>
              <w:spacing w:line="300" w:lineRule="exact"/>
              <w:ind w:firstLine="0" w:firstLineChars="0"/>
              <w:jc w:val="center"/>
              <w:rPr>
                <w:rFonts w:eastAsia="仿宋_GB2312" w:cs="Times New Roman"/>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2</w:t>
            </w:r>
          </w:p>
        </w:tc>
        <w:tc>
          <w:tcPr>
            <w:tcW w:w="42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63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浏河</w:t>
            </w:r>
          </w:p>
        </w:tc>
        <w:tc>
          <w:tcPr>
            <w:tcW w:w="639"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浏河闸</w:t>
            </w:r>
          </w:p>
        </w:tc>
        <w:tc>
          <w:tcPr>
            <w:tcW w:w="45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国考</w:t>
            </w:r>
          </w:p>
        </w:tc>
        <w:tc>
          <w:tcPr>
            <w:tcW w:w="54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540"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shd w:val="clear" w:color="auto" w:fill="auto"/>
            <w:vAlign w:val="center"/>
          </w:tcPr>
          <w:p>
            <w:pPr>
              <w:spacing w:line="300" w:lineRule="exact"/>
              <w:ind w:firstLine="0" w:firstLineChars="0"/>
              <w:jc w:val="center"/>
              <w:rPr>
                <w:rFonts w:eastAsia="仿宋_GB2312" w:cs="Times New Roman"/>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3</w:t>
            </w:r>
          </w:p>
        </w:tc>
        <w:tc>
          <w:tcPr>
            <w:tcW w:w="42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63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七浦塘</w:t>
            </w:r>
          </w:p>
        </w:tc>
        <w:tc>
          <w:tcPr>
            <w:tcW w:w="639"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荡茜河桥</w:t>
            </w:r>
          </w:p>
        </w:tc>
        <w:tc>
          <w:tcPr>
            <w:tcW w:w="45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国考</w:t>
            </w:r>
          </w:p>
        </w:tc>
        <w:tc>
          <w:tcPr>
            <w:tcW w:w="54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540"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shd w:val="clear" w:color="auto" w:fill="auto"/>
            <w:vAlign w:val="center"/>
          </w:tcPr>
          <w:p>
            <w:pPr>
              <w:spacing w:line="300" w:lineRule="exact"/>
              <w:ind w:firstLine="0" w:firstLineChars="0"/>
              <w:jc w:val="center"/>
              <w:rPr>
                <w:rFonts w:eastAsia="仿宋_GB2312" w:cs="Times New Roman"/>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4</w:t>
            </w:r>
          </w:p>
        </w:tc>
        <w:tc>
          <w:tcPr>
            <w:tcW w:w="42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63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杨林塘</w:t>
            </w:r>
          </w:p>
        </w:tc>
        <w:tc>
          <w:tcPr>
            <w:tcW w:w="639"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仪桥</w:t>
            </w:r>
          </w:p>
        </w:tc>
        <w:tc>
          <w:tcPr>
            <w:tcW w:w="45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国考</w:t>
            </w:r>
          </w:p>
        </w:tc>
        <w:tc>
          <w:tcPr>
            <w:tcW w:w="54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540"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shd w:val="clear" w:color="auto" w:fill="auto"/>
            <w:vAlign w:val="center"/>
          </w:tcPr>
          <w:p>
            <w:pPr>
              <w:spacing w:line="300" w:lineRule="exact"/>
              <w:ind w:firstLine="0" w:firstLineChars="0"/>
              <w:jc w:val="center"/>
              <w:rPr>
                <w:rFonts w:eastAsia="仿宋_GB2312" w:cs="Times New Roman"/>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5</w:t>
            </w:r>
          </w:p>
        </w:tc>
        <w:tc>
          <w:tcPr>
            <w:tcW w:w="42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63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长江流域</w:t>
            </w:r>
          </w:p>
        </w:tc>
        <w:tc>
          <w:tcPr>
            <w:tcW w:w="524"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63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新丰桥镇</w:t>
            </w:r>
          </w:p>
        </w:tc>
        <w:tc>
          <w:tcPr>
            <w:tcW w:w="45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省考</w:t>
            </w:r>
          </w:p>
        </w:tc>
        <w:tc>
          <w:tcPr>
            <w:tcW w:w="54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Ⅳ</w:t>
            </w:r>
          </w:p>
        </w:tc>
        <w:tc>
          <w:tcPr>
            <w:tcW w:w="540"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交界断面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6</w:t>
            </w:r>
          </w:p>
        </w:tc>
        <w:tc>
          <w:tcPr>
            <w:tcW w:w="42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太仓市/昆山市</w:t>
            </w:r>
          </w:p>
        </w:tc>
        <w:tc>
          <w:tcPr>
            <w:tcW w:w="63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长江流域</w:t>
            </w:r>
          </w:p>
        </w:tc>
        <w:tc>
          <w:tcPr>
            <w:tcW w:w="524"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浏河</w:t>
            </w:r>
          </w:p>
        </w:tc>
        <w:tc>
          <w:tcPr>
            <w:tcW w:w="639"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振东渡口</w:t>
            </w:r>
          </w:p>
        </w:tc>
        <w:tc>
          <w:tcPr>
            <w:tcW w:w="451" w:type="pct"/>
            <w:shd w:val="clear" w:color="auto" w:fill="auto"/>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省考</w:t>
            </w:r>
          </w:p>
        </w:tc>
        <w:tc>
          <w:tcPr>
            <w:tcW w:w="541"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Ⅳ</w:t>
            </w:r>
          </w:p>
        </w:tc>
        <w:tc>
          <w:tcPr>
            <w:tcW w:w="540"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shd w:val="clear" w:color="auto" w:fill="auto"/>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交界断面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7</w:t>
            </w:r>
          </w:p>
        </w:tc>
        <w:tc>
          <w:tcPr>
            <w:tcW w:w="42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631"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长江流域</w:t>
            </w:r>
          </w:p>
        </w:tc>
        <w:tc>
          <w:tcPr>
            <w:tcW w:w="524"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新泾</w:t>
            </w:r>
          </w:p>
        </w:tc>
        <w:tc>
          <w:tcPr>
            <w:tcW w:w="63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新泾闸</w:t>
            </w:r>
          </w:p>
        </w:tc>
        <w:tc>
          <w:tcPr>
            <w:tcW w:w="451"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省考</w:t>
            </w:r>
          </w:p>
        </w:tc>
        <w:tc>
          <w:tcPr>
            <w:tcW w:w="541"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w:t>
            </w:r>
          </w:p>
        </w:tc>
        <w:tc>
          <w:tcPr>
            <w:tcW w:w="540"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新增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8</w:t>
            </w:r>
          </w:p>
        </w:tc>
        <w:tc>
          <w:tcPr>
            <w:tcW w:w="42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vAlign w:val="center"/>
          </w:tcPr>
          <w:p>
            <w:pPr>
              <w:widowControl/>
              <w:spacing w:line="300" w:lineRule="exact"/>
              <w:ind w:firstLine="0" w:firstLineChars="0"/>
              <w:jc w:val="center"/>
              <w:rPr>
                <w:rFonts w:eastAsia="仿宋_GB2312" w:cs="Times New Roman"/>
                <w:sz w:val="21"/>
                <w:szCs w:val="21"/>
              </w:rPr>
            </w:pPr>
            <w:r>
              <w:rPr>
                <w:rFonts w:eastAsia="仿宋_GB2312" w:cs="Times New Roman"/>
                <w:kern w:val="0"/>
                <w:sz w:val="21"/>
                <w:szCs w:val="21"/>
              </w:rPr>
              <w:t>太仓市</w:t>
            </w:r>
          </w:p>
        </w:tc>
        <w:tc>
          <w:tcPr>
            <w:tcW w:w="631"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钱泾</w:t>
            </w:r>
          </w:p>
        </w:tc>
        <w:tc>
          <w:tcPr>
            <w:tcW w:w="63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钱泾闸</w:t>
            </w:r>
          </w:p>
        </w:tc>
        <w:tc>
          <w:tcPr>
            <w:tcW w:w="451"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省考</w:t>
            </w:r>
          </w:p>
        </w:tc>
        <w:tc>
          <w:tcPr>
            <w:tcW w:w="541"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w:t>
            </w:r>
          </w:p>
        </w:tc>
        <w:tc>
          <w:tcPr>
            <w:tcW w:w="540"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新增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9</w:t>
            </w:r>
          </w:p>
        </w:tc>
        <w:tc>
          <w:tcPr>
            <w:tcW w:w="42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vAlign w:val="center"/>
          </w:tcPr>
          <w:p>
            <w:pPr>
              <w:widowControl/>
              <w:spacing w:line="300" w:lineRule="exact"/>
              <w:ind w:firstLine="0" w:firstLineChars="0"/>
              <w:jc w:val="center"/>
              <w:rPr>
                <w:rFonts w:eastAsia="仿宋_GB2312" w:cs="Times New Roman"/>
                <w:sz w:val="21"/>
                <w:szCs w:val="21"/>
              </w:rPr>
            </w:pPr>
            <w:r>
              <w:rPr>
                <w:rFonts w:eastAsia="仿宋_GB2312" w:cs="Times New Roman"/>
                <w:kern w:val="0"/>
                <w:sz w:val="21"/>
                <w:szCs w:val="21"/>
              </w:rPr>
              <w:t>太仓市</w:t>
            </w:r>
          </w:p>
        </w:tc>
        <w:tc>
          <w:tcPr>
            <w:tcW w:w="631"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鹿鸣泾</w:t>
            </w:r>
          </w:p>
        </w:tc>
        <w:tc>
          <w:tcPr>
            <w:tcW w:w="63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鹿鸣泾桥</w:t>
            </w:r>
          </w:p>
        </w:tc>
        <w:tc>
          <w:tcPr>
            <w:tcW w:w="451"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省考</w:t>
            </w:r>
          </w:p>
        </w:tc>
        <w:tc>
          <w:tcPr>
            <w:tcW w:w="541"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w:t>
            </w:r>
          </w:p>
        </w:tc>
        <w:tc>
          <w:tcPr>
            <w:tcW w:w="540"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新增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10</w:t>
            </w:r>
          </w:p>
        </w:tc>
        <w:tc>
          <w:tcPr>
            <w:tcW w:w="42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vAlign w:val="center"/>
          </w:tcPr>
          <w:p>
            <w:pPr>
              <w:widowControl/>
              <w:spacing w:line="300" w:lineRule="exact"/>
              <w:ind w:firstLine="0" w:firstLineChars="0"/>
              <w:jc w:val="center"/>
              <w:rPr>
                <w:rFonts w:eastAsia="仿宋_GB2312" w:cs="Times New Roman"/>
                <w:sz w:val="21"/>
                <w:szCs w:val="21"/>
              </w:rPr>
            </w:pPr>
            <w:r>
              <w:rPr>
                <w:rFonts w:eastAsia="仿宋_GB2312" w:cs="Times New Roman"/>
                <w:kern w:val="0"/>
                <w:sz w:val="21"/>
                <w:szCs w:val="21"/>
              </w:rPr>
              <w:t>太仓市</w:t>
            </w:r>
          </w:p>
        </w:tc>
        <w:tc>
          <w:tcPr>
            <w:tcW w:w="631"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浪港</w:t>
            </w:r>
          </w:p>
        </w:tc>
        <w:tc>
          <w:tcPr>
            <w:tcW w:w="63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浪港闸</w:t>
            </w:r>
          </w:p>
        </w:tc>
        <w:tc>
          <w:tcPr>
            <w:tcW w:w="451"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省考</w:t>
            </w:r>
          </w:p>
        </w:tc>
        <w:tc>
          <w:tcPr>
            <w:tcW w:w="541"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w:t>
            </w:r>
          </w:p>
        </w:tc>
        <w:tc>
          <w:tcPr>
            <w:tcW w:w="540"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新增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11</w:t>
            </w:r>
          </w:p>
        </w:tc>
        <w:tc>
          <w:tcPr>
            <w:tcW w:w="42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vAlign w:val="center"/>
          </w:tcPr>
          <w:p>
            <w:pPr>
              <w:widowControl/>
              <w:spacing w:line="300" w:lineRule="exact"/>
              <w:ind w:firstLine="0" w:firstLineChars="0"/>
              <w:jc w:val="center"/>
              <w:rPr>
                <w:rFonts w:eastAsia="仿宋_GB2312" w:cs="Times New Roman"/>
                <w:sz w:val="21"/>
                <w:szCs w:val="21"/>
              </w:rPr>
            </w:pPr>
            <w:r>
              <w:rPr>
                <w:rFonts w:eastAsia="仿宋_GB2312" w:cs="Times New Roman"/>
                <w:kern w:val="0"/>
                <w:sz w:val="21"/>
                <w:szCs w:val="21"/>
              </w:rPr>
              <w:t>太仓市</w:t>
            </w:r>
          </w:p>
        </w:tc>
        <w:tc>
          <w:tcPr>
            <w:tcW w:w="631"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老七浦塘</w:t>
            </w:r>
          </w:p>
        </w:tc>
        <w:tc>
          <w:tcPr>
            <w:tcW w:w="63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滨江大道桥</w:t>
            </w:r>
          </w:p>
        </w:tc>
        <w:tc>
          <w:tcPr>
            <w:tcW w:w="451"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省考</w:t>
            </w:r>
          </w:p>
        </w:tc>
        <w:tc>
          <w:tcPr>
            <w:tcW w:w="541"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w:t>
            </w:r>
          </w:p>
        </w:tc>
        <w:tc>
          <w:tcPr>
            <w:tcW w:w="540"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新增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257"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12</w:t>
            </w:r>
          </w:p>
        </w:tc>
        <w:tc>
          <w:tcPr>
            <w:tcW w:w="42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苏州</w:t>
            </w:r>
          </w:p>
        </w:tc>
        <w:tc>
          <w:tcPr>
            <w:tcW w:w="565" w:type="pct"/>
            <w:vAlign w:val="center"/>
          </w:tcPr>
          <w:p>
            <w:pPr>
              <w:widowControl/>
              <w:spacing w:line="300" w:lineRule="exact"/>
              <w:ind w:firstLine="0" w:firstLineChars="0"/>
              <w:jc w:val="center"/>
              <w:rPr>
                <w:rFonts w:eastAsia="仿宋_GB2312" w:cs="Times New Roman"/>
                <w:sz w:val="21"/>
                <w:szCs w:val="21"/>
              </w:rPr>
            </w:pPr>
            <w:r>
              <w:rPr>
                <w:rFonts w:eastAsia="仿宋_GB2312" w:cs="Times New Roman"/>
                <w:kern w:val="0"/>
                <w:sz w:val="21"/>
                <w:szCs w:val="21"/>
              </w:rPr>
              <w:t>太仓市</w:t>
            </w:r>
          </w:p>
        </w:tc>
        <w:tc>
          <w:tcPr>
            <w:tcW w:w="631"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sz w:val="21"/>
                <w:szCs w:val="21"/>
              </w:rPr>
              <w:t>长江流域</w:t>
            </w:r>
          </w:p>
        </w:tc>
        <w:tc>
          <w:tcPr>
            <w:tcW w:w="524"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新塘河</w:t>
            </w:r>
          </w:p>
        </w:tc>
        <w:tc>
          <w:tcPr>
            <w:tcW w:w="639" w:type="pct"/>
            <w:vAlign w:val="center"/>
          </w:tcPr>
          <w:p>
            <w:pPr>
              <w:widowControl/>
              <w:spacing w:line="300" w:lineRule="exact"/>
              <w:ind w:firstLine="0" w:firstLineChars="0"/>
              <w:jc w:val="center"/>
              <w:rPr>
                <w:rFonts w:eastAsia="仿宋_GB2312" w:cs="Times New Roman"/>
                <w:kern w:val="0"/>
                <w:sz w:val="21"/>
                <w:szCs w:val="21"/>
              </w:rPr>
            </w:pPr>
            <w:r>
              <w:rPr>
                <w:rFonts w:eastAsia="仿宋_GB2312" w:cs="Times New Roman"/>
                <w:kern w:val="0"/>
                <w:sz w:val="21"/>
                <w:szCs w:val="21"/>
              </w:rPr>
              <w:t>新塘河闸</w:t>
            </w:r>
          </w:p>
        </w:tc>
        <w:tc>
          <w:tcPr>
            <w:tcW w:w="451"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省考</w:t>
            </w:r>
          </w:p>
        </w:tc>
        <w:tc>
          <w:tcPr>
            <w:tcW w:w="541"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w:t>
            </w:r>
          </w:p>
        </w:tc>
        <w:tc>
          <w:tcPr>
            <w:tcW w:w="540" w:type="pct"/>
            <w:vAlign w:val="center"/>
          </w:tcPr>
          <w:p>
            <w:pPr>
              <w:spacing w:line="300" w:lineRule="exact"/>
              <w:ind w:firstLine="0" w:firstLineChars="0"/>
              <w:jc w:val="center"/>
              <w:rPr>
                <w:rFonts w:eastAsia="仿宋_GB2312" w:cs="Times New Roman"/>
                <w:sz w:val="21"/>
                <w:szCs w:val="21"/>
              </w:rPr>
            </w:pPr>
            <w:r>
              <w:rPr>
                <w:rFonts w:eastAsia="仿宋_GB2312" w:cs="Times New Roman"/>
                <w:sz w:val="21"/>
                <w:szCs w:val="21"/>
              </w:rPr>
              <w:t>Ⅲ</w:t>
            </w:r>
          </w:p>
        </w:tc>
        <w:tc>
          <w:tcPr>
            <w:tcW w:w="419" w:type="pct"/>
            <w:vAlign w:val="center"/>
          </w:tcPr>
          <w:p>
            <w:pPr>
              <w:spacing w:line="300" w:lineRule="exact"/>
              <w:ind w:firstLine="0" w:firstLineChars="0"/>
              <w:jc w:val="center"/>
              <w:rPr>
                <w:rFonts w:eastAsia="仿宋_GB2312" w:cs="Times New Roman"/>
                <w:sz w:val="21"/>
                <w:szCs w:val="21"/>
              </w:rPr>
            </w:pPr>
            <w:r>
              <w:rPr>
                <w:rFonts w:hint="eastAsia" w:eastAsia="仿宋_GB2312" w:cs="Times New Roman"/>
                <w:sz w:val="21"/>
                <w:szCs w:val="21"/>
              </w:rPr>
              <w:t>新增</w:t>
            </w:r>
          </w:p>
        </w:tc>
      </w:tr>
    </w:tbl>
    <w:p>
      <w:pPr>
        <w:spacing w:line="400" w:lineRule="exact"/>
        <w:ind w:left="-320" w:leftChars="-100" w:firstLine="440"/>
        <w:rPr>
          <w:rFonts w:eastAsia="仿宋_GB2312" w:cs="Times New Roman"/>
          <w:sz w:val="22"/>
        </w:rPr>
      </w:pPr>
      <w:r>
        <w:rPr>
          <w:rFonts w:eastAsia="仿宋_GB2312" w:cs="Times New Roman"/>
          <w:sz w:val="22"/>
        </w:rPr>
        <w:t>注：国考断面目标以国家正式发文为准</w:t>
      </w:r>
    </w:p>
    <w:p>
      <w:pPr>
        <w:ind w:firstLine="440"/>
        <w:rPr>
          <w:rFonts w:cs="Times New Roman"/>
          <w:sz w:val="22"/>
        </w:rPr>
        <w:sectPr>
          <w:footerReference r:id="rId15" w:type="default"/>
          <w:pgSz w:w="11906" w:h="16838"/>
          <w:pgMar w:top="1440" w:right="1800" w:bottom="1440" w:left="1800" w:header="851" w:footer="992" w:gutter="0"/>
          <w:cols w:space="720" w:num="1"/>
          <w:docGrid w:type="lines" w:linePitch="312" w:charSpace="0"/>
        </w:sectPr>
      </w:pPr>
    </w:p>
    <w:p>
      <w:pPr>
        <w:pStyle w:val="5"/>
        <w:spacing w:before="217" w:after="217"/>
        <w:rPr>
          <w:rFonts w:cs="Times New Roman"/>
        </w:rPr>
      </w:pPr>
      <w:bookmarkStart w:id="36" w:name="_Toc10926"/>
      <w:r>
        <w:rPr>
          <w:rFonts w:hint="eastAsia" w:cs="Times New Roman"/>
        </w:rPr>
        <w:t>二</w:t>
      </w:r>
      <w:r>
        <w:rPr>
          <w:rFonts w:cs="Times New Roman"/>
        </w:rPr>
        <w:t>、二</w:t>
      </w:r>
      <w:r>
        <w:rPr>
          <w:rFonts w:eastAsia="宋体" w:cs="Times New Roman"/>
        </w:rPr>
        <w:t>〇</w:t>
      </w:r>
      <w:r>
        <w:rPr>
          <w:rFonts w:cs="Times New Roman"/>
        </w:rPr>
        <w:t>三五年远景目标</w:t>
      </w:r>
      <w:bookmarkEnd w:id="36"/>
    </w:p>
    <w:p>
      <w:pPr>
        <w:rPr>
          <w:rFonts w:cs="Times New Roman"/>
        </w:rPr>
      </w:pPr>
      <w:r>
        <w:rPr>
          <w:rFonts w:eastAsia="仿宋_GB2312" w:cs="Times New Roman"/>
        </w:rPr>
        <w:t>到二〇三五年，全市水生态环境根本好转，美丽太仓建设的水生态环境目标基本实现。与水资源水环境承载能力相协调的生产生活方式总体形成，河湖生态流量（水位）得到保障。水源涵养功能有效保护，河湖生态缓冲带得到维持和恢复，生物多样性保护水平明显提升。污染物排放得到有效控制，95%以上的水体水质达到优良，城乡居民饮水安全得到全面保障。“水清岸绿河湖美”的水生态环境格局总体实现，基本满足人民对优美生态环境的需要。</w:t>
      </w:r>
    </w:p>
    <w:p>
      <w:pPr>
        <w:ind w:firstLine="0" w:firstLineChars="0"/>
        <w:rPr>
          <w:rFonts w:eastAsia="仿宋_GB2312" w:cs="Times New Roman"/>
        </w:rPr>
        <w:sectPr>
          <w:pgSz w:w="11906" w:h="16838"/>
          <w:pgMar w:top="2098" w:right="1474" w:bottom="1985" w:left="1588" w:header="851" w:footer="1701" w:gutter="0"/>
          <w:cols w:space="425" w:num="1"/>
          <w:docGrid w:type="lines" w:linePitch="435" w:charSpace="0"/>
        </w:sectPr>
      </w:pPr>
      <w:r>
        <w:rPr>
          <w:rFonts w:eastAsia="仿宋_GB2312" w:cs="Times New Roman"/>
        </w:rPr>
        <w:t>。</w:t>
      </w:r>
    </w:p>
    <w:p>
      <w:pPr>
        <w:ind w:firstLine="0" w:firstLineChars="0"/>
        <w:jc w:val="center"/>
        <w:rPr>
          <w:rFonts w:eastAsia="黑体" w:cs="Times New Roman"/>
          <w:sz w:val="30"/>
          <w:szCs w:val="30"/>
        </w:rPr>
      </w:pPr>
      <w:bookmarkStart w:id="37" w:name="_Toc470176219"/>
      <w:r>
        <w:rPr>
          <w:rFonts w:eastAsia="黑体" w:cs="Times New Roman"/>
          <w:sz w:val="30"/>
          <w:szCs w:val="30"/>
        </w:rPr>
        <w:t>表</w:t>
      </w:r>
      <w:r>
        <w:rPr>
          <w:rFonts w:hint="eastAsia" w:eastAsia="黑体" w:cs="Times New Roman"/>
          <w:sz w:val="30"/>
          <w:szCs w:val="30"/>
        </w:rPr>
        <w:t>2</w:t>
      </w:r>
      <w:r>
        <w:rPr>
          <w:rFonts w:eastAsia="黑体" w:cs="Times New Roman"/>
          <w:sz w:val="30"/>
          <w:szCs w:val="30"/>
        </w:rPr>
        <w:t>-</w:t>
      </w:r>
      <w:r>
        <w:rPr>
          <w:rFonts w:hint="eastAsia" w:eastAsia="黑体" w:cs="Times New Roman"/>
          <w:sz w:val="30"/>
          <w:szCs w:val="30"/>
        </w:rPr>
        <w:t>2规划目标</w:t>
      </w:r>
      <w:r>
        <w:rPr>
          <w:rFonts w:eastAsia="黑体" w:cs="Times New Roman"/>
          <w:sz w:val="30"/>
          <w:szCs w:val="30"/>
        </w:rPr>
        <w:t>指标</w:t>
      </w:r>
      <w:r>
        <w:rPr>
          <w:rFonts w:hint="eastAsia" w:eastAsia="黑体" w:cs="Times New Roman"/>
          <w:sz w:val="30"/>
          <w:szCs w:val="30"/>
        </w:rPr>
        <w:t>体系表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758"/>
        <w:gridCol w:w="3981"/>
        <w:gridCol w:w="1604"/>
        <w:gridCol w:w="1630"/>
        <w:gridCol w:w="3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4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黑体" w:cs="Times New Roman"/>
                <w:sz w:val="24"/>
                <w:szCs w:val="24"/>
              </w:rPr>
            </w:pPr>
            <w:r>
              <w:rPr>
                <w:rFonts w:eastAsia="黑体" w:cs="Times New Roman"/>
                <w:sz w:val="24"/>
                <w:szCs w:val="24"/>
              </w:rPr>
              <w:t>类别</w:t>
            </w: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黑体" w:cs="Times New Roman"/>
                <w:sz w:val="24"/>
                <w:szCs w:val="24"/>
              </w:rPr>
            </w:pPr>
            <w:r>
              <w:rPr>
                <w:rFonts w:eastAsia="黑体" w:cs="Times New Roman"/>
                <w:sz w:val="24"/>
                <w:szCs w:val="24"/>
              </w:rPr>
              <w:t>序号</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黑体" w:cs="Times New Roman"/>
                <w:sz w:val="24"/>
                <w:szCs w:val="24"/>
              </w:rPr>
            </w:pPr>
            <w:r>
              <w:rPr>
                <w:rFonts w:eastAsia="黑体" w:cs="Times New Roman"/>
                <w:sz w:val="24"/>
                <w:szCs w:val="24"/>
              </w:rPr>
              <w:t>指标名称</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黑体" w:cs="Times New Roman"/>
                <w:sz w:val="24"/>
                <w:szCs w:val="24"/>
              </w:rPr>
            </w:pPr>
            <w:r>
              <w:rPr>
                <w:rFonts w:eastAsia="黑体" w:cs="Times New Roman"/>
                <w:sz w:val="24"/>
                <w:szCs w:val="24"/>
              </w:rPr>
              <w:t>2020年现状</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黑体" w:cs="Times New Roman"/>
                <w:sz w:val="24"/>
                <w:szCs w:val="24"/>
              </w:rPr>
            </w:pPr>
            <w:r>
              <w:rPr>
                <w:rFonts w:eastAsia="黑体" w:cs="Times New Roman"/>
                <w:sz w:val="24"/>
                <w:szCs w:val="24"/>
              </w:rPr>
              <w:t>2025年目标</w:t>
            </w:r>
          </w:p>
        </w:tc>
        <w:tc>
          <w:tcPr>
            <w:tcW w:w="1484" w:type="pct"/>
            <w:tcBorders>
              <w:top w:val="single" w:color="auto" w:sz="4" w:space="0"/>
              <w:left w:val="single" w:color="auto" w:sz="4" w:space="0"/>
              <w:bottom w:val="single" w:color="auto" w:sz="4" w:space="0"/>
              <w:right w:val="single" w:color="auto" w:sz="4" w:space="0"/>
            </w:tcBorders>
          </w:tcPr>
          <w:p>
            <w:pPr>
              <w:adjustRightInd w:val="0"/>
              <w:snapToGrid w:val="0"/>
              <w:spacing w:line="240" w:lineRule="auto"/>
              <w:ind w:firstLine="0" w:firstLineChars="0"/>
              <w:jc w:val="center"/>
              <w:rPr>
                <w:rFonts w:eastAsia="黑体" w:cs="Times New Roman"/>
                <w:sz w:val="24"/>
                <w:szCs w:val="24"/>
              </w:rPr>
            </w:pPr>
            <w:r>
              <w:rPr>
                <w:rFonts w:eastAsia="黑体" w:cs="Times New Roman"/>
                <w:sz w:val="24"/>
                <w:szCs w:val="24"/>
              </w:rPr>
              <w:t>指标来源与依据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restart"/>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水环境质量</w:t>
            </w:r>
          </w:p>
        </w:tc>
        <w:tc>
          <w:tcPr>
            <w:tcW w:w="292"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eastAsia="仿宋_GB2312" w:cs="Times New Roman"/>
                <w:bCs/>
                <w:sz w:val="24"/>
                <w:szCs w:val="24"/>
              </w:rPr>
              <w:t>1</w:t>
            </w:r>
          </w:p>
        </w:tc>
        <w:tc>
          <w:tcPr>
            <w:tcW w:w="153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重点断面达到或优于Ⅲ类比例</w:t>
            </w:r>
          </w:p>
        </w:tc>
        <w:tc>
          <w:tcPr>
            <w:tcW w:w="618" w:type="pct"/>
            <w:tcBorders>
              <w:top w:val="single" w:color="auto" w:sz="4" w:space="0"/>
              <w:left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148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江苏省太湖流域水环境综合治理规划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eastAsia="仿宋_GB2312" w:cs="Times New Roman"/>
                <w:bCs/>
                <w:sz w:val="24"/>
                <w:szCs w:val="24"/>
              </w:rPr>
              <w:t>2</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重点断面水质达标率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江苏省太湖流域水环境综合治理规划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eastAsia="仿宋_GB2312" w:cs="Times New Roman"/>
                <w:bCs/>
                <w:sz w:val="24"/>
                <w:szCs w:val="24"/>
              </w:rPr>
              <w:t>3</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城市黑臭水体消除比例</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基本消除</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100%</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江苏省太湖流域水环境综合治理规划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eastAsia="仿宋_GB2312" w:cs="Times New Roman"/>
                <w:bCs/>
                <w:sz w:val="24"/>
                <w:szCs w:val="24"/>
              </w:rPr>
              <w:t>4</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主要污染物减排</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2020年较2015年下降COD13.25%</w:t>
            </w:r>
          </w:p>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氨氮14.99%</w:t>
            </w:r>
          </w:p>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总氮12.24%</w:t>
            </w:r>
          </w:p>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总磷12.36%</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完成上级下达目标</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restar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水生态保护与修复</w:t>
            </w: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5</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highlight w:val="yellow"/>
              </w:rPr>
            </w:pPr>
            <w:r>
              <w:rPr>
                <w:rFonts w:eastAsia="仿宋_GB2312" w:cs="Times New Roman"/>
                <w:sz w:val="24"/>
                <w:szCs w:val="24"/>
              </w:rPr>
              <w:t>湿地面积</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highlight w:val="yellow"/>
              </w:rPr>
            </w:pPr>
            <w:r>
              <w:rPr>
                <w:sz w:val="24"/>
                <w:szCs w:val="24"/>
              </w:rPr>
              <w:t>18667.64</w:t>
            </w:r>
            <w:r>
              <w:rPr>
                <w:rFonts w:eastAsia="仿宋_GB2312" w:cs="Times New Roman"/>
                <w:sz w:val="24"/>
                <w:szCs w:val="24"/>
              </w:rPr>
              <w:t>公顷</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highlight w:val="yellow"/>
              </w:rPr>
            </w:pPr>
            <w:r>
              <w:rPr>
                <w:rFonts w:eastAsia="仿宋_GB2312" w:cs="Times New Roman"/>
                <w:sz w:val="24"/>
                <w:szCs w:val="24"/>
              </w:rPr>
              <w:t>面积不减少</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江苏省太湖流域湿地保护修复规划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6</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自然湿地保护率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72.4%</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≥72.4%</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苏州市“十四五”生态环境保护规划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7</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林木覆盖率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17.81%</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≥21%</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苏州市“十四五”生态环境保护规划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restar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水资源利用</w:t>
            </w: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8</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万元工业增加值用水量较2020年下降</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highlight w:val="green"/>
              </w:rPr>
            </w:pPr>
            <w:r>
              <w:rPr>
                <w:rFonts w:eastAsia="仿宋_GB2312" w:cs="Times New Roman"/>
                <w:sz w:val="24"/>
                <w:szCs w:val="24"/>
              </w:rPr>
              <w:t>68.03 m³</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highlight w:val="green"/>
              </w:rPr>
            </w:pPr>
            <w:r>
              <w:rPr>
                <w:rFonts w:hint="eastAsia" w:eastAsia="仿宋_GB2312" w:cs="Times New Roman"/>
                <w:sz w:val="24"/>
                <w:szCs w:val="24"/>
              </w:rPr>
              <w:t>19%</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江苏省“十四五”节水型社会建设规划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9</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万元GDP用水量较2020年下降</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highlight w:val="green"/>
              </w:rPr>
            </w:pPr>
            <w:r>
              <w:rPr>
                <w:rFonts w:eastAsia="仿宋_GB2312" w:cs="Times New Roman"/>
                <w:sz w:val="24"/>
                <w:szCs w:val="24"/>
              </w:rPr>
              <w:t>48.24 m³</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highlight w:val="green"/>
              </w:rPr>
            </w:pPr>
            <w:r>
              <w:rPr>
                <w:rFonts w:hint="eastAsia" w:eastAsia="仿宋_GB2312" w:cs="Times New Roman"/>
                <w:sz w:val="24"/>
                <w:szCs w:val="24"/>
              </w:rPr>
              <w:t>19%</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江苏省“十四五”节水型社会建设规划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10</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规模以上工业用水重复利用率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93%</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苏州市推进污水资源化利用实施方案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eastAsia="仿宋_GB2312" w:cs="Times New Roman"/>
                <w:bCs/>
                <w:sz w:val="24"/>
                <w:szCs w:val="24"/>
              </w:rPr>
              <w:t>1</w:t>
            </w:r>
            <w:r>
              <w:rPr>
                <w:rFonts w:hint="eastAsia" w:eastAsia="仿宋_GB2312" w:cs="Times New Roman"/>
                <w:bCs/>
                <w:sz w:val="24"/>
                <w:szCs w:val="24"/>
              </w:rPr>
              <w:t>1</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农田灌溉水有效利用系数</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0.68</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≥0.7</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12</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城市再生水利用率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30%</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苏州市推进污水资源化利用实施方案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restar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污水收集处理</w:t>
            </w:r>
          </w:p>
        </w:tc>
        <w:tc>
          <w:tcPr>
            <w:tcW w:w="292"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13</w:t>
            </w:r>
          </w:p>
        </w:tc>
        <w:tc>
          <w:tcPr>
            <w:tcW w:w="153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城市生活污水集中收集率</w:t>
            </w:r>
          </w:p>
        </w:tc>
        <w:tc>
          <w:tcPr>
            <w:tcW w:w="618" w:type="pct"/>
            <w:tcBorders>
              <w:top w:val="single" w:color="auto" w:sz="4" w:space="0"/>
              <w:left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99.7%</w:t>
            </w:r>
          </w:p>
        </w:tc>
        <w:tc>
          <w:tcPr>
            <w:tcW w:w="628" w:type="pct"/>
            <w:tcBorders>
              <w:top w:val="single" w:color="auto" w:sz="4" w:space="0"/>
              <w:left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≥99.7%</w:t>
            </w:r>
          </w:p>
        </w:tc>
        <w:tc>
          <w:tcPr>
            <w:tcW w:w="148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14</w:t>
            </w:r>
          </w:p>
        </w:tc>
        <w:tc>
          <w:tcPr>
            <w:tcW w:w="153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农村生活污水治理率</w:t>
            </w:r>
          </w:p>
        </w:tc>
        <w:tc>
          <w:tcPr>
            <w:tcW w:w="618" w:type="pct"/>
            <w:tcBorders>
              <w:top w:val="single" w:color="auto" w:sz="4" w:space="0"/>
              <w:left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90.3%</w:t>
            </w:r>
          </w:p>
        </w:tc>
        <w:tc>
          <w:tcPr>
            <w:tcW w:w="628" w:type="pct"/>
            <w:tcBorders>
              <w:top w:val="single" w:color="auto" w:sz="4" w:space="0"/>
              <w:left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100%</w:t>
            </w:r>
          </w:p>
        </w:tc>
        <w:tc>
          <w:tcPr>
            <w:tcW w:w="148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中共苏州市委办公室关于“十四五”开展农村人居环境整治提升行动全面推进生态宜居美丽乡村建设的实施方案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15</w:t>
            </w:r>
          </w:p>
        </w:tc>
        <w:tc>
          <w:tcPr>
            <w:tcW w:w="153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农村生活污水治理设施运行率</w:t>
            </w:r>
          </w:p>
        </w:tc>
        <w:tc>
          <w:tcPr>
            <w:tcW w:w="618" w:type="pct"/>
            <w:tcBorders>
              <w:top w:val="single" w:color="auto" w:sz="4" w:space="0"/>
              <w:left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88.8%</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≥90%</w:t>
            </w:r>
          </w:p>
        </w:tc>
        <w:tc>
          <w:tcPr>
            <w:tcW w:w="1484" w:type="pc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苏州市农村生活污水治理提质增效实施意见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16</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污水处理厂污泥和管网清疏污泥规范化处理处置率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100%</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江苏省“十四五”城镇供排水与污水处理规划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restar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资源化利用</w:t>
            </w: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17</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农作物秸秆综合利用率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中共苏州市委办公室关于“十四五”开展农村人居环境整治提升行动全面推进生态宜居美丽乡村建设的实施方案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18</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畜禽粪污综合利用率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98.52%</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≥99%</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苏州市“十四五”农业农村现代化发展规划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19</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hint="eastAsia" w:cs="Times New Roman"/>
                <w:sz w:val="24"/>
                <w:szCs w:val="24"/>
              </w:rPr>
              <w:t>园林绿化垃圾资源化利用率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91.8%</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hint="eastAsia" w:eastAsia="仿宋_GB2312" w:cs="Times New Roman"/>
                <w:sz w:val="24"/>
                <w:szCs w:val="24"/>
              </w:rPr>
              <w:t>100%</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苏州市环太湖地区城乡有机废弃物处理利用示范区建设规划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42" w:type="pct"/>
            <w:vMerge w:val="continue"/>
            <w:tcBorders>
              <w:left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p>
        </w:tc>
        <w:tc>
          <w:tcPr>
            <w:tcW w:w="29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bCs/>
                <w:sz w:val="24"/>
                <w:szCs w:val="24"/>
              </w:rPr>
            </w:pPr>
            <w:r>
              <w:rPr>
                <w:rFonts w:hint="eastAsia" w:eastAsia="仿宋_GB2312" w:cs="Times New Roman"/>
                <w:bCs/>
                <w:sz w:val="24"/>
                <w:szCs w:val="24"/>
              </w:rPr>
              <w:t>20</w:t>
            </w:r>
          </w:p>
        </w:tc>
        <w:tc>
          <w:tcPr>
            <w:tcW w:w="153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生活垃圾分类收集与处理设施覆盖率</w:t>
            </w:r>
          </w:p>
        </w:tc>
        <w:tc>
          <w:tcPr>
            <w:tcW w:w="6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62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ind w:firstLine="0" w:firstLineChars="0"/>
              <w:jc w:val="center"/>
              <w:rPr>
                <w:rFonts w:eastAsia="仿宋_GB2312" w:cs="Times New Roman"/>
                <w:sz w:val="24"/>
                <w:szCs w:val="24"/>
              </w:rPr>
            </w:pPr>
            <w:r>
              <w:rPr>
                <w:rFonts w:eastAsia="仿宋_GB2312" w:cs="Times New Roman"/>
                <w:sz w:val="24"/>
                <w:szCs w:val="24"/>
              </w:rPr>
              <w:t>100%</w:t>
            </w:r>
          </w:p>
        </w:tc>
        <w:tc>
          <w:tcPr>
            <w:tcW w:w="1484"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eastAsia="仿宋_GB2312" w:cs="Times New Roman"/>
                <w:sz w:val="24"/>
                <w:szCs w:val="24"/>
              </w:rPr>
            </w:pPr>
            <w:r>
              <w:rPr>
                <w:rFonts w:eastAsia="仿宋_GB2312" w:cs="Times New Roman"/>
                <w:sz w:val="24"/>
                <w:szCs w:val="24"/>
              </w:rPr>
              <w:t>苏州市环太湖地区城乡有机废弃物处理利用示范区建设规划</w:t>
            </w:r>
          </w:p>
        </w:tc>
      </w:tr>
    </w:tbl>
    <w:p>
      <w:pPr>
        <w:pStyle w:val="32"/>
        <w:ind w:firstLine="0" w:firstLineChars="0"/>
        <w:rPr>
          <w:rFonts w:eastAsia="仿宋_GB2312" w:cs="Times New Roman"/>
        </w:rPr>
      </w:pPr>
    </w:p>
    <w:p>
      <w:pPr>
        <w:pStyle w:val="32"/>
        <w:ind w:firstLine="640"/>
        <w:rPr>
          <w:rFonts w:eastAsia="仿宋_GB2312" w:cs="Times New Roman"/>
        </w:rPr>
        <w:sectPr>
          <w:footerReference r:id="rId16" w:type="default"/>
          <w:pgSz w:w="16838" w:h="11906" w:orient="landscape"/>
          <w:pgMar w:top="1588" w:right="2098" w:bottom="1474" w:left="1985" w:header="851" w:footer="1701" w:gutter="0"/>
          <w:cols w:space="425" w:num="1"/>
          <w:docGrid w:type="lines" w:linePitch="435" w:charSpace="0"/>
        </w:sectPr>
      </w:pPr>
    </w:p>
    <w:p>
      <w:pPr>
        <w:pStyle w:val="3"/>
        <w:spacing w:before="217" w:after="217"/>
        <w:jc w:val="center"/>
        <w:rPr>
          <w:rFonts w:cs="Times New Roman"/>
        </w:rPr>
      </w:pPr>
      <w:bookmarkStart w:id="38" w:name="_Toc23934"/>
      <w:r>
        <w:rPr>
          <w:rFonts w:hint="eastAsia" w:cs="Times New Roman"/>
        </w:rPr>
        <w:t xml:space="preserve">第三章 </w:t>
      </w:r>
      <w:r>
        <w:rPr>
          <w:rFonts w:cs="Times New Roman"/>
        </w:rPr>
        <w:t>主要任务</w:t>
      </w:r>
      <w:bookmarkEnd w:id="37"/>
      <w:bookmarkEnd w:id="38"/>
    </w:p>
    <w:p>
      <w:pPr>
        <w:pStyle w:val="4"/>
        <w:spacing w:before="217" w:after="217"/>
        <w:rPr>
          <w:rFonts w:cs="Times New Roman"/>
        </w:rPr>
      </w:pPr>
      <w:bookmarkStart w:id="39" w:name="_Toc110091656"/>
      <w:bookmarkStart w:id="40" w:name="_Toc18867"/>
      <w:bookmarkStart w:id="41" w:name="_Toc109217324"/>
      <w:r>
        <w:rPr>
          <w:rFonts w:cs="Times New Roman"/>
        </w:rPr>
        <w:t>第一节 推动绿色低碳，打造高质量发展新高地</w:t>
      </w:r>
      <w:bookmarkEnd w:id="39"/>
      <w:bookmarkEnd w:id="40"/>
      <w:bookmarkEnd w:id="41"/>
    </w:p>
    <w:p>
      <w:pPr>
        <w:pStyle w:val="5"/>
        <w:spacing w:before="217" w:after="217"/>
        <w:rPr>
          <w:rFonts w:cs="Times New Roman"/>
        </w:rPr>
      </w:pPr>
      <w:bookmarkStart w:id="42" w:name="_Toc29268"/>
      <w:bookmarkStart w:id="43" w:name="_Toc110091657"/>
      <w:r>
        <w:rPr>
          <w:rFonts w:hint="eastAsia" w:cs="Times New Roman"/>
        </w:rPr>
        <w:t>一、引导产业合理布局</w:t>
      </w:r>
      <w:bookmarkEnd w:id="42"/>
      <w:bookmarkEnd w:id="43"/>
    </w:p>
    <w:p>
      <w:pPr>
        <w:widowControl/>
        <w:jc w:val="left"/>
        <w:rPr>
          <w:rFonts w:eastAsia="仿宋_GB2312" w:cs="Times New Roman"/>
        </w:rPr>
      </w:pPr>
      <w:r>
        <w:rPr>
          <w:rFonts w:hint="eastAsia" w:eastAsia="楷体_GB2312" w:cs="Times New Roman"/>
          <w:b/>
        </w:rPr>
        <w:t>推进落后低效产业淘汰和提标改造。</w:t>
      </w:r>
      <w:r>
        <w:rPr>
          <w:rFonts w:eastAsia="仿宋_GB2312" w:cs="Times New Roman"/>
          <w:lang w:val="zh-CN"/>
        </w:rPr>
        <w:t>深入推进供给侧结构性改革“去产能”工作，利用综合标准依法依规淘汰能耗不达标、环保不达标、质量不过关、安全没保障、技术低端落后的企业和项目。</w:t>
      </w:r>
      <w:r>
        <w:rPr>
          <w:rFonts w:hint="eastAsia" w:eastAsia="仿宋_GB2312" w:cs="Times New Roman"/>
        </w:rPr>
        <w:t>推进印染行业环保提标专项整治，提升一批印染企业的污染防治水平，淘汰关停一批治理无望、落后的印染生产企业，鼓励、引导关停退出印染企业12家。</w:t>
      </w:r>
      <w:r>
        <w:rPr>
          <w:rFonts w:eastAsia="仿宋_GB2312" w:cs="Times New Roman"/>
        </w:rPr>
        <w:t>深入开展化工产业安全环保整治提升工作，淘汰低端低效化工生产企业10家，化工企业入园进区率达76%，加强化工园区封闭化管理。以长江干流为重点，积极推进涉水企业清理和综合整治，依法整治园区内不符合产业政策、严重污染环境的生产项目，严禁在长江干支流1公里范围内新建、扩建化工园区和化工企业</w:t>
      </w:r>
      <w:r>
        <w:rPr>
          <w:rFonts w:hint="eastAsia" w:eastAsia="仿宋_GB2312" w:cs="Times New Roman"/>
        </w:rPr>
        <w:t>。</w:t>
      </w:r>
    </w:p>
    <w:p>
      <w:pPr>
        <w:pStyle w:val="46"/>
        <w:ind w:firstLine="640"/>
        <w:rPr>
          <w:rFonts w:eastAsia="仿宋_GB2312" w:cs="Times New Roman"/>
          <w:b/>
          <w:szCs w:val="32"/>
        </w:rPr>
      </w:pPr>
      <w:r>
        <w:rPr>
          <w:rFonts w:eastAsia="楷体_GB2312" w:cs="Times New Roman"/>
          <w:b/>
        </w:rPr>
        <w:t>加快传统产业转型升级。</w:t>
      </w:r>
      <w:r>
        <w:rPr>
          <w:rFonts w:eastAsia="仿宋_GB2312" w:cs="Times New Roman"/>
          <w:szCs w:val="32"/>
          <w:lang w:val="zh-CN"/>
        </w:rPr>
        <w:t>大力发展“农业+旅游”“农业+节会”“农业+文化”“农业+电商”产业发展的新业态，促进生态农业和服务业的融合发展，做强国家级现代农业示范园区，促进现代农业提质增效。坚持智能化、绿色化、品牌化、集群化的发展思路，提升传统产业竞争力。</w:t>
      </w:r>
      <w:r>
        <w:rPr>
          <w:rFonts w:eastAsia="仿宋_GB2312" w:cs="Times New Roman"/>
          <w:szCs w:val="32"/>
        </w:rPr>
        <w:t>推动</w:t>
      </w:r>
      <w:r>
        <w:rPr>
          <w:rFonts w:eastAsia="仿宋_GB2312" w:cs="Times New Roman"/>
          <w:szCs w:val="32"/>
          <w:lang w:val="zh-CN"/>
        </w:rPr>
        <w:t>纺织化纤、</w:t>
      </w:r>
      <w:r>
        <w:rPr>
          <w:rFonts w:eastAsia="仿宋_GB2312" w:cs="Times New Roman"/>
          <w:szCs w:val="32"/>
        </w:rPr>
        <w:t>电力石化等传统产业改造提升。</w:t>
      </w:r>
      <w:r>
        <w:rPr>
          <w:rFonts w:eastAsia="仿宋_GB2312" w:cs="Times New Roman"/>
          <w:szCs w:val="32"/>
          <w:lang w:val="zh-CN"/>
        </w:rPr>
        <w:t>以工业设计和产品创新为先导，推动服务化转型，培育一批自主品牌。积极应用绿色技术，推动化工、电力、造纸等产业绿色化改造，建设国内领先的绿色产业标杆。</w:t>
      </w:r>
    </w:p>
    <w:p>
      <w:pPr>
        <w:rPr>
          <w:rFonts w:eastAsia="仿宋_GB2312" w:cs="Times New Roman"/>
        </w:rPr>
      </w:pPr>
      <w:r>
        <w:rPr>
          <w:rFonts w:eastAsia="楷体_GB2312" w:cs="Times New Roman"/>
          <w:b/>
          <w:szCs w:val="20"/>
        </w:rPr>
        <w:t>严格生态环境准入。</w:t>
      </w:r>
      <w:r>
        <w:rPr>
          <w:rFonts w:eastAsia="仿宋_GB2312" w:cs="Times New Roman"/>
        </w:rPr>
        <w:t>加快“三线一单”落地应用，严守生态保护红线、环境质量底线、资源利用上线，明确区域生态环境准入条件，建立“三线一单”动态更新和调整机制。开展水环境承载力评价，建立空间布局、项目准入的约束机制，调整和实施差别化环境准入政策，因地制宜完善生态环境准入清单，强化准入管理和底线约束。严格控制高耗能高排放行业新增产能规模，严格执行化工、印染、造纸等项目准入政策，加快工业企业实现“一园一档”、“一企一管”，对</w:t>
      </w:r>
      <w:r>
        <w:rPr>
          <w:rFonts w:hint="eastAsia" w:eastAsia="仿宋_GB2312" w:cs="Times New Roman"/>
        </w:rPr>
        <w:t>国、省级</w:t>
      </w:r>
      <w:r>
        <w:rPr>
          <w:rFonts w:eastAsia="仿宋_GB2312" w:cs="Times New Roman"/>
        </w:rPr>
        <w:t>工业园区</w:t>
      </w:r>
      <w:r>
        <w:rPr>
          <w:rFonts w:hint="eastAsia" w:eastAsia="仿宋_GB2312" w:cs="Times New Roman"/>
        </w:rPr>
        <w:t>（太仓港经济技术开发区、太仓港综合保税区、江苏省太仓高新技术产业开发区）</w:t>
      </w:r>
      <w:r>
        <w:rPr>
          <w:rFonts w:eastAsia="仿宋_GB2312" w:cs="Times New Roman"/>
        </w:rPr>
        <w:t>的重点企业分行业（化工、印染、电镀等）污染物排放量进行测量监管评价。实施工业园区生态环境限值限量管理，引导园区和企业主动治污减排。</w:t>
      </w:r>
    </w:p>
    <w:p>
      <w:pPr>
        <w:pStyle w:val="5"/>
        <w:spacing w:before="217" w:after="217"/>
        <w:rPr>
          <w:rFonts w:cs="Times New Roman"/>
        </w:rPr>
      </w:pPr>
      <w:bookmarkStart w:id="44" w:name="_Toc32543"/>
      <w:bookmarkStart w:id="45" w:name="_Toc110091658"/>
      <w:r>
        <w:rPr>
          <w:rFonts w:hint="eastAsia" w:cs="Times New Roman"/>
        </w:rPr>
        <w:t>二、加快制造业绿色化改造</w:t>
      </w:r>
      <w:bookmarkEnd w:id="44"/>
      <w:bookmarkEnd w:id="45"/>
    </w:p>
    <w:p>
      <w:pPr>
        <w:pStyle w:val="46"/>
        <w:ind w:firstLine="640"/>
        <w:jc w:val="left"/>
        <w:rPr>
          <w:rFonts w:eastAsia="仿宋_GB2312" w:cs="Times New Roman"/>
          <w:szCs w:val="32"/>
        </w:rPr>
      </w:pPr>
      <w:r>
        <w:rPr>
          <w:rFonts w:eastAsia="楷体_GB2312" w:cs="Times New Roman"/>
          <w:b/>
          <w:szCs w:val="32"/>
        </w:rPr>
        <w:t>推动产业链绿色发展。</w:t>
      </w:r>
      <w:r>
        <w:rPr>
          <w:rFonts w:eastAsia="仿宋_GB2312" w:cs="Times New Roman"/>
          <w:szCs w:val="32"/>
          <w:lang w:val="zh-CN"/>
        </w:rPr>
        <w:t>大力发展节能环保、清洁能源产业，推进节能产品、节能产业、节能商业模式创新，培育省级以上“绿色工厂”“绿色产品”。推动产业园区循环化绿色发展，采用绿色低碳循环技术，实施园区循环化改造提升工程及生态工业园区创建，推动企业循环式生产、产业循环式组合，搭建资源共享、废物处理公共平台，提高能源资源综合利用效率，全面推进“绿岛”建设，实现园区污染共治、利益共享、风险共担。</w:t>
      </w:r>
      <w:r>
        <w:rPr>
          <w:rFonts w:eastAsia="仿宋_GB2312" w:cs="Times New Roman"/>
          <w:szCs w:val="32"/>
        </w:rPr>
        <w:t>支持企业实施绿色战略、绿色标准、绿色管理和绿色生产等体系改造建设，分领域打造一批具有行业推广示范的绿色工厂；积极推动园区企业间和企业内部的循环链条培育延伸，探索建立资源联供、产品联产和产业耦合共生的循环经济发展模式，争取打造一批国家级绿色示范园区；推行可持续的绿色供应链管理战略，实施绿色伙伴式供应商管理，培育一批绿色供应链示范企业。</w:t>
      </w:r>
    </w:p>
    <w:p>
      <w:pPr>
        <w:pStyle w:val="46"/>
        <w:ind w:firstLine="640"/>
        <w:jc w:val="left"/>
        <w:rPr>
          <w:rFonts w:eastAsia="仿宋_GB2312" w:cs="Times New Roman"/>
          <w:szCs w:val="32"/>
        </w:rPr>
      </w:pPr>
      <w:r>
        <w:rPr>
          <w:rFonts w:eastAsia="楷体_GB2312" w:cs="Times New Roman"/>
          <w:b/>
          <w:szCs w:val="32"/>
        </w:rPr>
        <w:t>打造绿色发展示范带。</w:t>
      </w:r>
      <w:r>
        <w:rPr>
          <w:rFonts w:eastAsia="仿宋_GB2312" w:cs="Times New Roman"/>
          <w:szCs w:val="32"/>
        </w:rPr>
        <w:t>严把建设项目环境准入关，严格执行化工、印染、造纸等项目准入政策，加快破解“重化围江”难题。推进港区化工园区提档升级，大力发展节能环保、循环再生、清洁能源等产业。完善绿色金融支持体系，引导节能环保、清洁生产、静脉产业、绿色服务等产业形成规模优势。优化升级化工码头，引导货主码头公用化。主动承接长江经济带运输需求，打造江海联动国际物流中心和江海联运中转枢纽。</w:t>
      </w:r>
    </w:p>
    <w:p>
      <w:pPr>
        <w:pStyle w:val="2"/>
        <w:jc w:val="left"/>
        <w:rPr>
          <w:rFonts w:eastAsia="仿宋_GB2312" w:cs="Times New Roman"/>
        </w:rPr>
      </w:pPr>
      <w:r>
        <w:rPr>
          <w:rFonts w:eastAsia="楷体_GB2312" w:cs="Times New Roman"/>
          <w:b/>
        </w:rPr>
        <w:t>加快农业绿色发展。</w:t>
      </w:r>
      <w:r>
        <w:rPr>
          <w:rFonts w:eastAsia="仿宋_GB2312" w:cs="Times New Roman"/>
        </w:rPr>
        <w:t>大力发展生态农业和智慧农业，对连片农业区，通过在汇水区监测，实现单位面积农田或单位种植业产出污染物排放量削减。提高畜禽粪污资源化利用水平，推进农作物秸杆综合利用，加强农膜污染治理，推进退化耕地综合治理。实施农药、兽用抗菌药使用减量和产地环境净化行动。依法加强养殖水域滩涂统一规划，推行水产健康养殖，完善相关水域禁渔管理制度。大力推进农业节水，推广高效节水技术，推行农业灌溉用水总量控制和定额管理，强化农业取水许可管理，全面推进农业水价综合改革。到2022年，绿色优质农产品比重及农产品质量可追溯率达到80%，</w:t>
      </w:r>
      <w:r>
        <w:rPr>
          <w:rFonts w:hint="eastAsia" w:eastAsia="仿宋_GB2312" w:cs="Times New Roman"/>
        </w:rPr>
        <w:t>长江</w:t>
      </w:r>
      <w:r>
        <w:rPr>
          <w:rFonts w:eastAsia="仿宋_GB2312" w:cs="Times New Roman"/>
        </w:rPr>
        <w:t>水域、重要生态环境保护区等轮作休耕、休渔实现全覆盖。</w:t>
      </w:r>
    </w:p>
    <w:p>
      <w:pPr>
        <w:pStyle w:val="5"/>
        <w:spacing w:before="217" w:after="217"/>
        <w:rPr>
          <w:rFonts w:cs="Times New Roman"/>
        </w:rPr>
      </w:pPr>
      <w:bookmarkStart w:id="46" w:name="_Toc6504"/>
      <w:bookmarkStart w:id="47" w:name="_Toc107566044"/>
      <w:bookmarkStart w:id="48" w:name="_Toc110091659"/>
      <w:bookmarkStart w:id="49" w:name="_Toc110091662"/>
      <w:bookmarkStart w:id="50" w:name="_Toc109217325"/>
      <w:r>
        <w:rPr>
          <w:rFonts w:hint="eastAsia" w:cs="Times New Roman"/>
        </w:rPr>
        <w:t>三、推进现代化生态城市建设</w:t>
      </w:r>
      <w:bookmarkEnd w:id="46"/>
    </w:p>
    <w:p>
      <w:pPr>
        <w:spacing w:line="590" w:lineRule="exact"/>
        <w:jc w:val="left"/>
        <w:rPr>
          <w:rFonts w:eastAsia="仿宋_GB2312"/>
        </w:rPr>
      </w:pPr>
      <w:r>
        <w:rPr>
          <w:rFonts w:hint="eastAsia" w:eastAsia="楷体_GB2312" w:cs="Times New Roman"/>
          <w:b/>
        </w:rPr>
        <w:t>着力优化城市空间布局。</w:t>
      </w:r>
      <w:r>
        <w:rPr>
          <w:rFonts w:hint="eastAsia" w:eastAsia="仿宋_GB2312"/>
        </w:rPr>
        <w:t>围绕现代田园城市建设目标，优化调整区域功能定位，科学划定城镇、农业、生态空间，严守生态保护红线、永久基本农田、城镇开发边界三条控制线，</w:t>
      </w:r>
      <w:r>
        <w:rPr>
          <w:rFonts w:eastAsia="仿宋_GB2312"/>
        </w:rPr>
        <w:t>构建</w:t>
      </w:r>
      <w:r>
        <w:rPr>
          <w:rFonts w:hint="eastAsia" w:eastAsia="仿宋_GB2312"/>
        </w:rPr>
        <w:t>安全和谐、富有竞争力和可持续发展的空间体系，生态空间保护区域</w:t>
      </w:r>
      <w:r>
        <w:rPr>
          <w:rFonts w:eastAsia="仿宋_GB2312"/>
        </w:rPr>
        <w:t>面积占国土面积比例保持不低于18.1</w:t>
      </w:r>
      <w:r>
        <w:rPr>
          <w:rFonts w:hint="eastAsia" w:eastAsia="仿宋_GB2312"/>
        </w:rPr>
        <w:t>5%。以生产空间集约高效、生活空间宜居适度、生态空间水清岸绿为目标，深化太仓市主城、港城“双城驱动”，强化沿江、沿沪区位优势，构建“双心驱动、多级带动”的全域发展城镇空间格局。</w:t>
      </w:r>
    </w:p>
    <w:p>
      <w:pPr>
        <w:spacing w:line="590" w:lineRule="exact"/>
        <w:jc w:val="left"/>
        <w:rPr>
          <w:rFonts w:eastAsia="仿宋_GB2312"/>
        </w:rPr>
      </w:pPr>
      <w:r>
        <w:rPr>
          <w:rFonts w:hint="eastAsia" w:eastAsia="楷体_GB2312" w:cs="Times New Roman"/>
          <w:b/>
        </w:rPr>
        <w:t>推进产城融合循环发展。</w:t>
      </w:r>
      <w:r>
        <w:rPr>
          <w:rFonts w:hint="eastAsia" w:eastAsia="仿宋_GB2312"/>
        </w:rPr>
        <w:t>以主城为市域发展主中心，港城为市域发展副中心，引领全市高质量发展。主中心定位为太仓沿沪区域发展核心，以娄江新城为重点，同步优化老城区功能布局，深度促进与高新区产城融合循环发展，创新现代城市治理模式，全面引领城市品质提升和转型发展，建设成为具有竞争力的幸福宜居城市。副中心定位为太仓沿江区域发展核心，重点突出临港产业特色，提升产业发展规模及效益，深度推动港口与产业互动发展、沿江与腹地联动发展、制造业与服务业协调发展，建设成为国际化现代港口城市。以片区差异化发展促进全域城镇化，强化主城带动作用，推动重点乡镇特色化发展，形成主城和乡镇联动发展的空间格局。</w:t>
      </w:r>
    </w:p>
    <w:p>
      <w:pPr>
        <w:pStyle w:val="5"/>
        <w:spacing w:before="217" w:after="217"/>
        <w:rPr>
          <w:rFonts w:cs="Times New Roman"/>
        </w:rPr>
      </w:pPr>
      <w:bookmarkStart w:id="51" w:name="_Toc19077"/>
      <w:r>
        <w:rPr>
          <w:rFonts w:hint="eastAsia" w:cs="Times New Roman"/>
        </w:rPr>
        <w:t>四、</w:t>
      </w:r>
      <w:bookmarkEnd w:id="47"/>
      <w:bookmarkEnd w:id="48"/>
      <w:r>
        <w:rPr>
          <w:rFonts w:hint="eastAsia" w:cs="Times New Roman"/>
        </w:rPr>
        <w:t>打造太湖流域最美乡村</w:t>
      </w:r>
      <w:bookmarkEnd w:id="51"/>
    </w:p>
    <w:p>
      <w:pPr>
        <w:rPr>
          <w:rFonts w:eastAsia="仿宋_GB2312" w:cs="Times New Roman"/>
        </w:rPr>
      </w:pPr>
      <w:r>
        <w:rPr>
          <w:rFonts w:hint="eastAsia" w:eastAsia="楷体_GB2312" w:cs="Times New Roman"/>
          <w:b/>
        </w:rPr>
        <w:t>推进美丽镇村建设。</w:t>
      </w:r>
      <w:r>
        <w:rPr>
          <w:rFonts w:hint="eastAsia" w:eastAsia="仿宋_GB2312" w:cs="Times New Roman"/>
        </w:rPr>
        <w:t>构建由特色精品乡村、特色康居乡村、特色宜居乡村三类建设标准组成的特色田园乡村建设体系。加强被撤并镇(管理区)长效管理。强化古村落、传统村落保护，开展农业遗迹保护行动。推行设计师“驻村”服务制度，提升乡村规划建设水平。完善农房建设管理机制，引导农村居民有序开展农房翻建改建，建设新型农村社区。到2022年，全市培育建设1个特色精品示范区、14个特色精品乡村，聚提升类和特色保护类村庄基本建成特色康居乡村，城郊融合类和其他一般类村庄基本建成特色宜居乡村开展一批美丽宜居乡村建设，到2025年，全市域初步建成生态宜居的美丽乡村。</w:t>
      </w:r>
    </w:p>
    <w:p>
      <w:pPr>
        <w:rPr>
          <w:rFonts w:eastAsia="仿宋_GB2312" w:cs="Times New Roman"/>
        </w:rPr>
      </w:pPr>
      <w:bookmarkStart w:id="52" w:name="_Toc72601972"/>
      <w:r>
        <w:rPr>
          <w:rFonts w:eastAsia="楷体_GB2312" w:cs="Times New Roman"/>
          <w:b/>
        </w:rPr>
        <w:t>建设美丽宜居乡村环境</w:t>
      </w:r>
      <w:bookmarkEnd w:id="52"/>
      <w:r>
        <w:rPr>
          <w:rFonts w:eastAsia="楷体_GB2312" w:cs="Times New Roman"/>
          <w:b/>
        </w:rPr>
        <w:t>。</w:t>
      </w:r>
      <w:r>
        <w:rPr>
          <w:rFonts w:eastAsia="仿宋_GB2312" w:cs="Times New Roman"/>
        </w:rPr>
        <w:t>以村旁、宅旁、路旁、水旁为重点，优先选用乡土树种，推进村庄绿化美化。优化完善镇村布局规划，统筹考虑土地利用、产业发展、居民点建设、人居环境整治和生态保护等，合理安排农村基础设施和公益设施，引导农村居民自愿适度集中居住。深入开展村庄清洁行动，清理积存垃圾、河塘沟渠、农业废弃物和无保护价值残垣断壁，加强乡村公共空间治理，加快改变农民生活习惯。加强传统村落保护，注重传统空间形态、建筑保护和文化传承，做好重要空间、建筑和环境设计。加大特色田园乡村建设力度，打造具有全国影响力的太仓乡村建设行动品牌。</w:t>
      </w:r>
    </w:p>
    <w:p>
      <w:pPr>
        <w:pStyle w:val="2"/>
        <w:jc w:val="left"/>
      </w:pPr>
      <w:r>
        <w:rPr>
          <w:rFonts w:hint="eastAsia" w:eastAsia="楷体_GB2312" w:cs="Times New Roman"/>
          <w:b/>
        </w:rPr>
        <w:t>推动生态产业发展。</w:t>
      </w:r>
      <w:r>
        <w:rPr>
          <w:rFonts w:eastAsia="仿宋_GB2312" w:cs="Times New Roman"/>
        </w:rPr>
        <w:t>到2022年，围绕“农业绿色化，生产循环化，环境生态化”的总体目标，依托太仓优质稻米产业，构建以优质稻米为主导，果蔬种植、畜禽养殖、水产养殖等为配套，农产品物流加工及农业休闲观光为提升的绿色循环农业产业发展体系。构建辐射带动有力的省级现代农业产业示范园，</w:t>
      </w:r>
      <w:r>
        <w:rPr>
          <w:rFonts w:eastAsia="仿宋_GB2312" w:cs="Times New Roman"/>
          <w:kern w:val="0"/>
        </w:rPr>
        <w:t>建设约1万平方米的8米高智能多温层冷库和常温库，建成农产品冷链物流中心；建设2000亩扣成蟹养殖示范区，建成从蟹苗--扣蟹--成蟹完整产业链；实施东林菌菇文化产业发展项目，新建改造菇房5000平方米及配套；开展塘桥蔬菜基地提档建设，提升园区基础设施水平。</w:t>
      </w:r>
      <w:r>
        <w:rPr>
          <w:rFonts w:eastAsia="仿宋_GB2312" w:cs="Times New Roman"/>
        </w:rPr>
        <w:t>围绕示范园主导产业，规划形成“一环两核三区三园”的空间布局。到2025年，将示范园打造成一二三产融合发展的国家级现代农业产业园。</w:t>
      </w:r>
    </w:p>
    <w:p>
      <w:pPr>
        <w:pStyle w:val="5"/>
        <w:spacing w:before="217" w:after="217"/>
        <w:rPr>
          <w:rFonts w:cs="Times New Roman"/>
        </w:rPr>
      </w:pPr>
      <w:bookmarkStart w:id="53" w:name="_Toc12659"/>
      <w:bookmarkStart w:id="54" w:name="_Toc110091661"/>
      <w:bookmarkStart w:id="55" w:name="_Toc107566059"/>
      <w:r>
        <w:rPr>
          <w:rFonts w:hint="eastAsia" w:cs="Times New Roman"/>
        </w:rPr>
        <w:t>五、推行生态低碳生产生活方式</w:t>
      </w:r>
      <w:bookmarkEnd w:id="53"/>
      <w:bookmarkEnd w:id="54"/>
      <w:bookmarkEnd w:id="55"/>
    </w:p>
    <w:p>
      <w:pPr>
        <w:rPr>
          <w:rFonts w:eastAsia="仿宋_GB2312" w:cs="Times New Roman"/>
          <w:lang w:val="zh-CN"/>
        </w:rPr>
      </w:pPr>
      <w:r>
        <w:rPr>
          <w:rFonts w:eastAsia="楷体_GB2312" w:cs="Times New Roman"/>
          <w:b/>
        </w:rPr>
        <w:t>持续降低工业碳排放。</w:t>
      </w:r>
      <w:r>
        <w:rPr>
          <w:rFonts w:eastAsia="仿宋_GB2312" w:cs="Times New Roman"/>
          <w:lang w:val="zh-CN"/>
        </w:rPr>
        <w:t>严格控制电力、钢铁、纺织、造纸、化工、建材等重点高耗能行业和高耗能企业温室气体排放总量，积极开展碳排放对标活动，有效降低单位产品碳排放强度。以先进适用技术和关键共性技术为重点，积极推广低碳新工艺、新技术，支持采取原料替代、生产工艺改善、设备改进等措施减少工业过程温室气体排放。加强企业碳排放管理体系建设，强化从原料到产品的全过程碳排放管理。加快推进汽车、电器等用能产品及日用消费品的低碳产品认证工作。</w:t>
      </w:r>
    </w:p>
    <w:p>
      <w:pPr>
        <w:rPr>
          <w:rFonts w:eastAsia="仿宋_GB2312" w:cs="Times New Roman"/>
        </w:rPr>
      </w:pPr>
      <w:r>
        <w:rPr>
          <w:rFonts w:eastAsia="楷体_GB2312" w:cs="Times New Roman"/>
          <w:b/>
        </w:rPr>
        <w:t>推进农业低碳融合发展。</w:t>
      </w:r>
      <w:r>
        <w:rPr>
          <w:rFonts w:eastAsia="仿宋_GB2312" w:cs="Times New Roman"/>
          <w:lang w:val="zh-CN"/>
        </w:rPr>
        <w:t>深化实施农业绿色发展行动，开展低碳农业试点示范，推广农业循环生产方式。</w:t>
      </w:r>
      <w:r>
        <w:rPr>
          <w:rFonts w:eastAsia="仿宋_GB2312" w:cs="Times New Roman"/>
        </w:rPr>
        <w:t>持续推进化肥使用减量增效，深入实施测土配方施肥，鼓励使用有机肥、生物肥和种植绿肥。加大生物农药推广力度，强化农药科学使用指导，提升统防统治覆盖率，持续推进绿色防控示范区建设。加强高捕碳固碳作物种类筛选，实施作物品种替代，研发生物质炭土壤固碳技术，提高土壤有机质含量，增强农田土壤生态系统长期固碳能力。加强畜禽养殖场畜禽温室气体排放控制和大中型沼气工程建设指导工作。</w:t>
      </w:r>
    </w:p>
    <w:p>
      <w:pPr>
        <w:rPr>
          <w:rFonts w:eastAsia="仿宋_GB2312" w:cs="Times New Roman"/>
          <w:lang w:val="zh-CN"/>
        </w:rPr>
      </w:pPr>
      <w:r>
        <w:rPr>
          <w:rFonts w:eastAsia="楷体_GB2312" w:cs="Times New Roman"/>
          <w:b/>
        </w:rPr>
        <w:t>全面倡导绿色低碳生活。</w:t>
      </w:r>
      <w:r>
        <w:rPr>
          <w:rFonts w:eastAsia="仿宋_GB2312" w:cs="Times New Roman"/>
          <w:lang w:val="zh-CN"/>
        </w:rPr>
        <w:t>加强绿色消费行为引导，推广节能、可再生能源等新技术和节能低碳节水产品应用，反对过度包装。科学制定绿色消费产品采购指南，进一步扩大节能和环境标志产品政府采购范围，确保列入政府采购目录的绿色产品占到50%以上。提倡低碳餐饮，鼓励食用绿色无公害食品，积极推行“光盘行动”，遏制食品浪费。倡导低碳居住，鼓励使用节电型电器和照明产品。积极开展绿色出行创建行动，组织实施绿色出行碳积分激励工程，倡导绿色低碳出行方式，推进公交车绿色化，货运车辆专业化、绿色化，港口、船舶清洁化。发展装配式建筑，提高新建绿色建筑比例。2025年，实现原生生活垃圾零填埋，城市生活垃圾回收利用率达35%以上，积极争创“无废城市”。</w:t>
      </w:r>
    </w:p>
    <w:p>
      <w:pPr>
        <w:pStyle w:val="4"/>
        <w:spacing w:before="217" w:after="217"/>
        <w:rPr>
          <w:rFonts w:cs="Times New Roman"/>
        </w:rPr>
      </w:pPr>
      <w:bookmarkStart w:id="56" w:name="_Toc24392"/>
      <w:r>
        <w:rPr>
          <w:rFonts w:cs="Times New Roman"/>
        </w:rPr>
        <w:t>第二节 深化控源截污，不断提升污染治理水平</w:t>
      </w:r>
      <w:bookmarkEnd w:id="49"/>
      <w:bookmarkEnd w:id="50"/>
      <w:bookmarkEnd w:id="56"/>
    </w:p>
    <w:p>
      <w:pPr>
        <w:pStyle w:val="5"/>
        <w:spacing w:before="217" w:after="217"/>
        <w:rPr>
          <w:rFonts w:cs="Times New Roman"/>
        </w:rPr>
      </w:pPr>
      <w:bookmarkStart w:id="57" w:name="_Toc31130"/>
      <w:bookmarkStart w:id="58" w:name="_Toc110091663"/>
      <w:bookmarkStart w:id="59" w:name="_Toc107566046"/>
      <w:r>
        <w:rPr>
          <w:rFonts w:hint="eastAsia" w:cs="Times New Roman"/>
        </w:rPr>
        <w:t>一、系统推进入河（湖）排污口排查整治</w:t>
      </w:r>
      <w:bookmarkEnd w:id="57"/>
      <w:bookmarkEnd w:id="58"/>
      <w:bookmarkEnd w:id="59"/>
    </w:p>
    <w:p>
      <w:pPr>
        <w:rPr>
          <w:rFonts w:eastAsia="仿宋_GB2312" w:cs="Times New Roman"/>
        </w:rPr>
      </w:pPr>
      <w:r>
        <w:rPr>
          <w:rFonts w:eastAsia="仿宋_GB2312" w:cs="Times New Roman"/>
        </w:rPr>
        <w:t>在开展长江沿岸试点排查的基础上，持续开展太湖流域入河排污口排查、监测、溯源、整治工作，建立工作规范体系，落实责任主体，形成权责清晰、监控到位、管理规范的入河排污口监管体系。</w:t>
      </w:r>
      <w:r>
        <w:rPr>
          <w:rFonts w:hint="eastAsia" w:eastAsia="仿宋_GB2312" w:cs="Times New Roman"/>
        </w:rPr>
        <w:t>根据《江苏省太湖流域入河（湖）排污口排查整治专项行动工作方案》和《苏州市太湖流域入河（湖）排污口排查整治专项行动工作方案》要求，</w:t>
      </w:r>
      <w:r>
        <w:rPr>
          <w:rFonts w:eastAsia="仿宋_GB2312" w:cs="Times New Roman"/>
        </w:rPr>
        <w:t>2021年底前，全面完成入河排污口排查、监测、溯源工作，完成排污口分类命名并编码，按“一口一策”工作原则，制定排污口整治方案。排查范围包括7条河流，根据河道级别确定向陆域延伸的距离，具体范围为：杨林塘、浏河塘、新七浦塘、老七浦塘为3级河道，各向两侧延伸200米；盐铁塘、石头塘、十八港为4~6级河道，各向两侧延伸100米。排查范围应根据产业布局、排污特征等实际情况适当扩大，沿河工业园区、畜禽养殖等要全覆盖。排查对象为所有通过管道、沟、渠、涵闸、隧洞等直接向河道排放废水的排污口，还包括所有通过河流、湿地等间接排放废水的排污口。</w:t>
      </w:r>
    </w:p>
    <w:p>
      <w:pPr>
        <w:rPr>
          <w:rFonts w:eastAsia="仿宋_GB2312" w:cs="Times New Roman"/>
        </w:rPr>
      </w:pPr>
      <w:r>
        <w:rPr>
          <w:rFonts w:eastAsia="仿宋_GB2312" w:cs="Times New Roman"/>
        </w:rPr>
        <w:t>“十四五”期间持续推进入河（湖）排污口整治工作，按照“取缔一批、合并一批、规范一批”要求，实施入河排污口分类整治。建立排污口整治销号制度，形成需要保留的排污口清单，开展日常监督管理。通过系统治理、分类施策、精准整治，有效管控各类入河排污口。根据省入河排污口设置审核分级分类目录，依法依规开展排污口设置审核或备案。推进排污口与断面水环境质量联动管理，形成全链条管理体系。</w:t>
      </w:r>
    </w:p>
    <w:p>
      <w:pPr>
        <w:pStyle w:val="5"/>
        <w:spacing w:before="217" w:after="217"/>
        <w:rPr>
          <w:rFonts w:cs="Times New Roman"/>
        </w:rPr>
      </w:pPr>
      <w:bookmarkStart w:id="60" w:name="_Toc110091664"/>
      <w:bookmarkStart w:id="61" w:name="_Toc107566047"/>
      <w:bookmarkStart w:id="62" w:name="_Toc7197"/>
      <w:r>
        <w:rPr>
          <w:rFonts w:hint="eastAsia" w:cs="Times New Roman"/>
        </w:rPr>
        <w:t>二、强化工业污染综合治理</w:t>
      </w:r>
      <w:bookmarkEnd w:id="60"/>
      <w:bookmarkEnd w:id="61"/>
      <w:bookmarkEnd w:id="62"/>
    </w:p>
    <w:p>
      <w:pPr>
        <w:rPr>
          <w:rFonts w:eastAsia="仿宋_GB2312" w:cs="Times New Roman"/>
        </w:rPr>
      </w:pPr>
      <w:r>
        <w:rPr>
          <w:rFonts w:hint="eastAsia" w:eastAsia="楷体_GB2312" w:cs="Times New Roman"/>
          <w:b/>
          <w:bCs/>
        </w:rPr>
        <w:t>推进工业和城镇污水分开收集分质处理。</w:t>
      </w:r>
      <w:r>
        <w:rPr>
          <w:rFonts w:hint="eastAsia" w:eastAsia="仿宋_GB2312" w:cs="Times New Roman"/>
        </w:rPr>
        <w:t>新建、改建、扩建的化工、电镀、印染、钢铁、电子等工业企业，不得排入城镇污水集中收集处理设施。已接入城镇污水收集处理设施的重点行业工业企业组织全面排查评估，经评估认定不能接入的，限期退出；认定可以接入的，须预处理达标后方可接入。接管企业应依法取得排污许可和排水许可，出水应与城镇污水处理厂联网实时监控。大力推进印染、化工、造纸、钢铁、电镀、食品（啤酒、味精）等重点行业企业废水深度处理，加快推进太湖三级保护区内重点行业污水处理设施参照《太湖地区城镇污水处理厂及重点工业行业主要水污染物排放限值》（DB 32/1072-2018）一、二级保护区内主要水污染物排放限值开展提标改造。加快推进工业废水与生活污水分类收集、分质处理，到2024年实现应分尽分；到2025年，实现工业废水与生活污水分类收集、分质处理。</w:t>
      </w:r>
    </w:p>
    <w:p>
      <w:pPr>
        <w:pStyle w:val="2"/>
        <w:jc w:val="left"/>
      </w:pPr>
      <w:r>
        <w:rPr>
          <w:rFonts w:hint="eastAsia" w:eastAsia="楷体_GB2312" w:cs="Times New Roman"/>
          <w:b/>
        </w:rPr>
        <w:t>推进涉磷企业调查整治。</w:t>
      </w:r>
      <w:r>
        <w:rPr>
          <w:rFonts w:hint="eastAsia" w:ascii="仿宋_GB2312" w:hAnsi="仿宋_GB2312" w:eastAsia="仿宋_GB2312" w:cs="仿宋_GB2312"/>
          <w:szCs w:val="28"/>
        </w:rPr>
        <w:t>不断加强涉磷企业清单</w:t>
      </w:r>
      <w:r>
        <w:rPr>
          <w:rFonts w:eastAsia="仿宋_GB2312" w:cs="Times New Roman"/>
          <w:szCs w:val="28"/>
        </w:rPr>
        <w:t>调</w:t>
      </w:r>
      <w:r>
        <w:rPr>
          <w:rFonts w:hint="eastAsia" w:ascii="仿宋_GB2312" w:hAnsi="仿宋_GB2312" w:eastAsia="仿宋_GB2312" w:cs="仿宋_GB2312"/>
          <w:szCs w:val="28"/>
        </w:rPr>
        <w:t>整，对涉磷清单实施动态管理</w:t>
      </w:r>
      <w:r>
        <w:rPr>
          <w:rFonts w:eastAsia="仿宋_GB2312" w:cs="Times New Roman"/>
          <w:szCs w:val="28"/>
        </w:rPr>
        <w:t>。重点关注表面处理、印染、食品加工、机械加工等行业，聚焦重点工段，全面核查企业涉磷原辅料的储存、使用情况，“一企一策”推进分类整治。构建企业数字化“磷账本”和区域“磷清单”制度。探索推进表面处理、机械加工等工业园区（集聚区）建设含磷含氮工业废水、危废收集贮存和处理处置的“工业绿岛”。到2022年，完成40%涉磷企业整治，实现涉磷企业清单化动态管理，清单外的涉磷项目，严格执行《江苏省太湖水污染防治条例》规定，限期关闭搬迁。到2025年，涉磷企业标准化、规范化整治基本完成。</w:t>
      </w:r>
    </w:p>
    <w:p>
      <w:pPr>
        <w:rPr>
          <w:rFonts w:eastAsia="仿宋_GB2312" w:cs="Times New Roman"/>
        </w:rPr>
      </w:pPr>
      <w:r>
        <w:rPr>
          <w:rFonts w:hint="eastAsia" w:eastAsia="楷体_GB2312" w:cs="Times New Roman"/>
          <w:b/>
          <w:bCs/>
        </w:rPr>
        <w:t>提升工业园区污染治理水平。</w:t>
      </w:r>
      <w:r>
        <w:rPr>
          <w:rFonts w:hint="eastAsia" w:eastAsia="仿宋_GB2312" w:cs="Times New Roman"/>
        </w:rPr>
        <w:t>加快推进工业园区（集聚区）配套建设专业的废水处理厂，完善污水管网建设，提升工业园区（集聚区）工业废水收集、处理能力。到2022年，在沙溪镇新建</w:t>
      </w:r>
      <w:r>
        <w:rPr>
          <w:rFonts w:eastAsia="仿宋_GB2312" w:cs="Times New Roman"/>
        </w:rPr>
        <w:t>处理规模2万立方米/天</w:t>
      </w:r>
      <w:r>
        <w:rPr>
          <w:rFonts w:hint="eastAsia" w:eastAsia="仿宋_GB2312" w:cs="Times New Roman"/>
        </w:rPr>
        <w:t>的</w:t>
      </w:r>
      <w:r>
        <w:rPr>
          <w:rFonts w:eastAsia="仿宋_GB2312" w:cs="Times New Roman"/>
        </w:rPr>
        <w:t>工业污水处理厂</w:t>
      </w:r>
      <w:r>
        <w:rPr>
          <w:rFonts w:hint="eastAsia" w:eastAsia="仿宋_GB2312" w:cs="Times New Roman"/>
        </w:rPr>
        <w:t>一座，到2025年，在璜泾镇新建处理规模1万吨/日的工业污水处理厂一座。</w:t>
      </w:r>
      <w:r>
        <w:rPr>
          <w:rFonts w:eastAsia="仿宋_GB2312" w:cs="Times New Roman"/>
        </w:rPr>
        <w:t>省级及以上工业园区实现污水管网全覆盖、污水集中处理设施稳定达标运行。国家级工业园区（太仓港经济技术开发区（港区化工区）、太仓港综合保税区</w:t>
      </w:r>
      <w:r>
        <w:rPr>
          <w:rFonts w:hint="eastAsia" w:eastAsia="仿宋_GB2312" w:cs="Times New Roman"/>
        </w:rPr>
        <w:t>）</w:t>
      </w:r>
      <w:r>
        <w:rPr>
          <w:rFonts w:eastAsia="仿宋_GB2312" w:cs="Times New Roman"/>
        </w:rPr>
        <w:t>污水处理设施在专项整治工作的基础上，编制完成专项整治核查报告。</w:t>
      </w:r>
      <w:r>
        <w:rPr>
          <w:rFonts w:hint="eastAsia" w:eastAsia="仿宋_GB2312" w:cs="Times New Roman"/>
        </w:rPr>
        <w:t>全面推进工业园区污染物排放限值限量管理工作，“一园一策”编制实施方案。分阶段推进纳入</w:t>
      </w:r>
      <w:r>
        <w:rPr>
          <w:rFonts w:eastAsia="仿宋_GB2312" w:cs="Times New Roman"/>
        </w:rPr>
        <w:t>“</w:t>
      </w:r>
      <w:r>
        <w:rPr>
          <w:rFonts w:hint="eastAsia" w:eastAsia="仿宋_GB2312" w:cs="Times New Roman"/>
        </w:rPr>
        <w:t>三线一单</w:t>
      </w:r>
      <w:r>
        <w:rPr>
          <w:rFonts w:eastAsia="仿宋_GB2312" w:cs="Times New Roman"/>
        </w:rPr>
        <w:t>”</w:t>
      </w:r>
      <w:r>
        <w:rPr>
          <w:rFonts w:hint="eastAsia" w:eastAsia="仿宋_GB2312" w:cs="Times New Roman"/>
        </w:rPr>
        <w:t>管控单元的各级各类工业园区污染物排放限值限量管理，按“一园一策”方式编制工业园区污染物排放限值限量管理实施方案，建立完善工业园区生态环境监测监控能力，有效实施以环境质量为核心、以污染物排放总量为主要控制手段的环境管理，强化源头管控和末端污染治理。</w:t>
      </w:r>
      <w:r>
        <w:rPr>
          <w:rFonts w:eastAsia="仿宋_GB2312" w:cs="Times New Roman"/>
        </w:rPr>
        <w:t>2021年率先在太仓港经济技术开发区、江苏省太仓高新技术产业开发区及太仓港经济技术开发区化工园区开展限值限量管理，2022年全面推进市级及以下工业园区污染物排放限值限量管理，根据管理成效对县乡级工业集中区分类提出优化整合提升措施。</w:t>
      </w:r>
    </w:p>
    <w:p>
      <w:pPr>
        <w:rPr>
          <w:rFonts w:eastAsia="仿宋_GB2312" w:cs="Times New Roman"/>
        </w:rPr>
      </w:pPr>
      <w:r>
        <w:rPr>
          <w:rFonts w:eastAsia="楷体_GB2312" w:cs="Times New Roman"/>
          <w:b/>
          <w:bCs/>
        </w:rPr>
        <w:t>加强工业企业排水整治。</w:t>
      </w:r>
      <w:r>
        <w:rPr>
          <w:rFonts w:eastAsia="仿宋_GB2312" w:cs="Times New Roman"/>
        </w:rPr>
        <w:t>建立工业园区污水集中处理设施进水浓度异常等突出问题清单，排查工业园区污水管网老旧破损、混接错接等情况，查明问题原因并开展整治，实施清单管理、动态销号。开展工业集聚区、工业企业内部雨污分流改造，重点消除污水直排口和雨污混接问题</w:t>
      </w:r>
      <w:r>
        <w:rPr>
          <w:rFonts w:hint="eastAsia" w:cs="Times New Roman"/>
        </w:rPr>
        <w:t>，</w:t>
      </w:r>
      <w:r>
        <w:rPr>
          <w:rFonts w:hint="eastAsia"/>
          <w:shd w:val="clear" w:color="auto" w:fill="FFFFFF"/>
        </w:rPr>
        <w:t>鼓励有条件的相邻企业，打破企业间的地理边界，统筹开展雨污分流改造，实施管网统建共管</w:t>
      </w:r>
      <w:r>
        <w:rPr>
          <w:rFonts w:eastAsia="仿宋_GB2312" w:cs="Times New Roman"/>
        </w:rPr>
        <w:t>。继续开展园区外化工企业环境整治提升工作，推进纺织印染、医药、食品、电镀等行业整治提升以及提标改造，提升行业清洁生产及环境治理水平。要进一步健全工业污染防治长效机制，巩固“散乱污”企业整治等工作成效，持续减少工业污染。整治达标后的企业或小型工业园区，绘制雨水、污水管网布局走向图，明确总排口接管位置，并在主要出入口上墙公示，接受社会公众监督。</w:t>
      </w:r>
    </w:p>
    <w:p>
      <w:pPr>
        <w:rPr>
          <w:rFonts w:eastAsia="仿宋_GB2312" w:cs="Times New Roman"/>
        </w:rPr>
      </w:pPr>
      <w:r>
        <w:rPr>
          <w:rFonts w:eastAsia="楷体_GB2312" w:cs="Times New Roman"/>
          <w:b/>
          <w:bCs/>
        </w:rPr>
        <w:t>推动工业废水资源化利用。</w:t>
      </w:r>
      <w:r>
        <w:rPr>
          <w:rFonts w:eastAsia="仿宋_GB2312" w:cs="Times New Roman"/>
        </w:rPr>
        <w:t>推进企业内部工业用水循环利用、园区内企业间用水系统集成优化。开展石化、有色、造纸、印染等高耗水行业工业废水循环利用示范。遴选电子信息、纺织印染、化工材料等国家高新区率先示范。</w:t>
      </w:r>
    </w:p>
    <w:p>
      <w:pPr>
        <w:rPr>
          <w:rFonts w:eastAsia="仿宋_GB2312" w:cs="Times New Roman"/>
        </w:rPr>
      </w:pPr>
      <w:r>
        <w:rPr>
          <w:rFonts w:eastAsia="楷体_GB2312" w:cs="Times New Roman"/>
          <w:b/>
        </w:rPr>
        <w:t>深入推进排污许可证管理。</w:t>
      </w:r>
      <w:r>
        <w:rPr>
          <w:rFonts w:eastAsia="仿宋_GB2312" w:cs="Times New Roman"/>
        </w:rPr>
        <w:t>构建以排污许可制为核心的固定污染源环境监管制度体系，加快排污许可证发放，强化对排污企业建设、生产、关闭等全生命周期全过程管理。在第二次污染源普查成果基础上，充分利用排污许可证核发数据，摸清工业总磷污染基本情况，</w:t>
      </w:r>
      <w:r>
        <w:rPr>
          <w:rFonts w:hint="eastAsia" w:ascii="仿宋_GB2312" w:hAnsi="仿宋_GB2312" w:eastAsia="仿宋_GB2312" w:cs="仿宋_GB2312"/>
          <w:szCs w:val="28"/>
        </w:rPr>
        <w:t>构建以排污许可制为核心的固定污染源环境监管制度体系，</w:t>
      </w:r>
      <w:r>
        <w:rPr>
          <w:rFonts w:eastAsia="仿宋_GB2312" w:cs="Times New Roman"/>
        </w:rPr>
        <w:t>推进总磷精准化源头治理。加强证后管理，实施固定污染源排污口排放精细化管理，助推水质改善。</w:t>
      </w:r>
    </w:p>
    <w:p>
      <w:pPr>
        <w:rPr>
          <w:rFonts w:eastAsia="仿宋_GB2312" w:cs="Times New Roman"/>
        </w:rPr>
      </w:pPr>
      <w:r>
        <w:rPr>
          <w:rFonts w:eastAsia="楷体_GB2312" w:cs="Times New Roman"/>
          <w:b/>
        </w:rPr>
        <w:t>加强工业</w:t>
      </w:r>
      <w:r>
        <w:rPr>
          <w:rFonts w:hint="eastAsia" w:eastAsia="楷体_GB2312" w:cs="Times New Roman"/>
          <w:b/>
        </w:rPr>
        <w:t>企业</w:t>
      </w:r>
      <w:r>
        <w:rPr>
          <w:rFonts w:eastAsia="楷体_GB2312" w:cs="Times New Roman"/>
          <w:b/>
        </w:rPr>
        <w:t>特征水污染物的监管。</w:t>
      </w:r>
      <w:r>
        <w:rPr>
          <w:rFonts w:eastAsia="仿宋_GB2312" w:cs="Times New Roman"/>
        </w:rPr>
        <w:t>加强对工业</w:t>
      </w:r>
      <w:r>
        <w:rPr>
          <w:rFonts w:hint="eastAsia" w:eastAsia="仿宋_GB2312" w:cs="Times New Roman"/>
        </w:rPr>
        <w:t>企业</w:t>
      </w:r>
      <w:r>
        <w:rPr>
          <w:rFonts w:eastAsia="仿宋_GB2312" w:cs="Times New Roman"/>
        </w:rPr>
        <w:t>特征水污染物的管控，建立重点</w:t>
      </w:r>
      <w:r>
        <w:rPr>
          <w:rFonts w:hint="eastAsia" w:eastAsia="仿宋_GB2312" w:cs="Times New Roman"/>
        </w:rPr>
        <w:t>企业</w:t>
      </w:r>
      <w:r>
        <w:rPr>
          <w:rFonts w:eastAsia="仿宋_GB2312" w:cs="Times New Roman"/>
        </w:rPr>
        <w:t>有毒有害水污染物名录库。加强特征污染物种类和浓度的检测能力，加强氟化物、挥发酚、锑等特征水污染物的管控。加强对重金属、抗生素、持久性有机污染物和内分泌干扰物等有毒有害水污染物的监控。</w:t>
      </w:r>
    </w:p>
    <w:p>
      <w:pPr>
        <w:pStyle w:val="5"/>
        <w:spacing w:before="217" w:after="217"/>
        <w:rPr>
          <w:rFonts w:cs="Times New Roman"/>
        </w:rPr>
      </w:pPr>
      <w:bookmarkStart w:id="63" w:name="_Toc2396"/>
      <w:bookmarkStart w:id="64" w:name="_Toc107566048"/>
      <w:bookmarkStart w:id="65" w:name="_Toc110091665"/>
      <w:r>
        <w:rPr>
          <w:rFonts w:hint="eastAsia" w:cs="Times New Roman"/>
        </w:rPr>
        <w:t>三、推进城镇污水收集处理</w:t>
      </w:r>
      <w:bookmarkEnd w:id="63"/>
      <w:bookmarkEnd w:id="64"/>
      <w:bookmarkEnd w:id="65"/>
    </w:p>
    <w:p>
      <w:pPr>
        <w:widowControl/>
        <w:jc w:val="left"/>
        <w:rPr>
          <w:rFonts w:eastAsia="仿宋_GB2312" w:cs="Times New Roman"/>
        </w:rPr>
      </w:pPr>
      <w:r>
        <w:rPr>
          <w:rFonts w:eastAsia="楷体_GB2312" w:cs="Times New Roman"/>
          <w:b/>
        </w:rPr>
        <w:t>推进污水处理提质增效达标区建设。</w:t>
      </w:r>
      <w:r>
        <w:rPr>
          <w:rFonts w:eastAsia="仿宋_GB2312" w:cs="Times New Roman"/>
        </w:rPr>
        <w:t>根据《太仓市城乡生活污水处理提质增效精准攻坚“333”行动实施方案》要求，开展以“三消除”、“三整治”、“三提升”为主要内容的“333”行动</w:t>
      </w:r>
      <w:r>
        <w:rPr>
          <w:rFonts w:hint="eastAsia" w:eastAsia="仿宋_GB2312" w:cs="Times New Roman"/>
        </w:rPr>
        <w:t>。</w:t>
      </w:r>
      <w:r>
        <w:rPr>
          <w:rFonts w:eastAsia="仿宋_GB2312" w:cs="Times New Roman"/>
        </w:rPr>
        <w:t>结合太仓实际，采用</w:t>
      </w:r>
      <w:r>
        <w:rPr>
          <w:rFonts w:hint="eastAsia" w:eastAsia="仿宋_GB2312" w:cs="Times New Roman"/>
        </w:rPr>
        <w:t>“普查、设计、施工、养护全面配合”的</w:t>
      </w:r>
      <w:r>
        <w:rPr>
          <w:rFonts w:eastAsia="仿宋_GB2312" w:cs="Times New Roman"/>
        </w:rPr>
        <w:t>EPC模式全力推进达标区建设。</w:t>
      </w:r>
      <w:r>
        <w:rPr>
          <w:rFonts w:hint="eastAsia" w:eastAsia="仿宋_GB2312" w:cs="Times New Roman"/>
        </w:rPr>
        <w:t>实施范围覆盖太仓全市，按行政区域划分成高新区科教新城、港区（浮桥）片区、浏河片区、璜泾片区、沙溪片区和城厢双凤片区6个项目片区，计划通过5年时间，依靠EPC模式高速推进城乡生活污水治理。</w:t>
      </w:r>
      <w:r>
        <w:rPr>
          <w:rFonts w:eastAsia="仿宋_GB2312" w:cs="Times New Roman"/>
        </w:rPr>
        <w:t>到2025年底，城镇建成区重要水体达到清水绿岸、鱼翔浅底的目标。城市建成区和沙溪古镇区90%以上面积、乡镇（含被撤并乡镇）建成区80%以上面积建成“污水处理提质增效达标区”。基本实现污水管网“全覆盖、全收集、全输送、全处理”，实现“污水不入河、外水不进管、进厂高浓度、减排高效能”，全面构建“源头管控到位、厂网衔接配套、管网养护精细、污水处理优质、污泥处置安全”的城乡污水收集处理新格局，持续推动全市城乡污水处理综合水平走在全苏州和全省前列。</w:t>
      </w:r>
    </w:p>
    <w:p>
      <w:pPr>
        <w:widowControl/>
        <w:jc w:val="left"/>
        <w:rPr>
          <w:rFonts w:eastAsia="仿宋_GB2312" w:cs="Times New Roman"/>
        </w:rPr>
      </w:pPr>
      <w:r>
        <w:rPr>
          <w:rFonts w:eastAsia="楷体_GB2312" w:cs="Times New Roman"/>
          <w:b/>
        </w:rPr>
        <w:t>全面排查污水管网覆盖情况。</w:t>
      </w:r>
      <w:r>
        <w:rPr>
          <w:rFonts w:eastAsia="仿宋_GB2312" w:cs="Times New Roman"/>
        </w:rPr>
        <w:t>全面摸排“小散乱”排水、阳台和单位内部排水，建立问题清单和任务清单，及时整治到位。全面排查城镇建成区沿河排水口、入河排污口、暗涵内排口、沿河截流管道等，重点解决旱天污水直排，有效管控雨天合流制溢流污染，消除污水直排口。全面排查污水管网覆盖现状，划定管网覆盖空白区或薄弱区域，根据排查情况，结合区域建设规划科学制定污水管网建设方案，优先考虑接管，不具备接管采用原位或就近增设污水收集处理设施，近期计划拆迁区域采取临时污水收集处理措施，有序推进区域污水管网建设，提升污水收集能力，消除污水管网空白区。全面排查雨污合流、雨污混流以及管网堵塞、错接、漏接等问题，根据普查成果及时编制管网整改计划，开展太仓市建成区和老小区雨污分流改造，督促工业企业和单位内部同步推进。高标准实施管网工程建设，提升新建污水管网质量管控水平。全面排查检测雨污水管网功能性和结构性状况，分片推进管网改造与修复，提升污水管网检测修复和养护管理水平。到2025年，</w:t>
      </w:r>
      <w:r>
        <w:rPr>
          <w:rFonts w:hint="eastAsia" w:eastAsia="仿宋_GB2312" w:cs="Times New Roman"/>
        </w:rPr>
        <w:t>污水直排口和空白区消除率达100%</w:t>
      </w:r>
      <w:r>
        <w:rPr>
          <w:rFonts w:eastAsia="仿宋_GB2312" w:cs="Times New Roman"/>
        </w:rPr>
        <w:t>。</w:t>
      </w:r>
    </w:p>
    <w:p>
      <w:pPr>
        <w:widowControl/>
        <w:jc w:val="left"/>
        <w:rPr>
          <w:rFonts w:eastAsia="仿宋_GB2312" w:cs="Times New Roman"/>
        </w:rPr>
      </w:pPr>
      <w:r>
        <w:rPr>
          <w:rFonts w:eastAsia="楷体_GB2312" w:cs="Times New Roman"/>
          <w:b/>
        </w:rPr>
        <w:t>提高城镇污水处理设施建设水平。</w:t>
      </w:r>
      <w:r>
        <w:rPr>
          <w:rFonts w:eastAsia="仿宋_GB2312" w:cs="Times New Roman"/>
        </w:rPr>
        <w:t>围绕“设施全覆盖、污水全收集、尾水全提标、监管全方位”目标，优化整合厂网布局，降低水污染风险。评估现有污水处理和和污泥处理处置能力和运行效能，优化处理设施布局，适度超前建设，推进建制镇污水处理设施全覆盖、全运行。针对进水浓度低的污水处理厂制定“一厂一策”方案，实现生活污水“厂网河”一体化治理模式。全面推进污水处理厂建设和提标改造，污水</w:t>
      </w:r>
      <w:r>
        <w:rPr>
          <w:rFonts w:hint="eastAsia" w:ascii="仿宋_GB2312" w:hAnsi="仿宋_GB2312" w:eastAsia="仿宋_GB2312" w:cs="仿宋_GB2312"/>
          <w:kern w:val="0"/>
        </w:rPr>
        <w:t>处理</w:t>
      </w:r>
      <w:r>
        <w:rPr>
          <w:rFonts w:eastAsia="仿宋_GB2312" w:cs="Times New Roman"/>
        </w:rPr>
        <w:t>厂尾水全面执行“苏州特别排放限值标准”。强化污水处理设施运行监管，确保各类生活污水处理设施正常运行和达标排放。</w:t>
      </w:r>
      <w:r>
        <w:rPr>
          <w:rFonts w:eastAsia="仿宋_GB2312" w:cs="Times New Roman"/>
          <w:b/>
          <w:bCs/>
        </w:rPr>
        <w:t>污水处理厂新建：</w:t>
      </w:r>
      <w:r>
        <w:rPr>
          <w:rFonts w:eastAsia="仿宋_GB2312" w:cs="Times New Roman"/>
        </w:rPr>
        <w:t>规划新建太仓市城东水质净化厂，提升娄江新城污水处理能力，污水处理厂建设规模为15万m³/d，尾水排放达到“苏州特别排放限值”标准。</w:t>
      </w:r>
      <w:r>
        <w:rPr>
          <w:rFonts w:eastAsia="仿宋_GB2312" w:cs="Times New Roman"/>
          <w:b/>
          <w:bCs/>
        </w:rPr>
        <w:t>污水处理厂扩建及提标改造：</w:t>
      </w:r>
      <w:r>
        <w:rPr>
          <w:rFonts w:eastAsia="仿宋_GB2312" w:cs="Times New Roman"/>
        </w:rPr>
        <w:t>按照“苏州特别排放限值”，开展污水处理厂扩建以及尾水处理提标改造建设。“十四五”期间，实施璜泾和江城污水处理厂扩建及提标改造工程，工程内容包括分别扩建污水处理规模至3万m³/d、4万m³/d以及现状处理设施提标改造；实施城区污水处理厂提标改造工程，对现状规模6万m³/d的处理设施进行尾水处理提标改造。</w:t>
      </w:r>
      <w:r>
        <w:rPr>
          <w:rFonts w:eastAsia="仿宋_GB2312" w:cs="Times New Roman"/>
          <w:b/>
          <w:bCs/>
        </w:rPr>
        <w:t>污水管网配套建设：</w:t>
      </w:r>
      <w:r>
        <w:rPr>
          <w:rFonts w:eastAsia="仿宋_GB2312" w:cs="Times New Roman"/>
        </w:rPr>
        <w:t>完善城镇污水管网布局，</w:t>
      </w:r>
      <w:r>
        <w:rPr>
          <w:rFonts w:hint="eastAsia" w:eastAsia="仿宋_GB2312" w:cs="Times New Roman"/>
        </w:rPr>
        <w:t>加强污水管网配套建设，新建、改建城镇市政污水主管网80km</w:t>
      </w:r>
      <w:r>
        <w:rPr>
          <w:rFonts w:eastAsia="仿宋_GB2312" w:cs="Times New Roman"/>
        </w:rPr>
        <w:t>。</w:t>
      </w:r>
      <w:r>
        <w:rPr>
          <w:rFonts w:eastAsia="仿宋_GB2312" w:cs="Times New Roman"/>
          <w:b/>
          <w:bCs/>
        </w:rPr>
        <w:t>污水处理厂尾水出水口生态湿地建设：</w:t>
      </w:r>
      <w:r>
        <w:rPr>
          <w:rFonts w:eastAsia="仿宋_GB2312" w:cs="Times New Roman"/>
        </w:rPr>
        <w:t>因地制宜建成不低于污水</w:t>
      </w:r>
      <w:r>
        <w:rPr>
          <w:rFonts w:hint="eastAsia" w:ascii="仿宋_GB2312" w:hAnsi="仿宋_GB2312" w:eastAsia="仿宋_GB2312" w:cs="仿宋_GB2312"/>
          <w:kern w:val="0"/>
        </w:rPr>
        <w:t>处理</w:t>
      </w:r>
      <w:r>
        <w:rPr>
          <w:rFonts w:eastAsia="仿宋_GB2312" w:cs="Times New Roman"/>
        </w:rPr>
        <w:t>厂总规模三分之一的尾水生态净化湿地，作为城乡河道生态景观等补充水源</w:t>
      </w:r>
      <w:r>
        <w:rPr>
          <w:rFonts w:hint="eastAsia" w:eastAsia="仿宋_GB2312" w:cs="Times New Roman"/>
        </w:rPr>
        <w:t>，</w:t>
      </w:r>
      <w:r>
        <w:rPr>
          <w:rFonts w:eastAsia="仿宋_GB2312" w:cs="Times New Roman"/>
        </w:rPr>
        <w:t>提高尾水资源化利用水平</w:t>
      </w:r>
      <w:r>
        <w:rPr>
          <w:rFonts w:hint="eastAsia" w:eastAsia="仿宋_GB2312" w:cs="Times New Roman"/>
        </w:rPr>
        <w:t>。</w:t>
      </w:r>
      <w:r>
        <w:rPr>
          <w:rFonts w:eastAsia="楷体_GB2312" w:cs="Times New Roman"/>
          <w:b/>
        </w:rPr>
        <w:t>提升污泥规范化处理。</w:t>
      </w:r>
      <w:r>
        <w:rPr>
          <w:rFonts w:eastAsia="仿宋_GB2312" w:cs="Times New Roman"/>
        </w:rPr>
        <w:t>加快统筹建设污水厂污泥综合利用或永久性处理处置设施，同步建设管网清疏污泥综合利用或处理设施。确保污水处理设施产生的污泥进行稳定化、无害化和资源化处理处置，禁止不达标的污泥进入耕地，取缔非法污泥堆放点，污泥无害化处理处置率达到100%。建立污泥转运和处理处置全过程可追溯的监管体系，严格执行污泥转运“联单制”，污泥运输车、船安装分别GPS、AIS，强化污泥处理处置全过程监管。</w:t>
      </w:r>
    </w:p>
    <w:p>
      <w:pPr>
        <w:pStyle w:val="2"/>
        <w:jc w:val="left"/>
        <w:rPr>
          <w:rFonts w:eastAsia="仿宋_GB2312" w:cs="Times New Roman"/>
          <w:lang w:val="zh-CN"/>
        </w:rPr>
      </w:pPr>
      <w:r>
        <w:rPr>
          <w:rFonts w:eastAsia="楷体_GB2312" w:cs="Times New Roman"/>
          <w:b/>
        </w:rPr>
        <w:t>提高初期雨水污染治理能力。</w:t>
      </w:r>
      <w:r>
        <w:rPr>
          <w:rFonts w:eastAsia="仿宋_GB2312" w:cs="Times New Roman"/>
        </w:rPr>
        <w:t>加强城市建成区初期雨水的管控，结合海绵城市建设，因地制宜开展初期雨水截留纳管、</w:t>
      </w:r>
      <w:r>
        <w:rPr>
          <w:rFonts w:eastAsia="仿宋_GB2312" w:cs="Times New Roman"/>
          <w:bCs/>
        </w:rPr>
        <w:t>加</w:t>
      </w:r>
      <w:r>
        <w:rPr>
          <w:rFonts w:eastAsia="仿宋_GB2312" w:cs="Times New Roman"/>
        </w:rPr>
        <w:t>大初期雨水处理处置系统建设力度，建设渗、滞、蓄、净、用、排相结合的雨水收集利用设施，提高城市雨水径流积存、渗透和净化能力。规划建设用地面积2万㎡以上新建建筑物，配套建设雨水收集利用系统，居民住宅小区或单位，有条件使用雨水的，其内部的绿化、景观、环卫用水，不得直接使用市政自来水，推动雨水收集和资源化利用。</w:t>
      </w:r>
    </w:p>
    <w:p>
      <w:pPr>
        <w:pStyle w:val="5"/>
        <w:spacing w:before="217" w:after="217"/>
        <w:rPr>
          <w:rFonts w:cs="Times New Roman"/>
        </w:rPr>
      </w:pPr>
      <w:bookmarkStart w:id="66" w:name="_Toc110091666"/>
      <w:bookmarkStart w:id="67" w:name="_Toc107566049"/>
      <w:bookmarkStart w:id="68" w:name="_Toc1979"/>
      <w:r>
        <w:rPr>
          <w:rFonts w:hint="eastAsia" w:cs="Times New Roman"/>
        </w:rPr>
        <w:t>四、突出农业农村污染防控</w:t>
      </w:r>
      <w:bookmarkEnd w:id="66"/>
      <w:bookmarkEnd w:id="67"/>
      <w:bookmarkEnd w:id="68"/>
    </w:p>
    <w:p>
      <w:pPr>
        <w:pStyle w:val="46"/>
        <w:ind w:firstLine="640"/>
        <w:rPr>
          <w:rFonts w:eastAsia="仿宋_GB2312" w:cs="Times New Roman"/>
          <w:kern w:val="0"/>
          <w:szCs w:val="32"/>
        </w:rPr>
      </w:pPr>
      <w:r>
        <w:rPr>
          <w:rFonts w:eastAsia="楷体_GB2312" w:cs="Times New Roman"/>
          <w:b/>
          <w:szCs w:val="32"/>
        </w:rPr>
        <w:t>强化农业面源管控力度。</w:t>
      </w:r>
      <w:r>
        <w:rPr>
          <w:rFonts w:eastAsia="仿宋_GB2312" w:cs="Times New Roman"/>
          <w:kern w:val="0"/>
          <w:szCs w:val="32"/>
        </w:rPr>
        <w:t>依托中央和省级项目，持续推进种植业污染治理，积极申报中央农作物秸秆综合利用产业</w:t>
      </w:r>
      <w:r>
        <w:rPr>
          <w:rFonts w:hint="eastAsia" w:eastAsia="仿宋_GB2312" w:cs="Times New Roman"/>
          <w:kern w:val="0"/>
          <w:szCs w:val="32"/>
        </w:rPr>
        <w:t>重点</w:t>
      </w:r>
      <w:r>
        <w:rPr>
          <w:rFonts w:eastAsia="仿宋_GB2312" w:cs="Times New Roman"/>
          <w:kern w:val="0"/>
          <w:szCs w:val="32"/>
        </w:rPr>
        <w:t>县等项目。持续推进轻中度污染耕地安全利用，分类分区分级精准施用技术措施，推进受污染耕地安全利用示范基地建设，研发配套水肥农艺管理措施。</w:t>
      </w:r>
      <w:r>
        <w:rPr>
          <w:rFonts w:hint="eastAsia" w:eastAsia="仿宋_GB2312" w:cs="Times New Roman"/>
          <w:kern w:val="0"/>
          <w:szCs w:val="32"/>
        </w:rPr>
        <w:t>2021年-2025年，每年度实施耕地轮作休耕项目。</w:t>
      </w:r>
      <w:r>
        <w:rPr>
          <w:rFonts w:eastAsia="仿宋_GB2312" w:cs="Times New Roman"/>
          <w:kern w:val="0"/>
          <w:szCs w:val="32"/>
        </w:rPr>
        <w:t>开展农作物病虫害绿色防控，推进化肥农药减量增效，加强农膜回收利用，实施农田排灌系统生态化改造，力争实现“退水不直排、肥水不下河、养分再循环”。到2025年，主要农作物机械智能深施肥技术覆盖率达50%以上，病虫害绿色防控覆盖率达65%以上，农膜基本实现全量回收。结合《江苏省“十四五”地表水环境监测网设置方案》，全面开展重点地区农田退水水质监测。对确定直接影响断面水质稳定达标的沿岸农田进行种植结构调整，探索开展排灌系统生态化改造，对于暂时无法实施改造的，建设分布式污水处理设施，相关管控措施于汛前全部落实到位。</w:t>
      </w:r>
      <w:r>
        <w:rPr>
          <w:rFonts w:hint="eastAsia" w:eastAsia="仿宋_GB2312" w:cs="Times New Roman"/>
          <w:kern w:val="0"/>
          <w:szCs w:val="32"/>
        </w:rPr>
        <w:t>到2022年，</w:t>
      </w:r>
      <w:r>
        <w:rPr>
          <w:rFonts w:eastAsia="仿宋_GB2312" w:cs="Times New Roman"/>
          <w:kern w:val="0"/>
          <w:szCs w:val="32"/>
        </w:rPr>
        <w:t>对科教新城盐铁塘（浏河塘至苏沪交界段）及浮桥镇区杨林塘沿线农田沟渠排查，对不达标的采取氮磷拦截工程，</w:t>
      </w:r>
      <w:r>
        <w:rPr>
          <w:rFonts w:hint="eastAsia" w:eastAsia="仿宋_GB2312" w:cs="Times New Roman"/>
          <w:kern w:val="0"/>
          <w:szCs w:val="32"/>
        </w:rPr>
        <w:t>改造生态沟渠并建设沉淀池，</w:t>
      </w:r>
      <w:r>
        <w:rPr>
          <w:rFonts w:eastAsia="仿宋_GB2312" w:cs="Times New Roman"/>
          <w:kern w:val="0"/>
          <w:szCs w:val="32"/>
        </w:rPr>
        <w:t>削减农业面源污染。</w:t>
      </w:r>
      <w:r>
        <w:rPr>
          <w:rFonts w:hint="eastAsia" w:eastAsia="仿宋_GB2312" w:cs="Times New Roman"/>
          <w:kern w:val="0"/>
          <w:szCs w:val="32"/>
        </w:rPr>
        <w:t>到2025年，全市化肥、农药使用量分别较2020年削减3%、3%，有机肥替代率达到20%以上，主要农作物测土配方施肥覆盖率达到98%以上。</w:t>
      </w:r>
    </w:p>
    <w:p>
      <w:pPr>
        <w:pStyle w:val="46"/>
        <w:ind w:firstLine="640"/>
        <w:rPr>
          <w:rFonts w:eastAsia="仿宋_GB2312" w:cs="Times New Roman"/>
        </w:rPr>
      </w:pPr>
      <w:r>
        <w:rPr>
          <w:rFonts w:hint="eastAsia" w:eastAsia="楷体_GB2312" w:cs="Times New Roman"/>
          <w:b/>
          <w:szCs w:val="32"/>
        </w:rPr>
        <w:t>推进高标准农田改造建设。</w:t>
      </w:r>
      <w:r>
        <w:rPr>
          <w:rFonts w:hint="eastAsia" w:eastAsia="仿宋_GB2312" w:cs="Times New Roman"/>
        </w:rPr>
        <w:t>根据苏州市级部署要求，结合太仓市农田实际状况，重点围绕农田标准化、环境整洁化、生产绿色化、管控智能化等方面进行改造提升。实施生态排水，建设生物廊道与栖息地，提升降渍、净化水质能力和生物多样性需求。探索农田退水循环利用，减少农田退水对区域水环境的影响。推广应用绿色先进农业生产技术，推广使用有机肥、测土配方肥、高效低毒或生物农药，应用机械侧深施肥、水肥一体化等新技术，减少农业面源污染。2021年，完成国家高标准农田建设先建后补项目9个，启动生态型高标准农田试点项目1-2个，建设浏河镇万安村高标准农田改造提升示范区项目。</w:t>
      </w:r>
    </w:p>
    <w:p>
      <w:pPr>
        <w:pStyle w:val="46"/>
        <w:ind w:firstLine="640"/>
        <w:rPr>
          <w:rFonts w:eastAsia="仿宋_GB2312" w:cs="Times New Roman"/>
          <w:snapToGrid w:val="0"/>
          <w:kern w:val="0"/>
          <w:szCs w:val="32"/>
        </w:rPr>
      </w:pPr>
      <w:r>
        <w:rPr>
          <w:rFonts w:eastAsia="楷体_GB2312" w:cs="Times New Roman"/>
          <w:b/>
          <w:szCs w:val="32"/>
        </w:rPr>
        <w:t>推进水产生态健康养殖。</w:t>
      </w:r>
      <w:r>
        <w:rPr>
          <w:rFonts w:eastAsia="仿宋_GB2312" w:cs="Times New Roman"/>
        </w:rPr>
        <w:t>推进生态健康养殖，优化养殖模式，持续推进增殖放流</w:t>
      </w:r>
      <w:r>
        <w:rPr>
          <w:rFonts w:eastAsia="仿宋_GB2312" w:cs="Times New Roman"/>
          <w:snapToGrid w:val="0"/>
          <w:kern w:val="0"/>
          <w:szCs w:val="32"/>
        </w:rPr>
        <w:t>推进落实养殖水域滩涂规划，加强养殖区、限养区、禁养区管理。按照新出台的池塘养殖尾水排放强制性标准，</w:t>
      </w:r>
      <w:r>
        <w:rPr>
          <w:rFonts w:hint="eastAsia" w:cs="Times New Roman"/>
          <w:szCs w:val="40"/>
        </w:rPr>
        <w:t>实施高标准池塘改造，所有养殖池塘必须配置尾水净化区，</w:t>
      </w:r>
      <w:r>
        <w:rPr>
          <w:rFonts w:cs="Times New Roman"/>
          <w:szCs w:val="40"/>
        </w:rPr>
        <w:t>以有效实现养殖污染管控为目标，以太仓市池塘养殖品种和养殖尾水排放量为依据，分类建立池塘高标准改造方案</w:t>
      </w:r>
      <w:r>
        <w:rPr>
          <w:rFonts w:hint="eastAsia" w:cs="Times New Roman"/>
          <w:szCs w:val="40"/>
        </w:rPr>
        <w:t>。</w:t>
      </w:r>
      <w:r>
        <w:rPr>
          <w:rFonts w:eastAsia="仿宋_GB2312" w:cs="Times New Roman"/>
          <w:snapToGrid w:val="0"/>
          <w:kern w:val="0"/>
          <w:szCs w:val="32"/>
        </w:rPr>
        <w:t>推广生态健康养殖技术模式，强化水产养殖投入品监管，提升水产健康养殖水平</w:t>
      </w:r>
      <w:r>
        <w:rPr>
          <w:rFonts w:hint="eastAsia" w:eastAsia="仿宋_GB2312" w:cs="Times New Roman"/>
          <w:snapToGrid w:val="0"/>
          <w:kern w:val="0"/>
          <w:szCs w:val="32"/>
        </w:rPr>
        <w:t>。</w:t>
      </w:r>
      <w:r>
        <w:rPr>
          <w:rFonts w:eastAsia="仿宋_GB2312" w:cs="Times New Roman"/>
          <w:snapToGrid w:val="0"/>
          <w:kern w:val="0"/>
          <w:szCs w:val="32"/>
        </w:rPr>
        <w:t>加强养殖尾水治理设施的监管和巡查，确保有效运行。</w:t>
      </w:r>
      <w:r>
        <w:rPr>
          <w:rFonts w:eastAsia="仿宋_GB2312" w:cs="Times New Roman"/>
          <w:szCs w:val="32"/>
        </w:rPr>
        <w:t>开展水产养殖尾水排放排口监测网络建设，对超</w:t>
      </w:r>
      <w:r>
        <w:rPr>
          <w:rFonts w:eastAsia="仿宋_GB2312" w:cs="Times New Roman"/>
          <w:snapToGrid w:val="0"/>
          <w:kern w:val="0"/>
          <w:szCs w:val="32"/>
        </w:rPr>
        <w:t>标排放的养殖尾水进行限期整治，逾期整治未完成的，依法进行查处。202</w:t>
      </w:r>
      <w:r>
        <w:rPr>
          <w:rFonts w:hint="eastAsia" w:eastAsia="仿宋_GB2312" w:cs="Times New Roman"/>
          <w:snapToGrid w:val="0"/>
          <w:kern w:val="0"/>
          <w:szCs w:val="32"/>
        </w:rPr>
        <w:t>1年、2022年全市</w:t>
      </w:r>
      <w:r>
        <w:rPr>
          <w:rFonts w:eastAsia="仿宋_GB2312" w:cs="Times New Roman"/>
          <w:snapToGrid w:val="0"/>
          <w:kern w:val="0"/>
          <w:szCs w:val="32"/>
        </w:rPr>
        <w:t>需</w:t>
      </w:r>
      <w:r>
        <w:rPr>
          <w:rFonts w:hint="eastAsia" w:eastAsia="仿宋_GB2312" w:cs="Times New Roman"/>
          <w:snapToGrid w:val="0"/>
          <w:kern w:val="0"/>
          <w:szCs w:val="32"/>
        </w:rPr>
        <w:t>分别</w:t>
      </w:r>
      <w:r>
        <w:rPr>
          <w:rFonts w:eastAsia="仿宋_GB2312" w:cs="Times New Roman"/>
          <w:snapToGrid w:val="0"/>
          <w:kern w:val="0"/>
          <w:szCs w:val="32"/>
        </w:rPr>
        <w:t>完成高标准鱼池改造</w:t>
      </w:r>
      <w:r>
        <w:rPr>
          <w:rFonts w:hint="eastAsia" w:eastAsia="仿宋_GB2312" w:cs="Times New Roman"/>
          <w:snapToGrid w:val="0"/>
          <w:kern w:val="0"/>
          <w:szCs w:val="32"/>
        </w:rPr>
        <w:t>400</w:t>
      </w:r>
      <w:r>
        <w:rPr>
          <w:rFonts w:eastAsia="仿宋_GB2312" w:cs="Times New Roman"/>
          <w:snapToGrid w:val="0"/>
          <w:kern w:val="0"/>
          <w:szCs w:val="32"/>
        </w:rPr>
        <w:t>0亩</w:t>
      </w:r>
      <w:r>
        <w:rPr>
          <w:rFonts w:hint="eastAsia" w:eastAsia="仿宋_GB2312" w:cs="Times New Roman"/>
          <w:snapToGrid w:val="0"/>
          <w:kern w:val="0"/>
          <w:szCs w:val="32"/>
        </w:rPr>
        <w:t>和2525亩。</w:t>
      </w:r>
    </w:p>
    <w:p>
      <w:pPr>
        <w:pStyle w:val="46"/>
        <w:ind w:firstLine="640"/>
        <w:rPr>
          <w:rFonts w:eastAsia="仿宋_GB2312" w:cs="Times New Roman"/>
          <w:kern w:val="0"/>
          <w:szCs w:val="32"/>
        </w:rPr>
      </w:pPr>
      <w:r>
        <w:rPr>
          <w:rFonts w:eastAsia="楷体_GB2312" w:cs="Times New Roman"/>
          <w:b/>
          <w:szCs w:val="32"/>
        </w:rPr>
        <w:t>推进畜禽养殖场粪污综合利用和污染治理。</w:t>
      </w:r>
      <w:r>
        <w:rPr>
          <w:rFonts w:eastAsia="仿宋_GB2312" w:cs="Times New Roman"/>
          <w:kern w:val="0"/>
          <w:szCs w:val="32"/>
        </w:rPr>
        <w:t>开展标准化生态健康养殖普及行动，着力打造一批种养加结合、生态循环畜牧业绿色生产示范基地。支持在田间地头配套建设管网和储粪（液）池等基础设施，解决粪肥还田</w:t>
      </w:r>
      <w:r>
        <w:rPr>
          <w:rFonts w:hint="eastAsia" w:eastAsia="仿宋_GB2312" w:cs="Times New Roman"/>
          <w:kern w:val="0"/>
          <w:szCs w:val="32"/>
        </w:rPr>
        <w:t>“</w:t>
      </w:r>
      <w:r>
        <w:rPr>
          <w:rFonts w:eastAsia="仿宋_GB2312" w:cs="Times New Roman"/>
          <w:kern w:val="0"/>
          <w:szCs w:val="32"/>
        </w:rPr>
        <w:t>最后一公里</w:t>
      </w:r>
      <w:r>
        <w:rPr>
          <w:rFonts w:hint="eastAsia" w:eastAsia="仿宋_GB2312" w:cs="Times New Roman"/>
          <w:kern w:val="0"/>
          <w:szCs w:val="32"/>
        </w:rPr>
        <w:t>”</w:t>
      </w:r>
      <w:r>
        <w:rPr>
          <w:rFonts w:eastAsia="仿宋_GB2312" w:cs="Times New Roman"/>
          <w:kern w:val="0"/>
          <w:szCs w:val="32"/>
        </w:rPr>
        <w:t>问题，新建、改建、扩建规模化畜禽养殖场（小区）要实施雨污分流、粪便污水资源化利用，畜禽散养密集区应对畜禽粪便污水进行分户收集、集中处理利用。建立健全粪肥还田监管体系和制度，强化过程监管，防止随农田退水进入水体，造成二次污染。加快养殖场设施装备改造提升，推行清洁生产，推广节水、节料、节能养殖工艺，提高畜禽养殖自动化、智能化、规范化水平。</w:t>
      </w:r>
    </w:p>
    <w:p>
      <w:pPr>
        <w:pStyle w:val="46"/>
        <w:ind w:firstLine="640"/>
        <w:rPr>
          <w:rFonts w:eastAsia="仿宋_GB2312" w:cs="Times New Roman"/>
          <w:szCs w:val="32"/>
        </w:rPr>
      </w:pPr>
      <w:r>
        <w:rPr>
          <w:rFonts w:eastAsia="楷体_GB2312" w:cs="Times New Roman"/>
          <w:b/>
          <w:szCs w:val="32"/>
        </w:rPr>
        <w:t>建立美丽生态牧场。</w:t>
      </w:r>
      <w:r>
        <w:rPr>
          <w:rFonts w:eastAsia="仿宋_GB2312" w:cs="Times New Roman"/>
          <w:szCs w:val="32"/>
        </w:rPr>
        <w:t>以建设美丽生态牧场为契机，指导规模场粪污收集、贮存、处理等设施设备智能化提档升级。依托上级资金加强粪污资源化利用项目建设，“十四五”期间，美丽生态牧场占比达到100%，畜禽粪污资源化利用率稳定在99%以上。</w:t>
      </w:r>
    </w:p>
    <w:p>
      <w:pPr>
        <w:widowControl/>
        <w:jc w:val="left"/>
        <w:rPr>
          <w:rFonts w:eastAsia="仿宋_GB2312" w:cs="Times New Roman"/>
        </w:rPr>
      </w:pPr>
      <w:r>
        <w:rPr>
          <w:rFonts w:eastAsia="楷体_GB2312" w:cs="Times New Roman"/>
          <w:b/>
        </w:rPr>
        <w:t>加快推进农村污水处理设施建设。</w:t>
      </w:r>
      <w:r>
        <w:rPr>
          <w:rFonts w:eastAsia="仿宋_GB2312" w:cs="Times New Roman"/>
        </w:rPr>
        <w:t>根据农村不同区位条件、村庄人口聚集程度、污水产生规模，因地制宜选择农村污水处理方式，探索开展整县制推进农村生活污水治理试点。合理布设分散性农村污水处理设施，因地制宜选择联村、连点、联户、单户型处理模式。根据《农村生活污水处理设施水污染物排放标准》（DB 32/3462-2020）要求，尽快开展已建污水处理设施提标改造。强化农村生活污水治理规模化建设、智慧化管理、专业化维护、一体化推进。在完成已建成农村生活污水处理设施排查整治基础上，优先开展浏河镇浏河水源地周边和12个国、省考断面周边村庄以及七浦塘引清通道周边村庄生活污水整治。完成近期无拆迁计划农村配套污水治理设施建设，除保留独立设施，其他农污全部接管输送至各城镇污水</w:t>
      </w:r>
      <w:r>
        <w:rPr>
          <w:rFonts w:hint="eastAsia" w:ascii="仿宋_GB2312" w:hAnsi="仿宋_GB2312" w:eastAsia="仿宋_GB2312" w:cs="仿宋_GB2312"/>
          <w:kern w:val="0"/>
        </w:rPr>
        <w:t>处理</w:t>
      </w:r>
      <w:r>
        <w:rPr>
          <w:rFonts w:eastAsia="仿宋_GB2312" w:cs="Times New Roman"/>
        </w:rPr>
        <w:t>厂进行集中处理。到2022年完成已建成设施的排查整治。到2025年，自然村生活污水治理率达90%，</w:t>
      </w:r>
      <w:r>
        <w:rPr>
          <w:rFonts w:hint="eastAsia" w:ascii="仿宋_GB2312" w:hAnsi="仿宋_GB2312" w:eastAsia="仿宋_GB2312" w:cs="仿宋_GB2312"/>
          <w:kern w:val="0"/>
        </w:rPr>
        <w:t>农村生活污水治理设施正常运行率达</w:t>
      </w:r>
      <w:r>
        <w:rPr>
          <w:rFonts w:eastAsia="仿宋_GB2312" w:cs="Times New Roman"/>
          <w:kern w:val="0"/>
        </w:rPr>
        <w:t>90%</w:t>
      </w:r>
      <w:r>
        <w:rPr>
          <w:rFonts w:eastAsia="仿宋_GB2312" w:cs="Times New Roman"/>
        </w:rPr>
        <w:t>，“五位一体”的农村生活污水治理设施运维管理体系成熟运行。</w:t>
      </w:r>
      <w:r>
        <w:rPr>
          <w:rFonts w:hint="eastAsia" w:eastAsia="仿宋_GB2312" w:cs="Times New Roman"/>
        </w:rPr>
        <w:t>提升农村生活污水处理设施监测监控能力，对日处理量</w:t>
      </w:r>
      <w:r>
        <w:rPr>
          <w:rFonts w:eastAsia="仿宋_GB2312" w:cs="Times New Roman"/>
        </w:rPr>
        <w:t>20</w:t>
      </w:r>
      <w:r>
        <w:rPr>
          <w:rFonts w:hint="eastAsia" w:eastAsia="仿宋_GB2312" w:cs="Times New Roman"/>
        </w:rPr>
        <w:t>吨以上的农村生活污水处理设施试点开展工况监控，组织各地开展执法监测。提高农村生活污水处理设施正常运行率，鼓励将污水处理设施运营权以招标的方式委托给具有资质的专业污水处理公司进行规范化管理</w:t>
      </w:r>
      <w:r>
        <w:rPr>
          <w:rFonts w:eastAsia="仿宋_GB2312" w:cs="Times New Roman"/>
        </w:rPr>
        <w:t>。深入推进厕所革命，全面推进实施厕所粪污治理，切实加强改厕与农村生活污水治理有效衔接，确保厕所粪污得到无害化处理或资源化利用。</w:t>
      </w:r>
    </w:p>
    <w:p>
      <w:pPr>
        <w:pStyle w:val="5"/>
        <w:spacing w:before="217" w:after="217"/>
        <w:rPr>
          <w:rFonts w:cs="Times New Roman"/>
        </w:rPr>
      </w:pPr>
      <w:bookmarkStart w:id="69" w:name="_Toc11510"/>
      <w:bookmarkStart w:id="70" w:name="_Toc110091667"/>
      <w:bookmarkStart w:id="71" w:name="_Toc107566050"/>
      <w:r>
        <w:rPr>
          <w:rFonts w:hint="eastAsia" w:cs="Times New Roman"/>
        </w:rPr>
        <w:t>五、提升港航防污治污能力</w:t>
      </w:r>
      <w:bookmarkEnd w:id="69"/>
      <w:bookmarkEnd w:id="70"/>
      <w:bookmarkEnd w:id="71"/>
    </w:p>
    <w:p>
      <w:pPr>
        <w:pStyle w:val="46"/>
        <w:ind w:firstLine="640"/>
        <w:rPr>
          <w:rFonts w:eastAsia="仿宋_GB2312" w:cs="Times New Roman"/>
          <w:bCs/>
          <w:spacing w:val="-14"/>
          <w:szCs w:val="32"/>
        </w:rPr>
      </w:pPr>
      <w:r>
        <w:rPr>
          <w:rFonts w:hint="eastAsia" w:eastAsia="楷体_GB2312" w:cs="Times New Roman"/>
          <w:b/>
          <w:szCs w:val="32"/>
        </w:rPr>
        <w:t>提升港口码头治污水平。</w:t>
      </w:r>
      <w:r>
        <w:rPr>
          <w:rFonts w:eastAsia="仿宋_GB2312" w:cs="Times New Roman"/>
          <w:kern w:val="0"/>
          <w:szCs w:val="32"/>
        </w:rPr>
        <w:t>督促辖区码头等经营单位完善船舶污染物接收设施，满足船舶污染物接收能力建设要求，为靠港作业船舶提供生活污水和生活垃圾接收服务，并对靠港内河船舶免费提供船舶生活垃圾、生活污水接收服务。</w:t>
      </w:r>
      <w:r>
        <w:rPr>
          <w:rFonts w:eastAsia="仿宋_GB2312" w:cs="Times New Roman"/>
          <w:szCs w:val="32"/>
        </w:rPr>
        <w:t>重点推进长江干线船舶水污染物联合监管与服务信息系统，继续做好船舶污染物移送上交，做到“应交尽交，应收尽收”。</w:t>
      </w:r>
      <w:r>
        <w:rPr>
          <w:rFonts w:hint="eastAsia" w:eastAsia="仿宋_GB2312" w:cs="Times New Roman"/>
          <w:szCs w:val="32"/>
        </w:rPr>
        <w:t>到2021年，建设完成长江太仓水上绿色综合服务区，</w:t>
      </w:r>
      <w:r>
        <w:rPr>
          <w:rFonts w:eastAsia="仿宋_GB2312" w:cs="Times New Roman"/>
          <w:bCs/>
          <w:spacing w:val="-14"/>
          <w:szCs w:val="32"/>
        </w:rPr>
        <w:t>做好水上绿色综合服务区投入使用后太仓港“一零两全四免费”服务模式优化，不断提升辖区船舶污染物接收转运处置能力；持续跟进阳鸿油污水预处理站和危化品洗舱站建设，满足“含油污水预处理前不能跨市转运”、“洗舱水不得在水上跨设区市转移”的要求；推动油污水、化学品洗舱水接收、转运、处置单位共同使用长江干线船舶水污染物联合监管信息系统，实现船舶污染物联合监管全覆盖</w:t>
      </w:r>
      <w:r>
        <w:rPr>
          <w:rFonts w:hint="eastAsia" w:eastAsia="仿宋_GB2312" w:cs="Times New Roman"/>
          <w:bCs/>
          <w:spacing w:val="-14"/>
          <w:szCs w:val="32"/>
        </w:rPr>
        <w:t>。</w:t>
      </w:r>
    </w:p>
    <w:p>
      <w:pPr>
        <w:pStyle w:val="46"/>
        <w:ind w:firstLine="640"/>
        <w:rPr>
          <w:rFonts w:eastAsia="仿宋_GB2312" w:cs="Times New Roman"/>
          <w:bCs/>
          <w:spacing w:val="-14"/>
          <w:szCs w:val="32"/>
        </w:rPr>
      </w:pPr>
      <w:r>
        <w:rPr>
          <w:rFonts w:hint="eastAsia" w:eastAsia="楷体_GB2312" w:cs="Times New Roman"/>
          <w:b/>
          <w:szCs w:val="32"/>
        </w:rPr>
        <w:t>强化船舶污染源头管控</w:t>
      </w:r>
      <w:r>
        <w:rPr>
          <w:rFonts w:eastAsia="楷体_GB2312" w:cs="Times New Roman"/>
          <w:szCs w:val="32"/>
        </w:rPr>
        <w:t>。</w:t>
      </w:r>
      <w:r>
        <w:rPr>
          <w:rFonts w:eastAsia="仿宋_GB2312" w:cs="Times New Roman"/>
          <w:szCs w:val="32"/>
        </w:rPr>
        <w:t>严格执行《长江船舶污染物“一零两全四免费”服务标准》，开展内河船舶生活污水、生活垃圾污染专项整治行动，严查船舶生活污水、生活垃圾收集处置装置配备不到位、不正常运行、逾期不按规范改造和偷排生活污水、生活垃圾等违法行为，对违法行为保持“零容忍”和高压态势。建立完善辖区登记船舶污染物收集处置设施配备清单，推动船舶改造升级。不满足现行规范和排放控制标准要</w:t>
      </w:r>
      <w:r>
        <w:rPr>
          <w:rFonts w:eastAsia="仿宋_GB2312" w:cs="Times New Roman"/>
          <w:kern w:val="0"/>
          <w:szCs w:val="32"/>
        </w:rPr>
        <w:t>求的400总吨及以上船舶限期改造，逾期未完成的，不得安排靠泊和装卸作业。</w:t>
      </w:r>
      <w:r>
        <w:rPr>
          <w:rFonts w:eastAsia="仿宋_GB2312" w:cs="Times New Roman"/>
          <w:bCs/>
          <w:spacing w:val="-14"/>
          <w:szCs w:val="32"/>
        </w:rPr>
        <w:t>大力开展白北水道附近水域聚集船舶污染防治整治工作，将该水域船舶纳入“一零两全四免费”服务范围，并通过登轮宣贯、现场检查、行政处罚等方式，倒逼船方形成污染物收集存储和送交习惯，消除污染物直排入江风险。</w:t>
      </w:r>
    </w:p>
    <w:p>
      <w:pPr>
        <w:pStyle w:val="46"/>
        <w:ind w:firstLine="640"/>
        <w:rPr>
          <w:rFonts w:eastAsia="仿宋_GB2312" w:cs="Times New Roman"/>
          <w:szCs w:val="32"/>
        </w:rPr>
      </w:pPr>
      <w:r>
        <w:rPr>
          <w:rFonts w:eastAsia="楷体_GB2312" w:cs="Times New Roman"/>
          <w:b/>
          <w:kern w:val="0"/>
          <w:szCs w:val="32"/>
        </w:rPr>
        <w:t>强化船舶污染应急处置能力建设。</w:t>
      </w:r>
      <w:r>
        <w:rPr>
          <w:rFonts w:eastAsia="仿宋_GB2312" w:cs="Times New Roman"/>
          <w:bCs/>
          <w:spacing w:val="-14"/>
          <w:szCs w:val="32"/>
        </w:rPr>
        <w:t>建立防治船舶及其有关作业活动污染应急资金投入保障制度，</w:t>
      </w:r>
      <w:r>
        <w:rPr>
          <w:rFonts w:eastAsia="仿宋_GB2312" w:cs="Times New Roman"/>
          <w:spacing w:val="-14"/>
          <w:szCs w:val="32"/>
        </w:rPr>
        <w:t>修订并重新发布《太仓市长江水域船舶污染事故应急预案》；加大船舶污染应急处置培训力度，加强船舶防污染应急处置队伍、船舶污染事故调查团队建设，建立防污染应急处置专家库；推进浮桥、璜泾作业片区船舶污染防治联防体建设；进一步完善太仓国家小型溢油应急设备库维护管理机制，加大地方政府投入，推动市水上搜救中心合理配置泄漏应急处置设备及人员防护装备，实现溢油设备库管理专业化、精细化。</w:t>
      </w:r>
    </w:p>
    <w:p>
      <w:pPr>
        <w:pStyle w:val="2"/>
        <w:jc w:val="left"/>
        <w:rPr>
          <w:rFonts w:eastAsia="仿宋_GB2312" w:cs="Times New Roman"/>
        </w:rPr>
      </w:pPr>
      <w:r>
        <w:rPr>
          <w:rFonts w:eastAsia="楷体_GB2312" w:cs="Times New Roman"/>
          <w:b/>
          <w:bCs/>
        </w:rPr>
        <w:t>加强危化品船舶风险防范。</w:t>
      </w:r>
      <w:r>
        <w:rPr>
          <w:rFonts w:eastAsia="仿宋_GB2312" w:cs="Times New Roman"/>
        </w:rPr>
        <w:t>加大载运散装危化品船舶违法行为查处力度，重点检查发生事故、被滞留和有违规锚泊、违法排污等违法行为的危化品船舶，重点查处非法洗舱清舱排放、配员不足、谎报瞒报等违法行为，重点检查船舶载运高风险危化品的装卸作业安全措施落实情况，并将上述信息通报选船评估码头单位</w:t>
      </w:r>
      <w:r>
        <w:rPr>
          <w:rFonts w:hint="eastAsia" w:eastAsia="仿宋_GB2312" w:cs="Times New Roman"/>
        </w:rPr>
        <w:t>。</w:t>
      </w:r>
      <w:r>
        <w:rPr>
          <w:rFonts w:eastAsia="仿宋_GB2312" w:cs="Times New Roman"/>
        </w:rPr>
        <w:t>持续通过</w:t>
      </w:r>
      <w:r>
        <w:rPr>
          <w:rFonts w:eastAsia="仿宋_GB2312" w:cs="Times New Roman"/>
          <w:spacing w:val="-14"/>
        </w:rPr>
        <w:t>太仓港“1+3”</w:t>
      </w:r>
      <w:r>
        <w:rPr>
          <w:rFonts w:eastAsia="仿宋_GB2312" w:cs="Times New Roman"/>
        </w:rPr>
        <w:t>高质量选船机制淘汰一批不符合要求的危化品船舶，降低危化品船舶水上运输风险。</w:t>
      </w:r>
    </w:p>
    <w:p>
      <w:pPr>
        <w:pStyle w:val="5"/>
        <w:spacing w:before="217" w:after="217"/>
        <w:rPr>
          <w:rFonts w:cs="Times New Roman"/>
        </w:rPr>
      </w:pPr>
      <w:bookmarkStart w:id="72" w:name="_Toc17450"/>
      <w:r>
        <w:rPr>
          <w:rFonts w:hint="eastAsia" w:cs="Times New Roman"/>
        </w:rPr>
        <w:t>六、加强小流域综合整治</w:t>
      </w:r>
      <w:bookmarkEnd w:id="72"/>
    </w:p>
    <w:p>
      <w:pPr>
        <w:pStyle w:val="46"/>
        <w:ind w:firstLine="640"/>
        <w:rPr>
          <w:rFonts w:eastAsia="仿宋_GB2312" w:cs="Times New Roman"/>
          <w:szCs w:val="32"/>
        </w:rPr>
      </w:pPr>
      <w:r>
        <w:rPr>
          <w:rFonts w:eastAsia="楷体_GB2312" w:cs="Times New Roman"/>
          <w:b/>
          <w:szCs w:val="32"/>
        </w:rPr>
        <w:t>开展“</w:t>
      </w:r>
      <w:r>
        <w:rPr>
          <w:rFonts w:hint="eastAsia" w:eastAsia="楷体_GB2312" w:cs="Times New Roman"/>
          <w:b/>
          <w:szCs w:val="32"/>
        </w:rPr>
        <w:t>消劣争优</w:t>
      </w:r>
      <w:r>
        <w:rPr>
          <w:rFonts w:eastAsia="楷体_GB2312" w:cs="Times New Roman"/>
          <w:b/>
          <w:szCs w:val="32"/>
        </w:rPr>
        <w:t>”</w:t>
      </w:r>
      <w:r>
        <w:rPr>
          <w:rFonts w:hint="eastAsia" w:eastAsia="楷体_GB2312" w:cs="Times New Roman"/>
          <w:b/>
          <w:szCs w:val="32"/>
        </w:rPr>
        <w:t>攻坚</w:t>
      </w:r>
      <w:r>
        <w:rPr>
          <w:rFonts w:eastAsia="楷体_GB2312" w:cs="Times New Roman"/>
          <w:b/>
          <w:szCs w:val="32"/>
        </w:rPr>
        <w:t>行动。</w:t>
      </w:r>
      <w:r>
        <w:rPr>
          <w:rFonts w:eastAsia="仿宋_GB2312" w:cs="Times New Roman"/>
          <w:szCs w:val="32"/>
        </w:rPr>
        <w:t>巩固黑臭水体整治成效，做好已完成整治的黑臭水体长效管理，开展整治效果后评估工作，继续实施水质监督检测，强化河道巡查和管养，做好水面岸坡的清理保洁，排口的动态管控治理和活水保质，实现水体“长制久清”。开展全市消除劣V类水体专项行动。全面排查劣V类水体，确定水体清单，制定“一河一策”整治方案，分级分年度实施整治。强化督导曝光，制定劣V类整治销号制度，对完成整治的水体逐一验收销号，确保责任落实。2021</w:t>
      </w:r>
      <w:r>
        <w:rPr>
          <w:rFonts w:hint="eastAsia" w:eastAsia="仿宋_GB2312" w:cs="Times New Roman"/>
          <w:szCs w:val="32"/>
        </w:rPr>
        <w:t>年底，率先消除城市建成区劣</w:t>
      </w:r>
      <w:r>
        <w:rPr>
          <w:rFonts w:eastAsia="仿宋_GB2312" w:cs="Times New Roman"/>
          <w:szCs w:val="32"/>
        </w:rPr>
        <w:t>V</w:t>
      </w:r>
      <w:r>
        <w:rPr>
          <w:rFonts w:hint="eastAsia" w:eastAsia="仿宋_GB2312" w:cs="Times New Roman"/>
          <w:szCs w:val="32"/>
        </w:rPr>
        <w:t>类水体；</w:t>
      </w:r>
      <w:r>
        <w:rPr>
          <w:rFonts w:eastAsia="仿宋_GB2312" w:cs="Times New Roman"/>
          <w:szCs w:val="32"/>
        </w:rPr>
        <w:t>2022</w:t>
      </w:r>
      <w:r>
        <w:rPr>
          <w:rFonts w:hint="eastAsia" w:eastAsia="仿宋_GB2312" w:cs="Times New Roman"/>
          <w:szCs w:val="32"/>
        </w:rPr>
        <w:t>年底，消除国省考断面、河长断面、水源地的劣</w:t>
      </w:r>
      <w:r>
        <w:rPr>
          <w:rFonts w:eastAsia="仿宋_GB2312" w:cs="Times New Roman"/>
          <w:szCs w:val="32"/>
        </w:rPr>
        <w:t>V</w:t>
      </w:r>
      <w:r>
        <w:rPr>
          <w:rFonts w:hint="eastAsia" w:eastAsia="仿宋_GB2312" w:cs="Times New Roman"/>
          <w:szCs w:val="32"/>
        </w:rPr>
        <w:t>类支浜支河；</w:t>
      </w:r>
      <w:r>
        <w:rPr>
          <w:rFonts w:eastAsia="仿宋_GB2312" w:cs="Times New Roman"/>
          <w:szCs w:val="32"/>
        </w:rPr>
        <w:t>2023</w:t>
      </w:r>
      <w:r>
        <w:rPr>
          <w:rFonts w:hint="eastAsia" w:eastAsia="仿宋_GB2312" w:cs="Times New Roman"/>
          <w:szCs w:val="32"/>
        </w:rPr>
        <w:t>年底，全市域内河道全面消除劣</w:t>
      </w:r>
      <w:r>
        <w:rPr>
          <w:rFonts w:eastAsia="仿宋_GB2312" w:cs="Times New Roman"/>
          <w:szCs w:val="32"/>
        </w:rPr>
        <w:t>V</w:t>
      </w:r>
      <w:r>
        <w:rPr>
          <w:rFonts w:hint="eastAsia" w:eastAsia="仿宋_GB2312" w:cs="Times New Roman"/>
          <w:szCs w:val="32"/>
        </w:rPr>
        <w:t>类水体。</w:t>
      </w:r>
      <w:r>
        <w:rPr>
          <w:rFonts w:eastAsia="仿宋_GB2312" w:cs="Times New Roman"/>
          <w:szCs w:val="32"/>
        </w:rPr>
        <w:t>经</w:t>
      </w:r>
      <w:r>
        <w:rPr>
          <w:rFonts w:hint="eastAsia" w:eastAsia="仿宋_GB2312" w:cs="Times New Roman"/>
          <w:szCs w:val="32"/>
        </w:rPr>
        <w:t>排查</w:t>
      </w:r>
      <w:r>
        <w:rPr>
          <w:rFonts w:eastAsia="仿宋_GB2312" w:cs="Times New Roman"/>
          <w:szCs w:val="32"/>
        </w:rPr>
        <w:t>，</w:t>
      </w:r>
      <w:r>
        <w:rPr>
          <w:rFonts w:hint="eastAsia" w:eastAsia="仿宋_GB2312" w:cs="Times New Roman"/>
          <w:szCs w:val="32"/>
        </w:rPr>
        <w:t>全市</w:t>
      </w:r>
      <w:r>
        <w:rPr>
          <w:rFonts w:eastAsia="仿宋_GB2312" w:cs="Times New Roman"/>
          <w:szCs w:val="32"/>
        </w:rPr>
        <w:t>现有劣V</w:t>
      </w:r>
      <w:r>
        <w:rPr>
          <w:rFonts w:hint="eastAsia" w:eastAsia="仿宋_GB2312" w:cs="Times New Roman"/>
          <w:szCs w:val="32"/>
        </w:rPr>
        <w:t>类河道</w:t>
      </w:r>
      <w:r>
        <w:rPr>
          <w:rFonts w:eastAsia="仿宋_GB2312" w:cs="Times New Roman"/>
          <w:szCs w:val="32"/>
        </w:rPr>
        <w:t>121</w:t>
      </w:r>
      <w:r>
        <w:rPr>
          <w:rFonts w:hint="eastAsia" w:eastAsia="仿宋_GB2312" w:cs="Times New Roman"/>
          <w:szCs w:val="32"/>
        </w:rPr>
        <w:t>条，约占全市河道总数的</w:t>
      </w:r>
      <w:r>
        <w:rPr>
          <w:rFonts w:eastAsia="仿宋_GB2312" w:cs="Times New Roman"/>
          <w:szCs w:val="32"/>
        </w:rPr>
        <w:t>3.5%</w:t>
      </w:r>
      <w:r>
        <w:rPr>
          <w:rFonts w:hint="eastAsia" w:eastAsia="仿宋_GB2312" w:cs="Times New Roman"/>
          <w:szCs w:val="32"/>
        </w:rPr>
        <w:t>，</w:t>
      </w:r>
      <w:r>
        <w:rPr>
          <w:rFonts w:eastAsia="仿宋_GB2312" w:cs="Times New Roman"/>
          <w:szCs w:val="32"/>
        </w:rPr>
        <w:t>121条治理总任务分年计划安排：2021</w:t>
      </w:r>
      <w:r>
        <w:rPr>
          <w:rFonts w:hint="eastAsia" w:eastAsia="仿宋_GB2312" w:cs="Times New Roman"/>
          <w:szCs w:val="32"/>
        </w:rPr>
        <w:t>年完成整治</w:t>
      </w:r>
      <w:r>
        <w:rPr>
          <w:rFonts w:eastAsia="仿宋_GB2312" w:cs="Times New Roman"/>
          <w:szCs w:val="32"/>
        </w:rPr>
        <w:t>58</w:t>
      </w:r>
      <w:r>
        <w:rPr>
          <w:rFonts w:hint="eastAsia" w:eastAsia="仿宋_GB2312" w:cs="Times New Roman"/>
          <w:szCs w:val="32"/>
        </w:rPr>
        <w:t>条、</w:t>
      </w:r>
      <w:r>
        <w:rPr>
          <w:rFonts w:eastAsia="仿宋_GB2312" w:cs="Times New Roman"/>
          <w:szCs w:val="32"/>
        </w:rPr>
        <w:t>2022</w:t>
      </w:r>
      <w:r>
        <w:rPr>
          <w:rFonts w:hint="eastAsia" w:eastAsia="仿宋_GB2312" w:cs="Times New Roman"/>
          <w:szCs w:val="32"/>
        </w:rPr>
        <w:t>年</w:t>
      </w:r>
      <w:r>
        <w:rPr>
          <w:rFonts w:eastAsia="仿宋_GB2312" w:cs="Times New Roman"/>
          <w:szCs w:val="32"/>
        </w:rPr>
        <w:t>49</w:t>
      </w:r>
      <w:r>
        <w:rPr>
          <w:rFonts w:hint="eastAsia" w:eastAsia="仿宋_GB2312" w:cs="Times New Roman"/>
          <w:szCs w:val="32"/>
        </w:rPr>
        <w:t>条、</w:t>
      </w:r>
      <w:r>
        <w:rPr>
          <w:rFonts w:eastAsia="仿宋_GB2312" w:cs="Times New Roman"/>
          <w:szCs w:val="32"/>
        </w:rPr>
        <w:t>2023</w:t>
      </w:r>
      <w:r>
        <w:rPr>
          <w:rFonts w:hint="eastAsia" w:eastAsia="仿宋_GB2312" w:cs="Times New Roman"/>
          <w:szCs w:val="32"/>
        </w:rPr>
        <w:t>年</w:t>
      </w:r>
      <w:r>
        <w:rPr>
          <w:rFonts w:eastAsia="仿宋_GB2312" w:cs="Times New Roman"/>
          <w:szCs w:val="32"/>
        </w:rPr>
        <w:t>14</w:t>
      </w:r>
      <w:r>
        <w:rPr>
          <w:rFonts w:hint="eastAsia" w:eastAsia="仿宋_GB2312" w:cs="Times New Roman"/>
          <w:szCs w:val="32"/>
        </w:rPr>
        <w:t>条。</w:t>
      </w:r>
    </w:p>
    <w:p>
      <w:r>
        <w:rPr>
          <w:rFonts w:hint="eastAsia" w:eastAsia="楷体_GB2312" w:cs="Times New Roman"/>
          <w:b/>
          <w:bCs/>
        </w:rPr>
        <w:t>推进区域骨干河道整治。</w:t>
      </w:r>
      <w:r>
        <w:rPr>
          <w:rFonts w:hint="eastAsia" w:eastAsia="仿宋_GB2312" w:cs="Times New Roman"/>
        </w:rPr>
        <w:t>统筹推进区域、市域骨干河道治理</w:t>
      </w:r>
      <w:r>
        <w:rPr>
          <w:rFonts w:hint="eastAsia" w:ascii="仿宋_GB2312" w:hAnsi="Calibri" w:eastAsia="仿宋_GB2312" w:cs="仿宋_GB2312"/>
        </w:rPr>
        <w:t>，提升通江引排能力。实施老七浦塘疏浚、杨林塘堤防加固和浏河护岸整治工程，提高通江河道自主调控能力；结合娄江新城水系规划要求，实施洙泾河、江申泾、湖川塘、石头塘、塘泾河、致和塘、钱泾、浪港、横沥河、半泾河、吴塘河、孔泾、白米泾等多条市级骨干河道综合整治，进一步改善区域河道水质。</w:t>
      </w:r>
    </w:p>
    <w:p>
      <w:pPr>
        <w:pStyle w:val="4"/>
        <w:spacing w:before="217" w:after="217"/>
        <w:rPr>
          <w:rFonts w:cs="Times New Roman"/>
        </w:rPr>
      </w:pPr>
      <w:bookmarkStart w:id="73" w:name="_Toc109217326"/>
      <w:bookmarkStart w:id="74" w:name="_Toc29203"/>
      <w:bookmarkStart w:id="75" w:name="_Toc110091668"/>
      <w:r>
        <w:rPr>
          <w:rFonts w:cs="Times New Roman"/>
        </w:rPr>
        <w:t>第三节 推进生态保护和修复，促进人与自然和谐共生</w:t>
      </w:r>
      <w:bookmarkEnd w:id="73"/>
      <w:bookmarkEnd w:id="74"/>
      <w:bookmarkEnd w:id="75"/>
    </w:p>
    <w:p>
      <w:pPr>
        <w:pStyle w:val="5"/>
        <w:spacing w:before="217" w:after="217"/>
        <w:rPr>
          <w:rFonts w:cs="Times New Roman"/>
        </w:rPr>
      </w:pPr>
      <w:bookmarkStart w:id="76" w:name="_Toc110091669"/>
      <w:bookmarkStart w:id="77" w:name="_Toc107566053"/>
      <w:bookmarkStart w:id="78" w:name="_Toc13631"/>
      <w:r>
        <w:rPr>
          <w:rFonts w:hint="eastAsia" w:cs="Times New Roman"/>
        </w:rPr>
        <w:t>一、</w:t>
      </w:r>
      <w:bookmarkEnd w:id="76"/>
      <w:bookmarkEnd w:id="77"/>
      <w:r>
        <w:rPr>
          <w:rFonts w:hint="eastAsia" w:cs="Times New Roman"/>
        </w:rPr>
        <w:t>强化生态空间监督管理</w:t>
      </w:r>
      <w:bookmarkEnd w:id="78"/>
    </w:p>
    <w:p>
      <w:pPr>
        <w:rPr>
          <w:rFonts w:eastAsia="仿宋_GB2312" w:cs="Times New Roman"/>
        </w:rPr>
      </w:pPr>
      <w:r>
        <w:rPr>
          <w:rFonts w:eastAsia="楷体_GB2312" w:cs="Times New Roman"/>
          <w:b/>
          <w:bCs/>
        </w:rPr>
        <w:t>强化生态空间保护与管控</w:t>
      </w:r>
      <w:r>
        <w:rPr>
          <w:rFonts w:hint="eastAsia" w:eastAsia="楷体_GB2312" w:cs="Times New Roman"/>
          <w:b/>
          <w:bCs/>
        </w:rPr>
        <w:t>。</w:t>
      </w:r>
      <w:r>
        <w:rPr>
          <w:rFonts w:eastAsia="仿宋_GB2312" w:cs="Times New Roman"/>
          <w:lang w:val="zh-CN"/>
        </w:rPr>
        <w:t>协调三区三线管控，统筹划定生态保护红线、永久基本农田保护线和城镇开发边界的三条控制线，形成全市国土空间开发保护“一张图”，作为调整经济结构、规划产业发展、推进城镇化不可逾越的红线。严格生态保护红线和生态空间管控区域保护，实施严格管理，确保具有重要生态功能的区域、重要生态系统以及主要物种得到有效保护。依法禁止或限制开发建设活动，确保生态环境功能不降低、面积不减少、性质不改变。加强生态红线区域和生态空间管控区域监督管理，鼓励实施“一区一策”生态保护与功能提升工程，优先开展生态功能受损地区生态保护修复活动，恢复生态服务功能。完善生态红线区域和生态空间管控区域监管考核及生态补偿转移支付制度，搭建区、市协调共商机制，统筹生态保护空间划定，增强生态空间整体性和连通性。</w:t>
      </w:r>
    </w:p>
    <w:p>
      <w:pPr>
        <w:rPr>
          <w:rFonts w:eastAsia="仿宋_GB2312" w:cs="Times New Roman"/>
        </w:rPr>
      </w:pPr>
      <w:r>
        <w:rPr>
          <w:rFonts w:eastAsia="楷体_GB2312" w:cs="Times New Roman"/>
          <w:b/>
          <w:bCs/>
        </w:rPr>
        <w:t>加强湿地生态系统保护修复。</w:t>
      </w:r>
      <w:r>
        <w:rPr>
          <w:rFonts w:eastAsia="仿宋_GB2312" w:cs="Times New Roman"/>
        </w:rPr>
        <w:t>完善湿地保护类型，做好湿地公园、湿地保护小区建设、认定、评估工作</w:t>
      </w:r>
      <w:r>
        <w:rPr>
          <w:rFonts w:hint="eastAsia" w:eastAsia="仿宋_GB2312" w:cs="Times New Roman"/>
        </w:rPr>
        <w:t>。</w:t>
      </w:r>
      <w:r>
        <w:rPr>
          <w:rFonts w:eastAsia="仿宋_GB2312" w:cs="Times New Roman"/>
        </w:rPr>
        <w:t>高标准建设双凤</w:t>
      </w:r>
      <w:r>
        <w:rPr>
          <w:rFonts w:hint="eastAsia" w:eastAsia="仿宋_GB2312" w:cs="Times New Roman"/>
        </w:rPr>
        <w:t>生态</w:t>
      </w:r>
      <w:r>
        <w:rPr>
          <w:rFonts w:eastAsia="仿宋_GB2312" w:cs="Times New Roman"/>
        </w:rPr>
        <w:t>湿地、长江江滩湿地、澜贝湖、雁月湖等河湖湿地。</w:t>
      </w:r>
      <w:r>
        <w:rPr>
          <w:rFonts w:hint="eastAsia" w:eastAsia="仿宋_GB2312" w:cs="Times New Roman"/>
        </w:rPr>
        <w:t>提升改建城北河湿地公园，</w:t>
      </w:r>
      <w:r>
        <w:rPr>
          <w:rFonts w:eastAsia="仿宋_GB2312" w:cs="Times New Roman"/>
        </w:rPr>
        <w:t>城东污水</w:t>
      </w:r>
      <w:r>
        <w:rPr>
          <w:rFonts w:hint="eastAsia" w:ascii="仿宋_GB2312" w:hAnsi="仿宋_GB2312" w:eastAsia="仿宋_GB2312" w:cs="仿宋_GB2312"/>
          <w:kern w:val="0"/>
        </w:rPr>
        <w:t>处理</w:t>
      </w:r>
      <w:r>
        <w:rPr>
          <w:rFonts w:eastAsia="仿宋_GB2312" w:cs="Times New Roman"/>
        </w:rPr>
        <w:t>厂部分尾水作湿地补充水，改善城北河水体水质</w:t>
      </w:r>
      <w:r>
        <w:rPr>
          <w:rFonts w:hint="eastAsia" w:eastAsia="仿宋_GB2312" w:cs="Times New Roman"/>
        </w:rPr>
        <w:t>。</w:t>
      </w:r>
      <w:r>
        <w:rPr>
          <w:rFonts w:eastAsia="仿宋_GB2312" w:cs="Times New Roman"/>
        </w:rPr>
        <w:t>对集中连片、破碎化严重、功能退化的自然湿地进行修复和综合整治规划以落实湿地面积总量管控。针对全市河流、农业种养殖区或居民集中区净化沟渠、塘以及其它小型湿地，针对性开展湿地修复，实行湿地资源总量控制，确保湿地面积不减少。到2025年末，自然湿地保护率</w:t>
      </w:r>
      <w:r>
        <w:rPr>
          <w:rFonts w:hint="eastAsia" w:eastAsia="仿宋_GB2312" w:cs="Times New Roman"/>
        </w:rPr>
        <w:t>大于72.4</w:t>
      </w:r>
      <w:r>
        <w:rPr>
          <w:rFonts w:eastAsia="仿宋_GB2312" w:cs="Times New Roman"/>
        </w:rPr>
        <w:t>%，湿地保护率达到60%。</w:t>
      </w:r>
    </w:p>
    <w:p>
      <w:pPr>
        <w:pStyle w:val="2"/>
        <w:jc w:val="left"/>
        <w:rPr>
          <w:rFonts w:eastAsia="仿宋_GB2312" w:cs="Times New Roman"/>
        </w:rPr>
      </w:pPr>
      <w:r>
        <w:rPr>
          <w:rFonts w:eastAsia="楷体_GB2312" w:cs="Times New Roman"/>
          <w:b/>
          <w:bCs/>
        </w:rPr>
        <w:t>推进生态缓冲区建设。</w:t>
      </w:r>
      <w:r>
        <w:rPr>
          <w:rFonts w:eastAsia="仿宋_GB2312" w:cs="Times New Roman"/>
        </w:rPr>
        <w:t>在长江、城市近郊等区域探索打造生态安全缓冲区示范工程，</w:t>
      </w:r>
      <w:r>
        <w:rPr>
          <w:rFonts w:hint="eastAsia" w:eastAsia="仿宋_GB2312" w:cs="Times New Roman"/>
        </w:rPr>
        <w:t>到2021年底，</w:t>
      </w:r>
      <w:r>
        <w:rPr>
          <w:rFonts w:hint="eastAsia" w:ascii="仿宋_GB2312" w:hAnsi="Calibri" w:eastAsia="仿宋_GB2312" w:cs="仿宋_GB2312"/>
        </w:rPr>
        <w:t>太仓市港城组团污水处理厂配套生态安全缓冲区建设示范项目</w:t>
      </w:r>
      <w:r>
        <w:rPr>
          <w:rFonts w:eastAsia="仿宋_GB2312" w:cs="Times New Roman"/>
        </w:rPr>
        <w:t>通过验收并正常运行</w:t>
      </w:r>
      <w:r>
        <w:rPr>
          <w:rFonts w:hint="eastAsia" w:eastAsia="仿宋_GB2312" w:cs="Times New Roman"/>
        </w:rPr>
        <w:t>，</w:t>
      </w:r>
      <w:r>
        <w:rPr>
          <w:rFonts w:eastAsia="仿宋_GB2312" w:cs="Times New Roman"/>
        </w:rPr>
        <w:t>推动生态缓冲区向生态涵养型、生态保护型及生态修复型发展，构建区域生态安全屏障，维护生态保护网络边界，提供生态空间抗风险能力。</w:t>
      </w:r>
    </w:p>
    <w:p>
      <w:pPr>
        <w:rPr>
          <w:rFonts w:eastAsia="仿宋_GB2312" w:cs="Times New Roman"/>
        </w:rPr>
      </w:pPr>
      <w:r>
        <w:rPr>
          <w:rFonts w:hint="eastAsia" w:eastAsia="楷体_GB2312" w:cs="Times New Roman"/>
          <w:b/>
          <w:bCs/>
        </w:rPr>
        <w:t>推进生态保护监督问责。</w:t>
      </w:r>
      <w:r>
        <w:rPr>
          <w:rFonts w:hint="eastAsia" w:eastAsia="仿宋_GB2312" w:cs="Times New Roman"/>
        </w:rPr>
        <w:t>严格查处自然保护地内各类违法违规开发建设活动，建立健全自然保护地生态环境问题台账，落实整改销号制度。建立“监控发现—移交查处—督促整改—移送上报”工作流程，借助遥感监测等现代化手段，每年开展</w:t>
      </w:r>
      <w:r>
        <w:rPr>
          <w:rFonts w:eastAsia="仿宋_GB2312" w:cs="Times New Roman"/>
        </w:rPr>
        <w:t>1</w:t>
      </w:r>
      <w:r>
        <w:rPr>
          <w:rFonts w:hint="eastAsia" w:eastAsia="仿宋_GB2312" w:cs="Times New Roman"/>
        </w:rPr>
        <w:t>次生态保护红线全覆盖监测，重点监管红线内开发建设活动</w:t>
      </w:r>
      <w:r>
        <w:rPr>
          <w:rFonts w:eastAsia="仿宋_GB2312" w:cs="Times New Roman"/>
        </w:rPr>
        <w:t>。</w:t>
      </w:r>
    </w:p>
    <w:p>
      <w:pPr>
        <w:pStyle w:val="5"/>
        <w:spacing w:before="217" w:after="217"/>
        <w:rPr>
          <w:rFonts w:cs="Times New Roman"/>
        </w:rPr>
      </w:pPr>
      <w:bookmarkStart w:id="79" w:name="_Toc107566054"/>
      <w:bookmarkStart w:id="80" w:name="_Toc110091670"/>
      <w:bookmarkStart w:id="81" w:name="_Toc20150"/>
      <w:r>
        <w:rPr>
          <w:rFonts w:hint="eastAsia" w:cs="Times New Roman"/>
        </w:rPr>
        <w:t>二、统筹推进生态保护修复</w:t>
      </w:r>
      <w:bookmarkEnd w:id="79"/>
      <w:bookmarkEnd w:id="80"/>
      <w:bookmarkEnd w:id="81"/>
    </w:p>
    <w:p>
      <w:pPr>
        <w:rPr>
          <w:rFonts w:eastAsia="仿宋_GB2312" w:cs="Times New Roman"/>
        </w:rPr>
      </w:pPr>
      <w:r>
        <w:rPr>
          <w:rFonts w:hint="eastAsia" w:eastAsia="方正楷体_GBK" w:cs="Times New Roman"/>
          <w:b/>
          <w:bCs/>
        </w:rPr>
        <w:t>推进长江生态绿廊建设。</w:t>
      </w:r>
      <w:r>
        <w:rPr>
          <w:rFonts w:eastAsia="仿宋_GB2312" w:cs="Times New Roman"/>
        </w:rPr>
        <w:t>全面贯彻“共抓大保护、不搞大开发”方针，把修复长江生态环境摆在压倒性位置，高标准打造</w:t>
      </w:r>
      <w:r>
        <w:rPr>
          <w:rFonts w:hint="eastAsia" w:eastAsia="仿宋_GB2312" w:cs="Times New Roman"/>
        </w:rPr>
        <w:t>长江生态绿廊</w:t>
      </w:r>
      <w:r>
        <w:rPr>
          <w:rFonts w:eastAsia="仿宋_GB2312" w:cs="Times New Roman"/>
        </w:rPr>
        <w:t>。巩固强化长江岸线整治成果，严控长江岸线开发利用，加大长江水源地和七浦塘清水通道修复保护力度</w:t>
      </w:r>
      <w:r>
        <w:rPr>
          <w:rFonts w:hint="eastAsia" w:eastAsia="仿宋_GB2312" w:cs="Times New Roman"/>
        </w:rPr>
        <w:t>。</w:t>
      </w:r>
      <w:r>
        <w:rPr>
          <w:rFonts w:eastAsia="仿宋_GB2312" w:cs="Times New Roman"/>
        </w:rPr>
        <w:t>深入开展环境污染治理工程，强化滩涂湿地修复、防护林带建设，构建沿江生态屏障，</w:t>
      </w:r>
      <w:r>
        <w:rPr>
          <w:rFonts w:hint="eastAsia" w:eastAsia="仿宋_GB2312" w:cs="Times New Roman"/>
        </w:rPr>
        <w:t>建设安澜长江太仓段，</w:t>
      </w:r>
      <w:r>
        <w:rPr>
          <w:rFonts w:eastAsia="仿宋_GB2312" w:cs="Times New Roman"/>
        </w:rPr>
        <w:t>提升沿江空间景观品质。</w:t>
      </w:r>
      <w:r>
        <w:rPr>
          <w:rFonts w:hint="eastAsia" w:eastAsia="仿宋_GB2312" w:cs="Times New Roman"/>
        </w:rPr>
        <w:t>围绕长江大保护要求，有序推进沿长江生态湿地带建设，同时利用断头河及废弃河浜建设一定数量的生态湿地。</w:t>
      </w:r>
      <w:r>
        <w:rPr>
          <w:rFonts w:eastAsia="仿宋_GB2312" w:cs="Times New Roman"/>
        </w:rPr>
        <w:t>严格落实长江流域重点水域“十年禁渔”任务，打造长江水生生物洄游通道，构建生物多样性保护网络，组织开展水生生物增殖放流和生态修复等工作。</w:t>
      </w:r>
    </w:p>
    <w:p>
      <w:pPr>
        <w:pStyle w:val="2"/>
        <w:jc w:val="left"/>
        <w:rPr>
          <w:rFonts w:eastAsia="仿宋_GB2312" w:cs="Times New Roman"/>
          <w:bCs/>
          <w:szCs w:val="24"/>
        </w:rPr>
      </w:pPr>
      <w:r>
        <w:rPr>
          <w:rFonts w:eastAsia="楷体_GB2312" w:cs="Times New Roman"/>
          <w:b/>
          <w:bCs/>
        </w:rPr>
        <w:t>推进生态美丽河湖建设</w:t>
      </w:r>
      <w:r>
        <w:rPr>
          <w:rFonts w:hint="eastAsia" w:eastAsia="楷体_GB2312" w:cs="Times New Roman"/>
          <w:b/>
          <w:bCs/>
        </w:rPr>
        <w:t>。</w:t>
      </w:r>
      <w:r>
        <w:rPr>
          <w:rFonts w:eastAsia="仿宋_GB2312" w:cs="Times New Roman"/>
          <w:bCs/>
          <w:szCs w:val="24"/>
        </w:rPr>
        <w:t>按照苏州市级统一部署，紧密结合乡村振兴战略、市镇水系规划，对照指南河湖建设标准，</w:t>
      </w:r>
      <w:r>
        <w:rPr>
          <w:rFonts w:hint="eastAsia" w:eastAsia="仿宋_GB2312" w:cs="Times New Roman"/>
          <w:bCs/>
          <w:szCs w:val="24"/>
        </w:rPr>
        <w:t>以自然生态、集中成片为原则，以综合治理、水质提升为重点，推进全市河湖进行综合治理，围绕</w:t>
      </w:r>
      <w:r>
        <w:rPr>
          <w:rFonts w:eastAsia="仿宋_GB2312" w:cs="Times New Roman"/>
          <w:bCs/>
          <w:szCs w:val="24"/>
        </w:rPr>
        <w:t>“</w:t>
      </w:r>
      <w:r>
        <w:rPr>
          <w:rFonts w:hint="eastAsia" w:eastAsia="仿宋_GB2312" w:cs="Times New Roman"/>
          <w:bCs/>
          <w:szCs w:val="24"/>
        </w:rPr>
        <w:t>现代田园城、幸福金太仓</w:t>
      </w:r>
      <w:r>
        <w:rPr>
          <w:rFonts w:eastAsia="仿宋_GB2312" w:cs="Times New Roman"/>
          <w:bCs/>
          <w:szCs w:val="24"/>
        </w:rPr>
        <w:t>”</w:t>
      </w:r>
      <w:r>
        <w:rPr>
          <w:rFonts w:hint="eastAsia" w:eastAsia="仿宋_GB2312" w:cs="Times New Roman"/>
          <w:bCs/>
          <w:szCs w:val="24"/>
        </w:rPr>
        <w:t>目标定位</w:t>
      </w:r>
      <w:r>
        <w:rPr>
          <w:rFonts w:eastAsia="仿宋_GB2312" w:cs="Times New Roman"/>
          <w:bCs/>
          <w:szCs w:val="24"/>
        </w:rPr>
        <w:t>，</w:t>
      </w:r>
      <w:r>
        <w:rPr>
          <w:rFonts w:hint="eastAsia" w:eastAsia="仿宋_GB2312" w:cs="Times New Roman"/>
          <w:bCs/>
          <w:szCs w:val="24"/>
        </w:rPr>
        <w:t>构建河湖健康生态体系，</w:t>
      </w:r>
      <w:r>
        <w:rPr>
          <w:rFonts w:eastAsia="仿宋_GB2312" w:cs="Times New Roman"/>
          <w:bCs/>
          <w:szCs w:val="24"/>
        </w:rPr>
        <w:t>确保建成一批“水清、岸绿、河畅、景美”的生态美丽河湖。到202</w:t>
      </w:r>
      <w:r>
        <w:rPr>
          <w:rFonts w:hint="eastAsia" w:eastAsia="仿宋_GB2312" w:cs="Times New Roman"/>
          <w:bCs/>
          <w:szCs w:val="24"/>
        </w:rPr>
        <w:t>4</w:t>
      </w:r>
      <w:r>
        <w:rPr>
          <w:rFonts w:eastAsia="仿宋_GB2312" w:cs="Times New Roman"/>
          <w:bCs/>
          <w:szCs w:val="24"/>
        </w:rPr>
        <w:t>年</w:t>
      </w:r>
      <w:r>
        <w:rPr>
          <w:rFonts w:hint="eastAsia" w:eastAsia="仿宋_GB2312" w:cs="Times New Roman"/>
          <w:bCs/>
          <w:szCs w:val="24"/>
        </w:rPr>
        <w:t>底</w:t>
      </w:r>
      <w:r>
        <w:rPr>
          <w:rFonts w:eastAsia="仿宋_GB2312" w:cs="Times New Roman"/>
          <w:bCs/>
          <w:szCs w:val="24"/>
        </w:rPr>
        <w:t>，</w:t>
      </w:r>
      <w:r>
        <w:rPr>
          <w:rFonts w:hint="eastAsia" w:eastAsia="仿宋_GB2312" w:cs="Times New Roman"/>
          <w:bCs/>
          <w:szCs w:val="24"/>
        </w:rPr>
        <w:t>打造</w:t>
      </w:r>
      <w:r>
        <w:rPr>
          <w:rFonts w:eastAsia="仿宋_GB2312" w:cs="Times New Roman"/>
          <w:bCs/>
          <w:szCs w:val="24"/>
        </w:rPr>
        <w:t>450条生态美丽河湖，</w:t>
      </w:r>
      <w:r>
        <w:rPr>
          <w:rFonts w:hint="eastAsia" w:eastAsia="仿宋_GB2312" w:cs="Times New Roman"/>
          <w:bCs/>
          <w:szCs w:val="24"/>
        </w:rPr>
        <w:t>截至</w:t>
      </w:r>
      <w:r>
        <w:rPr>
          <w:rFonts w:eastAsia="仿宋_GB2312" w:cs="Times New Roman"/>
          <w:bCs/>
          <w:szCs w:val="24"/>
        </w:rPr>
        <w:t>2020</w:t>
      </w:r>
      <w:r>
        <w:rPr>
          <w:rFonts w:hint="eastAsia" w:eastAsia="仿宋_GB2312" w:cs="Times New Roman"/>
          <w:bCs/>
          <w:szCs w:val="24"/>
        </w:rPr>
        <w:t>年底，太仓市已建成</w:t>
      </w:r>
      <w:r>
        <w:rPr>
          <w:rFonts w:eastAsia="仿宋_GB2312" w:cs="Times New Roman"/>
          <w:bCs/>
          <w:szCs w:val="24"/>
        </w:rPr>
        <w:t>64</w:t>
      </w:r>
      <w:r>
        <w:rPr>
          <w:rFonts w:hint="eastAsia" w:eastAsia="仿宋_GB2312" w:cs="Times New Roman"/>
          <w:bCs/>
          <w:szCs w:val="24"/>
        </w:rPr>
        <w:t>条，到</w:t>
      </w:r>
      <w:r>
        <w:rPr>
          <w:rFonts w:eastAsia="仿宋_GB2312" w:cs="Times New Roman"/>
          <w:bCs/>
          <w:szCs w:val="24"/>
        </w:rPr>
        <w:t>2024</w:t>
      </w:r>
      <w:r>
        <w:rPr>
          <w:rFonts w:hint="eastAsia" w:eastAsia="仿宋_GB2312" w:cs="Times New Roman"/>
          <w:bCs/>
          <w:szCs w:val="24"/>
        </w:rPr>
        <w:t>年底全市再新增</w:t>
      </w:r>
      <w:r>
        <w:rPr>
          <w:rFonts w:eastAsia="仿宋_GB2312" w:cs="Times New Roman"/>
          <w:bCs/>
          <w:szCs w:val="24"/>
        </w:rPr>
        <w:t>386</w:t>
      </w:r>
      <w:r>
        <w:rPr>
          <w:rFonts w:hint="eastAsia" w:eastAsia="仿宋_GB2312" w:cs="Times New Roman"/>
          <w:bCs/>
          <w:szCs w:val="24"/>
        </w:rPr>
        <w:t>条。</w:t>
      </w:r>
      <w:r>
        <w:rPr>
          <w:rFonts w:eastAsia="仿宋_GB2312" w:cs="Times New Roman"/>
          <w:bCs/>
          <w:szCs w:val="24"/>
        </w:rPr>
        <w:t>建成1到2个生态美丽河湖省级示范样板，建立生态美丽河湖图库。</w:t>
      </w:r>
    </w:p>
    <w:p>
      <w:pPr>
        <w:pStyle w:val="2"/>
        <w:jc w:val="left"/>
        <w:rPr>
          <w:rFonts w:eastAsia="仿宋_GB2312" w:cs="Times New Roman"/>
          <w:bCs/>
          <w:szCs w:val="24"/>
        </w:rPr>
      </w:pPr>
      <w:r>
        <w:rPr>
          <w:rFonts w:eastAsia="楷体_GB2312" w:cs="Times New Roman"/>
          <w:b/>
        </w:rPr>
        <w:t>推进</w:t>
      </w:r>
      <w:r>
        <w:rPr>
          <w:rFonts w:hint="eastAsia" w:eastAsia="楷体_GB2312" w:cs="Times New Roman"/>
          <w:b/>
        </w:rPr>
        <w:t>农村生态河道治理。</w:t>
      </w:r>
      <w:r>
        <w:rPr>
          <w:rFonts w:hint="eastAsia" w:eastAsia="仿宋_GB2312" w:cs="Times New Roman"/>
          <w:bCs/>
          <w:szCs w:val="24"/>
        </w:rPr>
        <w:t>继续推进以自然生态为主、多种生态护岸相结合的农村生态河道治理，强化活水畅流，优化河道轮浚制度，恢复河道自然生态能力，提升农村河道引排功能、生态功能及景观功能，实现“水清、流畅、岸绿、景美”的自然风貌。进一步配合新七浦塘引排水调度，规划加强沿线镇村水系连通，强化活水畅流，实施璜泾镇老荡茜-蒋泾塘-内随塘河-钱泾塘水系畅流工程，畅通镇区东南部水系；实施沙溪镇新七浦塘沿线水系畅流工程，包含1条镇级河道（渠泾河拓浚8km）以及20条村级河道，有效改善镇区水系状况。按照河道轮浚规划，继续做好各级河道疏浚工作，健全农村河道轮浚机制。“十四五”期间计划疏浚河道700条，疏浚总长500km，疏浚土方450万m</w:t>
      </w:r>
      <w:r>
        <w:rPr>
          <w:rFonts w:hint="eastAsia" w:eastAsia="仿宋_GB2312" w:cs="Times New Roman"/>
          <w:bCs/>
          <w:szCs w:val="24"/>
          <w:vertAlign w:val="superscript"/>
        </w:rPr>
        <w:t>3</w:t>
      </w:r>
      <w:r>
        <w:rPr>
          <w:rFonts w:hint="eastAsia" w:eastAsia="仿宋_GB2312" w:cs="Times New Roman"/>
          <w:bCs/>
          <w:szCs w:val="24"/>
        </w:rPr>
        <w:t>。</w:t>
      </w:r>
    </w:p>
    <w:p>
      <w:pPr>
        <w:rPr>
          <w:rFonts w:eastAsia="仿宋_GB2312" w:cs="Times New Roman"/>
        </w:rPr>
      </w:pPr>
      <w:r>
        <w:rPr>
          <w:rFonts w:hint="eastAsia" w:eastAsia="楷体_GB2312" w:cs="Times New Roman"/>
          <w:b/>
          <w:bCs/>
          <w:lang w:eastAsia="zh-TW"/>
        </w:rPr>
        <w:t>优化完善流域水网体系。</w:t>
      </w:r>
      <w:r>
        <w:rPr>
          <w:rFonts w:hint="eastAsia" w:eastAsia="仿宋_GB2312" w:cs="Times New Roman"/>
        </w:rPr>
        <w:t>完善调水引流工程体系，继续推进城区引排闸站和口门建筑物建设，新、改建江申泾闸站、千步泾闸站、胡家港闸站以及横沥河闸站工程，在大城区沿线新建10座口门建筑物，建设天镜湖沿线闸站5座；统筹优化城区水利工程运行管理，规划实施口门精准调度，非汛期视情况适时启用，进一步改善主城区河道水动力条件，增加水体流动性，提升水环境质量；规划开展沿江口门生态调度方案前期研究，结合实际情况推进沿江引排调度，恢复和提升长江的动力源头功能。</w:t>
      </w:r>
    </w:p>
    <w:p>
      <w:pPr>
        <w:pStyle w:val="5"/>
        <w:spacing w:before="217" w:after="217"/>
        <w:rPr>
          <w:rFonts w:cs="Times New Roman"/>
        </w:rPr>
      </w:pPr>
      <w:bookmarkStart w:id="82" w:name="_Toc110091671"/>
      <w:bookmarkStart w:id="83" w:name="_Toc15436"/>
      <w:bookmarkStart w:id="84" w:name="_Toc107566055"/>
      <w:r>
        <w:rPr>
          <w:rFonts w:hint="eastAsia" w:cs="Times New Roman"/>
        </w:rPr>
        <w:t>三、提升生物多样性保护水平</w:t>
      </w:r>
      <w:bookmarkEnd w:id="82"/>
      <w:bookmarkEnd w:id="83"/>
      <w:bookmarkEnd w:id="84"/>
    </w:p>
    <w:p>
      <w:pPr>
        <w:rPr>
          <w:rFonts w:eastAsia="仿宋_GB2312" w:cs="Times New Roman"/>
          <w:bCs/>
          <w:szCs w:val="24"/>
        </w:rPr>
      </w:pPr>
      <w:r>
        <w:rPr>
          <w:rFonts w:eastAsia="楷体_GB2312" w:cs="Times New Roman"/>
          <w:b/>
          <w:bCs/>
        </w:rPr>
        <w:t>加强生物多样性系统保护。</w:t>
      </w:r>
      <w:r>
        <w:rPr>
          <w:rFonts w:eastAsia="仿宋_GB2312" w:cs="Times New Roman"/>
          <w:bCs/>
          <w:szCs w:val="24"/>
          <w:lang w:val="zh-CN"/>
        </w:rPr>
        <w:t>以长江为重点区域，对列入国家、省级重点保护名录中的野生动植物开展全面细致的本底资源调查，配合编制苏州市生物多样性物种保护目录，对物种濒危情况、生境胁迫情况、物种间的消长规律等开展系统研究。依托现有生物多样性的监测力量，加强生物多样性监测监控预警能力建设，强化生物丰度、植被覆盖率、土地退化、水网密度等生态环境状况指标监测。对重要生态系统和生物种类的分布格局、变化趋势、保护现状及存在问题进行全面评估，适时发布综合评估报告。</w:t>
      </w:r>
      <w:r>
        <w:rPr>
          <w:rFonts w:eastAsia="仿宋_GB2312" w:cs="Times New Roman"/>
        </w:rPr>
        <w:t>加强水生态监测能力本地化与系统化建设，对</w:t>
      </w:r>
      <w:r>
        <w:rPr>
          <w:rFonts w:hint="eastAsia" w:eastAsia="仿宋_GB2312" w:cs="Times New Roman"/>
        </w:rPr>
        <w:t>流域内</w:t>
      </w:r>
      <w:r>
        <w:rPr>
          <w:rFonts w:eastAsia="仿宋_GB2312" w:cs="Times New Roman"/>
        </w:rPr>
        <w:t>重点河湖开展生态环境调查评估。</w:t>
      </w:r>
      <w:r>
        <w:rPr>
          <w:rFonts w:eastAsia="仿宋_GB2312" w:cs="Times New Roman"/>
          <w:bCs/>
          <w:szCs w:val="24"/>
          <w:lang w:val="zh-CN"/>
        </w:rPr>
        <w:t>防控外来物种入侵，开展重点区域外来入侵物种监测预警和阻截带建设，加强出入境检验检疫工作，从源头上将外来有害入侵物种拒之于“国门”、“市门”之外</w:t>
      </w:r>
      <w:r>
        <w:rPr>
          <w:rFonts w:hint="eastAsia" w:eastAsia="仿宋_GB2312" w:cs="Times New Roman"/>
          <w:bCs/>
          <w:szCs w:val="24"/>
          <w:lang w:val="zh-CN"/>
        </w:rPr>
        <w:t>。</w:t>
      </w:r>
    </w:p>
    <w:p>
      <w:pPr>
        <w:rPr>
          <w:rFonts w:eastAsia="仿宋_GB2312" w:cs="Times New Roman"/>
          <w:bCs/>
          <w:szCs w:val="24"/>
        </w:rPr>
      </w:pPr>
      <w:r>
        <w:rPr>
          <w:rFonts w:eastAsia="楷体_GB2312" w:cs="Times New Roman"/>
          <w:b/>
          <w:bCs/>
        </w:rPr>
        <w:t>恢复和重建水生生物多样性</w:t>
      </w:r>
      <w:r>
        <w:rPr>
          <w:rFonts w:hint="eastAsia" w:eastAsia="楷体_GB2312" w:cs="Times New Roman"/>
          <w:b/>
          <w:bCs/>
        </w:rPr>
        <w:t>。</w:t>
      </w:r>
      <w:r>
        <w:rPr>
          <w:rFonts w:eastAsia="仿宋_GB2312" w:cs="Times New Roman"/>
          <w:b/>
          <w:bCs/>
        </w:rPr>
        <w:t>浪港（至石头塘河口处河段）</w:t>
      </w:r>
      <w:r>
        <w:rPr>
          <w:rFonts w:eastAsia="仿宋_GB2312" w:cs="Times New Roman"/>
        </w:rPr>
        <w:t>溶解氧含量较高，叶绿素a含量较低，底质以黄泥为主。记录有6种水生植物，包括2种沉水植物（菹草、苦草），2种浮叶植物（荇菜、菱），2种挺水植物（芦苇和菖蒲），该河段盖度可达40%。记录底栖动物14种，多为中度耐污种（</w:t>
      </w:r>
      <w:r>
        <w:rPr>
          <w:rFonts w:eastAsia="仿宋_GB2312" w:cs="Times New Roman"/>
          <w:bCs/>
        </w:rPr>
        <w:t>皮氏管水蚓、雕翅摇蚊属、二叉摇蚊属等</w:t>
      </w:r>
      <w:r>
        <w:rPr>
          <w:rFonts w:eastAsia="仿宋_GB2312" w:cs="Times New Roman"/>
        </w:rPr>
        <w:t>），并存在少量清洁种（</w:t>
      </w:r>
      <w:r>
        <w:rPr>
          <w:rFonts w:eastAsia="仿宋_GB2312" w:cs="Times New Roman"/>
          <w:bCs/>
        </w:rPr>
        <w:t>尖头杆吻虫</w:t>
      </w:r>
      <w:r>
        <w:rPr>
          <w:rFonts w:eastAsia="仿宋_GB2312" w:cs="Times New Roman"/>
        </w:rPr>
        <w:t>），但缺乏大型软体动物，群落结构简单。鱼类物种单一且资源量少，</w:t>
      </w:r>
      <w:r>
        <w:rPr>
          <w:rFonts w:hint="eastAsia" w:eastAsia="仿宋_GB2312" w:cs="Times New Roman"/>
        </w:rPr>
        <w:t>以</w:t>
      </w:r>
      <w:r>
        <w:rPr>
          <w:rFonts w:eastAsia="仿宋_GB2312" w:cs="Times New Roman"/>
        </w:rPr>
        <w:t>适应性强的小型鱼类</w:t>
      </w:r>
      <w:r>
        <w:rPr>
          <w:rFonts w:hint="eastAsia" w:eastAsia="仿宋_GB2312" w:cs="Times New Roman"/>
        </w:rPr>
        <w:t>为主</w:t>
      </w:r>
      <w:r>
        <w:rPr>
          <w:rFonts w:eastAsia="仿宋_GB2312" w:cs="Times New Roman"/>
        </w:rPr>
        <w:t>，大型鱼类匮乏。该河段具备水生生物恢复的基本条件，因此，选取该河段试点开展水生生物多样性恢复。水草配置以恢复沉水植物为主，结合少量漂浮植物，在沿岸带可适当种植一些挺水植物。待水草修复且水质得到稳定改善后，开展底栖动物和鱼类的恢复工作。寡毛类、小型螺类和水生昆虫等主动扩散能力较强的类群以自然恢复为主。大型软体动物、软甲类等主动扩散能力较弱的类群以人工引种为主。鮈亚科和鱊亚科等小型鱼类繁殖速率较快，应通过保护自然环境和管控非法捕捞实现自然恢复；青草鲢鳙等大型鱼类可通过增殖放流实现种群恢复。引入的水生生物物种应以该地区历史存在的土著种为主，杜绝引入入侵种</w:t>
      </w:r>
      <w:r>
        <w:rPr>
          <w:rFonts w:eastAsia="仿宋_GB2312" w:cs="Times New Roman"/>
          <w:bCs/>
          <w:szCs w:val="24"/>
        </w:rPr>
        <w:t>。</w:t>
      </w:r>
    </w:p>
    <w:p>
      <w:pPr>
        <w:pStyle w:val="4"/>
        <w:spacing w:before="217" w:after="217"/>
        <w:rPr>
          <w:rFonts w:cs="Times New Roman"/>
        </w:rPr>
      </w:pPr>
      <w:bookmarkStart w:id="85" w:name="_Toc23750"/>
      <w:bookmarkStart w:id="86" w:name="_Toc109217327"/>
      <w:bookmarkStart w:id="87" w:name="_Toc110091674"/>
      <w:r>
        <w:rPr>
          <w:rFonts w:cs="Times New Roman"/>
        </w:rPr>
        <w:t>第四节 提升节水增效水平，加强水资源节约集约循环利用</w:t>
      </w:r>
      <w:bookmarkEnd w:id="85"/>
      <w:bookmarkEnd w:id="86"/>
      <w:bookmarkEnd w:id="87"/>
    </w:p>
    <w:p>
      <w:pPr>
        <w:pStyle w:val="5"/>
        <w:spacing w:before="217" w:after="217"/>
        <w:rPr>
          <w:rFonts w:cs="Times New Roman"/>
        </w:rPr>
      </w:pPr>
      <w:bookmarkStart w:id="88" w:name="_Toc110091675"/>
      <w:bookmarkStart w:id="89" w:name="_Toc14869"/>
      <w:r>
        <w:rPr>
          <w:rFonts w:hint="eastAsia" w:cs="Times New Roman"/>
        </w:rPr>
        <w:t>一、强化水资源刚性约束</w:t>
      </w:r>
      <w:bookmarkEnd w:id="88"/>
      <w:bookmarkEnd w:id="89"/>
    </w:p>
    <w:p>
      <w:pPr>
        <w:rPr>
          <w:rFonts w:eastAsia="仿宋_GB2312" w:cs="Times New Roman"/>
          <w:bCs/>
          <w:szCs w:val="24"/>
        </w:rPr>
      </w:pPr>
      <w:r>
        <w:rPr>
          <w:rFonts w:eastAsia="仿宋_GB2312" w:cs="Times New Roman"/>
        </w:rPr>
        <w:t>优化水资源配置，完善水资源调配体系，提高综合调配能力和水平。落实最严格水资源管理制度，实行用水总量和强度双控制，控制水资源开发利用强度，将用水指标作为约束性指标纳入市政府政绩考核。坚持以水定城、以水定地、以水定人、以水定产，持续落实水资源“三条红线”最严格管理，完善以总量与效率控制为核心的水资源利用管理机制。加强取水用水过程管理，确立主要河湖水资源开发利用控制98%红线，严格计划用水管理、取水许可、水资源有偿使用、水资源论证等制度。制定省市边界、重要河湖水量分配和调度方案；完成新一轮《太仓市水资源综合规划》修编</w:t>
      </w:r>
      <w:r>
        <w:rPr>
          <w:rFonts w:hint="eastAsia" w:eastAsia="仿宋_GB2312" w:cs="Times New Roman"/>
        </w:rPr>
        <w:t>。</w:t>
      </w:r>
    </w:p>
    <w:p>
      <w:pPr>
        <w:pStyle w:val="5"/>
        <w:spacing w:before="217" w:after="217"/>
        <w:rPr>
          <w:rFonts w:cs="Times New Roman"/>
        </w:rPr>
      </w:pPr>
      <w:bookmarkStart w:id="90" w:name="_Toc110091676"/>
      <w:bookmarkStart w:id="91" w:name="_Toc13987"/>
      <w:r>
        <w:rPr>
          <w:rFonts w:hint="eastAsia" w:cs="Times New Roman"/>
        </w:rPr>
        <w:t>二、加强重点领域节水</w:t>
      </w:r>
      <w:bookmarkEnd w:id="90"/>
      <w:bookmarkEnd w:id="91"/>
    </w:p>
    <w:p>
      <w:pPr>
        <w:widowControl/>
        <w:jc w:val="left"/>
        <w:rPr>
          <w:rFonts w:eastAsia="仿宋_GB2312" w:cs="Times New Roman"/>
        </w:rPr>
      </w:pPr>
      <w:r>
        <w:rPr>
          <w:rFonts w:eastAsia="楷体_GB2312" w:cs="Times New Roman"/>
          <w:b/>
        </w:rPr>
        <w:t>深化节水型社会建设。</w:t>
      </w:r>
      <w:r>
        <w:rPr>
          <w:rFonts w:eastAsia="仿宋_GB2312" w:cs="Times New Roman"/>
        </w:rPr>
        <w:t>到2025年，节水型生产和生活方式初步建立，节水产业初具规模，非常规水利用占比进一步增大，用水效率和效益显著提高。节水型城市、节水型社会长效管理进一步提升。全市用水总量控制在8.42亿立方米以内，城镇公共供水管网漏损率控制在8%以内，节水型载体覆盖率达40%</w:t>
      </w:r>
      <w:r>
        <w:rPr>
          <w:rFonts w:hint="eastAsia" w:eastAsia="仿宋_GB2312" w:cs="Times New Roman"/>
        </w:rPr>
        <w:t>，</w:t>
      </w:r>
      <w:r>
        <w:rPr>
          <w:rFonts w:eastAsia="仿宋_GB2312" w:cs="Times New Roman"/>
        </w:rPr>
        <w:t>计划创建5个节水型企业、10个节水型单位、5个节水型小区和1个节水型农业园区，包括将西北工业大学太仓校区打造成为节水型标杆高校，充分发挥节水示范作用。</w:t>
      </w:r>
    </w:p>
    <w:p>
      <w:pPr>
        <w:widowControl/>
        <w:jc w:val="left"/>
        <w:rPr>
          <w:rFonts w:eastAsia="仿宋_GB2312" w:cs="Times New Roman"/>
        </w:rPr>
      </w:pPr>
      <w:r>
        <w:rPr>
          <w:rFonts w:hint="eastAsia" w:eastAsia="楷体_GB2312" w:cs="Times New Roman"/>
          <w:b/>
        </w:rPr>
        <w:t>建设节水型工业园区。</w:t>
      </w:r>
      <w:r>
        <w:rPr>
          <w:rFonts w:eastAsia="仿宋_GB2312" w:cs="Times New Roman"/>
        </w:rPr>
        <w:t>新建园区要统筹考虑供水、排水、污水处理及再生水利用设施建设，已建园区要开展以节水为重点的高质量转型升级和循环利用改造，加快节水和水循环利用设施建设，促进企业间串联用水、分质用水、一水多用和循环利用，工业废水必须经预处理达到集中处理要求后进入污水处理设施。加强园区内供排水监测，提高园区污水处理市场化程度，搭建园区节水、废水处理及资源化专业技术服务支撑体系和服务平台</w:t>
      </w:r>
      <w:r>
        <w:rPr>
          <w:rFonts w:hint="eastAsia" w:eastAsia="仿宋_GB2312" w:cs="Times New Roman"/>
        </w:rPr>
        <w:t>。</w:t>
      </w:r>
      <w:r>
        <w:rPr>
          <w:rFonts w:eastAsia="仿宋_GB2312" w:cs="Times New Roman"/>
        </w:rPr>
        <w:t>到2025年，培育不少于1家节水型工业园区。</w:t>
      </w:r>
    </w:p>
    <w:p>
      <w:pPr>
        <w:pStyle w:val="2"/>
        <w:jc w:val="left"/>
        <w:rPr>
          <w:rFonts w:eastAsia="仿宋_GB2312" w:cs="Times New Roman"/>
          <w:bCs/>
          <w:szCs w:val="24"/>
        </w:rPr>
      </w:pPr>
      <w:r>
        <w:rPr>
          <w:rFonts w:eastAsia="楷体_GB2312"/>
          <w:b/>
          <w:bCs/>
        </w:rPr>
        <w:t>加强农业节水增效</w:t>
      </w:r>
      <w:r>
        <w:rPr>
          <w:rFonts w:hint="eastAsia" w:eastAsia="楷体_GB2312"/>
          <w:b/>
          <w:bCs/>
        </w:rPr>
        <w:t>。</w:t>
      </w:r>
      <w:r>
        <w:rPr>
          <w:rFonts w:hint="eastAsia" w:eastAsia="仿宋_GB2312" w:cs="Times New Roman"/>
        </w:rPr>
        <w:t>推进高效农业节水灌溉，</w:t>
      </w:r>
      <w:r>
        <w:rPr>
          <w:rFonts w:eastAsia="仿宋_GB2312" w:cs="Times New Roman"/>
        </w:rPr>
        <w:t>加快灌区续建配套和现代化改造，分区域规模化推进高效节水灌溉，按照“建一片、成一片、发挥效益一片”的要求，结合高标准农田建设，大力发展管道灌溉、喷滴灌等高效节水灌溉，推广用水计量和智能控制技术，优化布局、连片治理、整体推进、规模发展。加快建设以节水灌溉和生态环境保护为重点的农业节水示范园区</w:t>
      </w:r>
      <w:r>
        <w:rPr>
          <w:rFonts w:hint="eastAsia" w:eastAsia="仿宋_GB2312" w:cs="Times New Roman"/>
        </w:rPr>
        <w:t>，</w:t>
      </w:r>
      <w:r>
        <w:rPr>
          <w:rFonts w:eastAsia="仿宋_GB2312" w:cs="Times New Roman"/>
        </w:rPr>
        <w:t>建设一批农业节水示范工程</w:t>
      </w:r>
      <w:r>
        <w:rPr>
          <w:rFonts w:hint="eastAsia" w:eastAsia="仿宋_GB2312" w:cs="Times New Roman"/>
        </w:rPr>
        <w:t>。</w:t>
      </w:r>
      <w:r>
        <w:rPr>
          <w:rFonts w:eastAsia="仿宋_GB2312" w:cs="Times New Roman"/>
        </w:rPr>
        <w:t>到2025年，培育建设1家农业节水示范园区。</w:t>
      </w:r>
    </w:p>
    <w:p>
      <w:pPr>
        <w:pStyle w:val="5"/>
        <w:spacing w:before="217" w:after="217"/>
        <w:rPr>
          <w:rFonts w:cs="Times New Roman"/>
        </w:rPr>
      </w:pPr>
      <w:bookmarkStart w:id="92" w:name="_Toc20858"/>
      <w:bookmarkStart w:id="93" w:name="_Toc110091677"/>
      <w:r>
        <w:rPr>
          <w:rFonts w:hint="eastAsia" w:cs="Times New Roman"/>
        </w:rPr>
        <w:t>三、推进非常规水资源利用</w:t>
      </w:r>
      <w:bookmarkEnd w:id="92"/>
      <w:bookmarkEnd w:id="93"/>
    </w:p>
    <w:p>
      <w:pPr>
        <w:rPr>
          <w:rFonts w:eastAsia="仿宋_GB2312" w:cs="Times New Roman"/>
          <w:bCs/>
          <w:szCs w:val="24"/>
        </w:rPr>
      </w:pPr>
      <w:r>
        <w:rPr>
          <w:rFonts w:eastAsia="仿宋_GB2312" w:cs="Times New Roman"/>
        </w:rPr>
        <w:t>大力推进再生水、雨水等非常规水资源的开发和利用，将非常规水资源利用纳入最严格水资源管理考核。到202</w:t>
      </w:r>
      <w:r>
        <w:rPr>
          <w:rFonts w:hint="eastAsia" w:eastAsia="仿宋_GB2312" w:cs="Times New Roman"/>
        </w:rPr>
        <w:t>5</w:t>
      </w:r>
      <w:r>
        <w:rPr>
          <w:rFonts w:eastAsia="仿宋_GB2312" w:cs="Times New Roman"/>
        </w:rPr>
        <w:t>年底，完成非常规水资源利用规划的编制；结合海绵城市建设，提高雨水资源利用水平；规划中心城区主城将结合城区污水</w:t>
      </w:r>
      <w:r>
        <w:rPr>
          <w:rFonts w:hint="eastAsia" w:ascii="仿宋_GB2312" w:hAnsi="仿宋_GB2312" w:eastAsia="仿宋_GB2312" w:cs="仿宋_GB2312"/>
          <w:kern w:val="0"/>
        </w:rPr>
        <w:t>处理</w:t>
      </w:r>
      <w:r>
        <w:rPr>
          <w:rFonts w:eastAsia="仿宋_GB2312" w:cs="Times New Roman"/>
        </w:rPr>
        <w:t>厂、南郊污水处理厂与新建的娄江新城污水处理厂建设再生水利用设施，铺设再生水管道，沿路设置再生水取水站；将非常规水资源纳入水资源配置体系，在建设项目水资源论证和取水许可审批时，优先考虑非常规水资源；科学核定计划用水户用水计划，优先配置非常规水资源。到2022年，非常规水资源利用管理制度健全、责任明确、经费落实、设施基本完善，城市非常规水资源替代率达到30%</w:t>
      </w:r>
      <w:r>
        <w:rPr>
          <w:rFonts w:hint="eastAsia" w:eastAsia="仿宋_GB2312" w:cs="Times New Roman"/>
        </w:rPr>
        <w:t>。</w:t>
      </w:r>
      <w:r>
        <w:rPr>
          <w:rFonts w:eastAsia="仿宋_GB2312" w:cs="Times New Roman"/>
        </w:rPr>
        <w:t>规划建设用地面积2万㎡以上新建建筑物，配套建设雨水收集利用系统，居民住宅小区或单位，有条件使用雨水的，除喷雾降温、降尘外，其内部的绿化</w:t>
      </w:r>
      <w:r>
        <w:rPr>
          <w:rFonts w:hint="eastAsia" w:eastAsia="仿宋_GB2312" w:cs="Times New Roman"/>
        </w:rPr>
        <w:t>浇灌</w:t>
      </w:r>
      <w:r>
        <w:rPr>
          <w:rFonts w:eastAsia="仿宋_GB2312" w:cs="Times New Roman"/>
        </w:rPr>
        <w:t>、道路冲洗不得取用公共供水。</w:t>
      </w:r>
    </w:p>
    <w:p>
      <w:pPr>
        <w:pStyle w:val="4"/>
        <w:spacing w:before="217" w:after="217"/>
        <w:rPr>
          <w:rFonts w:cs="Times New Roman"/>
        </w:rPr>
      </w:pPr>
      <w:bookmarkStart w:id="94" w:name="_Toc110091678"/>
      <w:bookmarkStart w:id="95" w:name="_Toc9638"/>
      <w:bookmarkStart w:id="96" w:name="_Toc109217328"/>
      <w:r>
        <w:rPr>
          <w:rFonts w:cs="Times New Roman"/>
        </w:rPr>
        <w:t>第五节 增强应急防控能力，切实保障饮用水安全</w:t>
      </w:r>
      <w:bookmarkEnd w:id="94"/>
      <w:bookmarkEnd w:id="95"/>
      <w:bookmarkEnd w:id="96"/>
    </w:p>
    <w:p>
      <w:pPr>
        <w:pStyle w:val="5"/>
        <w:spacing w:before="217" w:after="217"/>
        <w:rPr>
          <w:rFonts w:cs="Times New Roman"/>
        </w:rPr>
      </w:pPr>
      <w:bookmarkStart w:id="97" w:name="_Toc30848"/>
      <w:bookmarkStart w:id="98" w:name="_Toc110091679"/>
      <w:r>
        <w:rPr>
          <w:rFonts w:hint="eastAsia" w:cs="Times New Roman"/>
        </w:rPr>
        <w:t>一、深化饮用水水源地保护和管理</w:t>
      </w:r>
      <w:bookmarkEnd w:id="97"/>
      <w:bookmarkEnd w:id="98"/>
    </w:p>
    <w:p>
      <w:pPr>
        <w:widowControl/>
        <w:jc w:val="left"/>
        <w:rPr>
          <w:rFonts w:eastAsia="仿宋_GB2312" w:cs="Times New Roman"/>
        </w:rPr>
      </w:pPr>
      <w:r>
        <w:rPr>
          <w:rFonts w:eastAsia="楷体_GB2312" w:cs="Times New Roman"/>
          <w:b/>
        </w:rPr>
        <w:t>强化饮用水水源地保护。</w:t>
      </w:r>
      <w:r>
        <w:rPr>
          <w:rFonts w:eastAsia="仿宋_GB2312" w:cs="Times New Roman"/>
        </w:rPr>
        <w:t>长江沿线水源地应该重点防范港口码头布局和运输带来的环境风险。</w:t>
      </w:r>
      <w:r>
        <w:rPr>
          <w:rFonts w:hint="eastAsia" w:eastAsia="仿宋_GB2312" w:cs="Times New Roman"/>
        </w:rPr>
        <w:t>开展常备水源地与应急水源地建设和保护，</w:t>
      </w:r>
      <w:r>
        <w:rPr>
          <w:rFonts w:eastAsia="仿宋_GB2312" w:cs="Times New Roman"/>
        </w:rPr>
        <w:t>每年开展浏河口饮用水水源地环境状况调查评估，</w:t>
      </w:r>
      <w:r>
        <w:rPr>
          <w:rFonts w:hint="eastAsia" w:eastAsia="仿宋_GB2312" w:cs="Times New Roman"/>
        </w:rPr>
        <w:t>实施浏河水库清淤工程，</w:t>
      </w:r>
      <w:r>
        <w:rPr>
          <w:rFonts w:eastAsia="仿宋_GB2312" w:cs="Times New Roman"/>
        </w:rPr>
        <w:t>对占地3</w:t>
      </w:r>
      <w:r>
        <w:rPr>
          <w:rFonts w:hint="eastAsia" w:eastAsia="仿宋_GB2312" w:cs="Times New Roman"/>
        </w:rPr>
        <w:t>731</w:t>
      </w:r>
      <w:r>
        <w:rPr>
          <w:rFonts w:eastAsia="仿宋_GB2312" w:cs="Times New Roman"/>
        </w:rPr>
        <w:t>亩、有效库容1427万方的水库进行清淤</w:t>
      </w:r>
      <w:r>
        <w:rPr>
          <w:rFonts w:hint="eastAsia" w:eastAsia="仿宋_GB2312" w:cs="Times New Roman"/>
        </w:rPr>
        <w:t>。加强饮用水</w:t>
      </w:r>
      <w:r>
        <w:rPr>
          <w:rFonts w:eastAsia="仿宋_GB2312" w:cs="Times New Roman"/>
        </w:rPr>
        <w:t>水源地</w:t>
      </w:r>
      <w:r>
        <w:rPr>
          <w:rFonts w:hint="eastAsia" w:eastAsia="仿宋_GB2312" w:cs="Times New Roman"/>
        </w:rPr>
        <w:t>监测预警体系建设，提升水源地监控预警能力，更新三水厂水源地水站设施设备，在水源地水站及上游预警站增加挥发酚和挥发性有机物监测设备。</w:t>
      </w:r>
      <w:r>
        <w:rPr>
          <w:rFonts w:eastAsia="仿宋_GB2312" w:cs="Times New Roman"/>
        </w:rPr>
        <w:t>做好水源地保护区划分及优化调整工作，开展水源地保护区矢量图集的动态更新。定期开展水源地环境安全隐患排查整治，</w:t>
      </w:r>
      <w:r>
        <w:rPr>
          <w:rFonts w:eastAsia="仿宋_GB2312" w:cs="Times New Roman"/>
          <w:bCs/>
          <w:kern w:val="0"/>
        </w:rPr>
        <w:t>加强</w:t>
      </w:r>
      <w:r>
        <w:rPr>
          <w:rFonts w:hint="eastAsia" w:eastAsia="仿宋_GB2312" w:cs="Times New Roman"/>
          <w:bCs/>
          <w:kern w:val="0"/>
        </w:rPr>
        <w:t>饮用水水源地</w:t>
      </w:r>
      <w:r>
        <w:rPr>
          <w:rFonts w:eastAsia="仿宋_GB2312" w:cs="Times New Roman"/>
          <w:bCs/>
          <w:kern w:val="0"/>
        </w:rPr>
        <w:t>问题排查整治、日常管护和应急处置，</w:t>
      </w:r>
      <w:r>
        <w:rPr>
          <w:rFonts w:eastAsia="仿宋_GB2312" w:cs="Times New Roman"/>
        </w:rPr>
        <w:t>定期修订应对突发水污染事件的水源地及供水安全保障应急预案</w:t>
      </w:r>
      <w:r>
        <w:rPr>
          <w:rFonts w:eastAsia="仿宋_GB2312" w:cs="Times New Roman"/>
          <w:bCs/>
          <w:kern w:val="0"/>
        </w:rPr>
        <w:t>，进一步保障水源水质安全。</w:t>
      </w:r>
      <w:r>
        <w:rPr>
          <w:rFonts w:eastAsia="仿宋_GB2312" w:cs="Times New Roman"/>
        </w:rPr>
        <w:t>到2025年，全市集中式饮用水水源地水质达到或优于Ⅲ类水质比例稳定达到100%。</w:t>
      </w:r>
    </w:p>
    <w:p>
      <w:pPr>
        <w:rPr>
          <w:rFonts w:eastAsia="仿宋_GB2312" w:cs="Times New Roman"/>
        </w:rPr>
      </w:pPr>
      <w:r>
        <w:rPr>
          <w:rFonts w:eastAsia="楷体_GB2312" w:cs="Times New Roman"/>
          <w:b/>
        </w:rPr>
        <w:t>提升饮用水应急</w:t>
      </w:r>
      <w:r>
        <w:rPr>
          <w:rFonts w:hint="eastAsia" w:eastAsia="楷体_GB2312" w:cs="Times New Roman"/>
          <w:b/>
        </w:rPr>
        <w:t>保障</w:t>
      </w:r>
      <w:r>
        <w:rPr>
          <w:rFonts w:eastAsia="楷体_GB2312" w:cs="Times New Roman"/>
          <w:b/>
        </w:rPr>
        <w:t>能力。</w:t>
      </w:r>
      <w:r>
        <w:rPr>
          <w:rFonts w:eastAsia="仿宋_GB2312" w:cs="Times New Roman"/>
        </w:rPr>
        <w:t>完善应急水源工程的规划和建设，</w:t>
      </w:r>
      <w:r>
        <w:rPr>
          <w:rFonts w:hint="eastAsia" w:eastAsia="仿宋_GB2312" w:cs="Times New Roman"/>
        </w:rPr>
        <w:t>开展白茆口应急备用水源地建设前期可行性研究，做好实施准备。</w:t>
      </w:r>
      <w:r>
        <w:rPr>
          <w:rFonts w:eastAsia="仿宋_GB2312" w:cs="Times New Roman"/>
        </w:rPr>
        <w:t>全面提高水源保障能力和水平，更好地保障全市居民基本的用水需求。定期修订应对突发水污染事件的水源地及供水安全保障应急预案；建立应对突发事件的人员、物资储备机制和技术保障体系；实行定期演练制度，建立健全有效的预警机制等。完善城市区域供水体系，按照“区域互补，多网联动”的原则优化供水布局，提高城市整体供水安全保障程度和效率。推进市域供水一体化，与昆山市互连互通，建设互联互通管网</w:t>
      </w:r>
      <w:r>
        <w:rPr>
          <w:rFonts w:hint="eastAsia" w:eastAsia="仿宋_GB2312" w:cs="Times New Roman"/>
        </w:rPr>
        <w:t>5.9</w:t>
      </w:r>
      <w:r>
        <w:rPr>
          <w:rFonts w:eastAsia="仿宋_GB2312" w:cs="Times New Roman"/>
        </w:rPr>
        <w:t>km，提升应急供水保障能力。</w:t>
      </w:r>
    </w:p>
    <w:p>
      <w:pPr>
        <w:pStyle w:val="5"/>
        <w:spacing w:before="217" w:after="217"/>
        <w:rPr>
          <w:rFonts w:cs="Times New Roman"/>
        </w:rPr>
      </w:pPr>
      <w:bookmarkStart w:id="99" w:name="_Toc110091681"/>
      <w:bookmarkStart w:id="100" w:name="_Toc6535"/>
      <w:r>
        <w:rPr>
          <w:rFonts w:hint="eastAsia" w:cs="Times New Roman"/>
        </w:rPr>
        <w:t>二、强化优质供水保障</w:t>
      </w:r>
      <w:bookmarkEnd w:id="99"/>
      <w:bookmarkEnd w:id="100"/>
    </w:p>
    <w:p>
      <w:pPr>
        <w:rPr>
          <w:rFonts w:cs="Times New Roman"/>
        </w:rPr>
      </w:pPr>
      <w:r>
        <w:rPr>
          <w:rFonts w:eastAsia="仿宋_GB2312" w:cs="Times New Roman"/>
        </w:rPr>
        <w:t>继续加大城市水厂、供水管网能力建设，在有条件的部分地区开展分质供水试点，实现优水优用。全面完成全市水厂深度处理改造，厂网并举，推进供水管网新改建，新建</w:t>
      </w:r>
      <w:r>
        <w:rPr>
          <w:rFonts w:hint="eastAsia" w:eastAsia="仿宋_GB2312" w:cs="Times New Roman"/>
        </w:rPr>
        <w:t>城乡</w:t>
      </w:r>
      <w:r>
        <w:rPr>
          <w:rFonts w:eastAsia="仿宋_GB2312" w:cs="Times New Roman"/>
        </w:rPr>
        <w:t>供水管网</w:t>
      </w:r>
      <w:r>
        <w:rPr>
          <w:rFonts w:hint="eastAsia" w:eastAsia="仿宋_GB2312" w:cs="Times New Roman"/>
        </w:rPr>
        <w:t>100</w:t>
      </w:r>
      <w:r>
        <w:rPr>
          <w:rFonts w:eastAsia="仿宋_GB2312" w:cs="Times New Roman"/>
        </w:rPr>
        <w:t>km，</w:t>
      </w:r>
      <w:r>
        <w:rPr>
          <w:rFonts w:hint="eastAsia" w:eastAsia="仿宋_GB2312" w:cs="Times New Roman"/>
        </w:rPr>
        <w:t>实施</w:t>
      </w:r>
      <w:r>
        <w:rPr>
          <w:rFonts w:eastAsia="仿宋_GB2312" w:cs="Times New Roman"/>
        </w:rPr>
        <w:t>老旧</w:t>
      </w:r>
      <w:r>
        <w:rPr>
          <w:rFonts w:hint="eastAsia" w:eastAsia="仿宋_GB2312" w:cs="Times New Roman"/>
        </w:rPr>
        <w:t>供水</w:t>
      </w:r>
      <w:r>
        <w:rPr>
          <w:rFonts w:eastAsia="仿宋_GB2312" w:cs="Times New Roman"/>
        </w:rPr>
        <w:t>管网改造</w:t>
      </w:r>
      <w:r>
        <w:rPr>
          <w:rFonts w:hint="eastAsia" w:eastAsia="仿宋_GB2312" w:cs="Times New Roman"/>
        </w:rPr>
        <w:t>200</w:t>
      </w:r>
      <w:r>
        <w:rPr>
          <w:rFonts w:eastAsia="仿宋_GB2312" w:cs="Times New Roman"/>
        </w:rPr>
        <w:t>km</w:t>
      </w:r>
      <w:r>
        <w:rPr>
          <w:rFonts w:hint="eastAsia" w:eastAsia="仿宋_GB2312" w:cs="Times New Roman"/>
        </w:rPr>
        <w:t>。启动城区增压站扩建工程的前期工作，扩建规模为15</w:t>
      </w:r>
      <w:r>
        <w:rPr>
          <w:rFonts w:eastAsia="仿宋_GB2312" w:cs="Times New Roman"/>
        </w:rPr>
        <w:t>万m³/天，提升增压站供水能力</w:t>
      </w:r>
      <w:r>
        <w:rPr>
          <w:rFonts w:hint="eastAsia" w:eastAsia="仿宋_GB2312" w:cs="Times New Roman"/>
        </w:rPr>
        <w:t>，确保安全优质供水</w:t>
      </w:r>
      <w:r>
        <w:rPr>
          <w:rFonts w:eastAsia="仿宋_GB2312" w:cs="Times New Roman"/>
        </w:rPr>
        <w:t>。积极推进高品质供水，分阶段、分区域逐步实现全域高品质供水目标。</w:t>
      </w:r>
    </w:p>
    <w:p>
      <w:pPr>
        <w:pStyle w:val="4"/>
        <w:spacing w:before="217" w:after="217"/>
        <w:rPr>
          <w:rFonts w:cs="Times New Roman"/>
        </w:rPr>
      </w:pPr>
      <w:bookmarkStart w:id="101" w:name="_Toc4769"/>
      <w:bookmarkStart w:id="102" w:name="_Toc109217329"/>
      <w:bookmarkStart w:id="103" w:name="_Toc110091682"/>
      <w:r>
        <w:rPr>
          <w:rFonts w:cs="Times New Roman"/>
        </w:rPr>
        <w:t>第六节 坚持低碳循环生态，建立健全有机废弃物处理利用体系</w:t>
      </w:r>
      <w:bookmarkEnd w:id="101"/>
      <w:bookmarkEnd w:id="102"/>
      <w:bookmarkEnd w:id="103"/>
    </w:p>
    <w:p>
      <w:pPr>
        <w:pStyle w:val="5"/>
        <w:spacing w:before="217" w:after="217"/>
        <w:rPr>
          <w:rFonts w:cs="Times New Roman"/>
        </w:rPr>
      </w:pPr>
      <w:bookmarkStart w:id="104" w:name="_Toc22517"/>
      <w:bookmarkStart w:id="105" w:name="_Toc110091683"/>
      <w:r>
        <w:rPr>
          <w:rFonts w:hint="eastAsia" w:cs="Times New Roman"/>
        </w:rPr>
        <w:t>一、加快分类—收集—储存—运输体系建设</w:t>
      </w:r>
      <w:bookmarkEnd w:id="104"/>
      <w:bookmarkEnd w:id="105"/>
    </w:p>
    <w:p>
      <w:pPr>
        <w:pStyle w:val="2"/>
        <w:jc w:val="left"/>
        <w:rPr>
          <w:rFonts w:eastAsia="仿宋_GB2312" w:cs="Times New Roman"/>
        </w:rPr>
      </w:pPr>
      <w:r>
        <w:rPr>
          <w:rFonts w:eastAsia="仿宋_GB2312" w:cs="Times New Roman"/>
        </w:rPr>
        <w:t>健全有机废弃物分类-收集-运输体系建设，建立有机废弃物分类管理制度，引入社会化专业机构参与有机废弃物收集、储存、运输各环节，利用大数据平台加强行业监督，提升全区有机废弃物收储运效率。加快推进现有生活垃圾焚烧设施的升级改造和建设，</w:t>
      </w:r>
      <w:r>
        <w:rPr>
          <w:rFonts w:hint="eastAsia" w:eastAsia="仿宋_GB2312" w:cs="Times New Roman"/>
        </w:rPr>
        <w:t>新建太仓再生资源综合利用项目，新增</w:t>
      </w:r>
      <w:r>
        <w:rPr>
          <w:rFonts w:eastAsia="仿宋_GB2312" w:cs="Times New Roman"/>
        </w:rPr>
        <w:t>生活垃圾</w:t>
      </w:r>
      <w:r>
        <w:rPr>
          <w:rFonts w:hint="eastAsia" w:eastAsia="仿宋_GB2312" w:cs="Times New Roman"/>
        </w:rPr>
        <w:t>处理规模</w:t>
      </w:r>
      <w:r>
        <w:rPr>
          <w:rFonts w:eastAsia="仿宋_GB2312" w:cs="Times New Roman"/>
        </w:rPr>
        <w:t>2250吨</w:t>
      </w:r>
      <w:r>
        <w:rPr>
          <w:rFonts w:hint="eastAsia" w:eastAsia="仿宋_GB2312" w:cs="Times New Roman"/>
        </w:rPr>
        <w:t>/日，</w:t>
      </w:r>
      <w:r>
        <w:rPr>
          <w:rFonts w:eastAsia="仿宋_GB2312" w:cs="Times New Roman"/>
        </w:rPr>
        <w:t>实现生活垃圾全量焚烧</w:t>
      </w:r>
      <w:r>
        <w:rPr>
          <w:rFonts w:hint="eastAsia" w:eastAsia="仿宋_GB2312" w:cs="Times New Roman"/>
        </w:rPr>
        <w:t>零外运，</w:t>
      </w:r>
      <w:r>
        <w:rPr>
          <w:rFonts w:eastAsia="仿宋_GB2312" w:cs="Times New Roman"/>
        </w:rPr>
        <w:t>解决生活垃圾处理能力不足问题。进一步加大生活污水处理厂污泥减量化，在全面完成现有污泥处理设施升级改造的基础上加强设施运行监管。到2025年，</w:t>
      </w:r>
      <w:r>
        <w:rPr>
          <w:rFonts w:hint="eastAsia" w:eastAsia="仿宋_GB2312" w:cs="Times New Roman"/>
        </w:rPr>
        <w:t>全市</w:t>
      </w:r>
      <w:r>
        <w:rPr>
          <w:rFonts w:eastAsia="仿宋_GB2312" w:cs="Times New Roman"/>
        </w:rPr>
        <w:t>生活垃圾分类收集与处理设施覆盖率</w:t>
      </w:r>
      <w:r>
        <w:rPr>
          <w:rFonts w:hint="eastAsia" w:eastAsia="仿宋_GB2312" w:cs="Times New Roman"/>
        </w:rPr>
        <w:t>达100%；农膜回收率达到98</w:t>
      </w:r>
      <w:r>
        <w:rPr>
          <w:rFonts w:eastAsia="仿宋_GB2312" w:cs="Times New Roman"/>
        </w:rPr>
        <w:t>%</w:t>
      </w:r>
      <w:r>
        <w:rPr>
          <w:rFonts w:hint="eastAsia" w:eastAsia="仿宋_GB2312" w:cs="Times New Roman"/>
        </w:rPr>
        <w:t>以上；农药包装废弃物回收覆盖率达</w:t>
      </w:r>
      <w:r>
        <w:rPr>
          <w:rFonts w:eastAsia="仿宋_GB2312" w:cs="Times New Roman"/>
        </w:rPr>
        <w:t>100%，无害化处理率100%，农药包装废弃物回收监测评价良好以上等级率达</w:t>
      </w:r>
      <w:r>
        <w:rPr>
          <w:rFonts w:hint="eastAsia" w:eastAsia="仿宋_GB2312" w:cs="Times New Roman"/>
        </w:rPr>
        <w:t>80</w:t>
      </w:r>
      <w:r>
        <w:rPr>
          <w:rFonts w:eastAsia="仿宋_GB2312" w:cs="Times New Roman"/>
        </w:rPr>
        <w:t>%以上</w:t>
      </w:r>
      <w:r>
        <w:rPr>
          <w:rFonts w:hint="eastAsia" w:eastAsia="仿宋_GB2312" w:cs="Times New Roman"/>
        </w:rPr>
        <w:t>。</w:t>
      </w:r>
    </w:p>
    <w:p>
      <w:pPr>
        <w:pStyle w:val="5"/>
        <w:spacing w:before="217" w:after="217"/>
        <w:rPr>
          <w:rFonts w:cs="Times New Roman"/>
        </w:rPr>
      </w:pPr>
      <w:bookmarkStart w:id="106" w:name="_Toc26244"/>
      <w:bookmarkStart w:id="107" w:name="_Toc110091684"/>
      <w:bookmarkStart w:id="108" w:name="_Toc107566062"/>
      <w:r>
        <w:rPr>
          <w:rFonts w:hint="eastAsia" w:cs="Times New Roman"/>
        </w:rPr>
        <w:t>二、完善处理—利用—资源化体系建设</w:t>
      </w:r>
      <w:bookmarkEnd w:id="106"/>
      <w:bookmarkEnd w:id="107"/>
      <w:bookmarkEnd w:id="108"/>
    </w:p>
    <w:p>
      <w:r>
        <w:rPr>
          <w:rFonts w:eastAsia="仿宋_GB2312" w:cs="Times New Roman"/>
        </w:rPr>
        <w:t>依据有机废弃物原料属性、处理成本、市场需求等合理确定餐厨废弃物、园林废弃物、农村畜禽粪污、秸秆、蓝藻、水生植物等有机废弃物处理利用技术方法，大力开展有机废弃物终端处理设施建设，逐步形成规模化、效益化发展模式。</w:t>
      </w:r>
      <w:r>
        <w:rPr>
          <w:rFonts w:hint="eastAsia" w:eastAsia="仿宋_GB2312" w:cs="Times New Roman"/>
        </w:rPr>
        <w:t>实施</w:t>
      </w:r>
      <w:r>
        <w:rPr>
          <w:rFonts w:eastAsia="仿宋_GB2312" w:cs="Times New Roman"/>
        </w:rPr>
        <w:t>太仓市新建生猪育肥场畜禽粪污资源化利用奖补项目</w:t>
      </w:r>
      <w:r>
        <w:rPr>
          <w:rFonts w:hint="eastAsia" w:eastAsia="仿宋_GB2312" w:cs="Times New Roman"/>
        </w:rPr>
        <w:t>，</w:t>
      </w:r>
      <w:r>
        <w:rPr>
          <w:rFonts w:eastAsia="仿宋_GB2312" w:cs="Times New Roman"/>
        </w:rPr>
        <w:t>实现生态种养、接近零排放的生态型循环农场</w:t>
      </w:r>
      <w:r>
        <w:rPr>
          <w:rFonts w:hint="eastAsia" w:eastAsia="仿宋_GB2312" w:cs="Times New Roman"/>
        </w:rPr>
        <w:t>。</w:t>
      </w:r>
      <w:r>
        <w:rPr>
          <w:rFonts w:eastAsia="仿宋_GB2312" w:cs="Times New Roman"/>
        </w:rPr>
        <w:t>以科技创新为动力，加快有机废弃物综合利用新技术研发、创新及应用，提升有机废弃物综合利用水平。</w:t>
      </w:r>
      <w:r>
        <w:rPr>
          <w:rFonts w:hint="eastAsia" w:eastAsia="仿宋_GB2312" w:cs="Times New Roman"/>
        </w:rPr>
        <w:t>实施太仓市2021年中央农作物秸秆综合利用试点项目，</w:t>
      </w:r>
      <w:r>
        <w:rPr>
          <w:rFonts w:eastAsia="仿宋_GB2312" w:cs="Times New Roman"/>
        </w:rPr>
        <w:t>持续保障秸秆综合利</w:t>
      </w:r>
      <w:r>
        <w:rPr>
          <w:rFonts w:hint="eastAsia" w:eastAsia="仿宋_GB2312" w:cs="Times New Roman"/>
        </w:rPr>
        <w:t>用率在</w:t>
      </w:r>
      <w:r>
        <w:rPr>
          <w:rFonts w:eastAsia="仿宋_GB2312" w:cs="Times New Roman"/>
        </w:rPr>
        <w:t>100%</w:t>
      </w:r>
      <w:r>
        <w:rPr>
          <w:rFonts w:hint="eastAsia" w:eastAsia="仿宋_GB2312" w:cs="Times New Roman"/>
        </w:rPr>
        <w:t>，形成秸秆综合利用典型模式和主推技术。</w:t>
      </w:r>
      <w:r>
        <w:rPr>
          <w:rFonts w:eastAsia="仿宋_GB2312" w:cs="Times New Roman"/>
        </w:rPr>
        <w:t>深化管理制度改革，建立区域废弃物管理联动机制，开展废弃物集中处置区域合作。强化信息化建设，实现各类废弃物信息互联互通，提高废弃物资源化利用水平</w:t>
      </w:r>
      <w:r>
        <w:rPr>
          <w:rFonts w:hint="eastAsia" w:eastAsia="仿宋_GB2312" w:cs="Times New Roman"/>
        </w:rPr>
        <w:t>，</w:t>
      </w:r>
      <w:r>
        <w:rPr>
          <w:rFonts w:eastAsia="仿宋_GB2312" w:cs="Times New Roman"/>
        </w:rPr>
        <w:t>降低最终处置量。</w:t>
      </w:r>
    </w:p>
    <w:p>
      <w:pPr>
        <w:pStyle w:val="5"/>
        <w:spacing w:before="217" w:after="217"/>
        <w:rPr>
          <w:rFonts w:cs="Times New Roman"/>
        </w:rPr>
      </w:pPr>
      <w:bookmarkStart w:id="109" w:name="_Toc3556"/>
      <w:bookmarkStart w:id="110" w:name="_Toc110091685"/>
      <w:bookmarkStart w:id="111" w:name="_Toc107566063"/>
      <w:r>
        <w:rPr>
          <w:rFonts w:hint="eastAsia" w:cs="Times New Roman"/>
        </w:rPr>
        <w:t>三、健全技术支撑—监督评估体系建设</w:t>
      </w:r>
      <w:bookmarkEnd w:id="109"/>
      <w:bookmarkEnd w:id="110"/>
      <w:bookmarkEnd w:id="111"/>
    </w:p>
    <w:p>
      <w:pPr>
        <w:rPr>
          <w:rFonts w:cs="Times New Roman"/>
        </w:rPr>
      </w:pPr>
      <w:r>
        <w:rPr>
          <w:rFonts w:eastAsia="楷体_GB2312" w:cs="Times New Roman"/>
          <w:b/>
        </w:rPr>
        <w:t>建立健全技术支撑体系。</w:t>
      </w:r>
      <w:r>
        <w:rPr>
          <w:rFonts w:cs="Times New Roman"/>
        </w:rPr>
        <w:t>遵循“谁产废，谁付费；谁处理，谁受益”的原则，探索有机废弃物以资源化利用为主、能源化利用为辅的产业新模式。研究商品有机肥替代化肥的补贴政策，提高符合国家标准的有机肥施用比例。制定完善餐厨垃圾、秸秆离田、水生植物等有机废弃物处理利用补贴标准。畜禽粪污和秸秆等农业农村废弃物处理利用设施运行用电执行农业生产用电价格。鼓励通过政府投入、市场竞争、购买服务、赋权开发或经营等多种模式，积极引入社会资本，有效减少企业投资压力、降低成本、增加收入，保障企业取得合理回报。</w:t>
      </w:r>
    </w:p>
    <w:p>
      <w:pPr>
        <w:rPr>
          <w:rFonts w:cs="Times New Roman"/>
        </w:rPr>
      </w:pPr>
      <w:r>
        <w:rPr>
          <w:rFonts w:eastAsia="楷体_GB2312" w:cs="Times New Roman"/>
          <w:b/>
        </w:rPr>
        <w:t>建立健全监督评估体系。</w:t>
      </w:r>
      <w:r>
        <w:rPr>
          <w:rFonts w:cs="Times New Roman"/>
          <w:kern w:val="0"/>
        </w:rPr>
        <w:t>健全集中统一监督体制，推动有机废弃物处理利用多头管理制度改革，探索建立分城市、农村、水域的管理体制，分别明确集中管理部门。将有机废弃物工作纳入高质量目标考核体系，强化督促检查，加强动态评估考核。进一步加强组织推进，建立工程项目库，实施动态管理，高质量稳步推进示范区建设</w:t>
      </w:r>
      <w:r>
        <w:rPr>
          <w:rFonts w:cs="Times New Roman"/>
        </w:rPr>
        <w:t>。</w:t>
      </w:r>
    </w:p>
    <w:p>
      <w:pPr>
        <w:pStyle w:val="4"/>
        <w:spacing w:before="217" w:after="217"/>
        <w:rPr>
          <w:rFonts w:cs="Times New Roman"/>
        </w:rPr>
      </w:pPr>
      <w:bookmarkStart w:id="112" w:name="_Toc110091686"/>
      <w:bookmarkStart w:id="113" w:name="_Toc109217330"/>
      <w:bookmarkStart w:id="114" w:name="_Toc4749"/>
      <w:r>
        <w:rPr>
          <w:rFonts w:cs="Times New Roman"/>
        </w:rPr>
        <w:t>第七节 加强改革创新，提升治理体系和治理能力现代化水平</w:t>
      </w:r>
      <w:bookmarkEnd w:id="112"/>
      <w:bookmarkEnd w:id="113"/>
      <w:bookmarkEnd w:id="114"/>
    </w:p>
    <w:p>
      <w:pPr>
        <w:pStyle w:val="5"/>
        <w:spacing w:before="217" w:after="217"/>
        <w:rPr>
          <w:rFonts w:cs="Times New Roman"/>
        </w:rPr>
      </w:pPr>
      <w:bookmarkStart w:id="115" w:name="_Toc110091687"/>
      <w:bookmarkStart w:id="116" w:name="_Toc107566066"/>
      <w:bookmarkStart w:id="117" w:name="_Toc30816"/>
      <w:r>
        <w:rPr>
          <w:rFonts w:hint="eastAsia" w:cs="Times New Roman"/>
        </w:rPr>
        <w:t>一、完善生态环境管理制度</w:t>
      </w:r>
      <w:bookmarkEnd w:id="115"/>
      <w:bookmarkEnd w:id="116"/>
      <w:bookmarkEnd w:id="117"/>
    </w:p>
    <w:p>
      <w:pPr>
        <w:rPr>
          <w:rFonts w:eastAsia="仿宋_GB2312" w:cs="Times New Roman"/>
        </w:rPr>
      </w:pPr>
      <w:r>
        <w:rPr>
          <w:rFonts w:eastAsia="楷体_GB2312" w:cs="Times New Roman"/>
          <w:b/>
          <w:bCs/>
        </w:rPr>
        <w:t>深入推进排污许可证管理。</w:t>
      </w:r>
      <w:r>
        <w:rPr>
          <w:rFonts w:eastAsia="仿宋_GB2312" w:cs="Times New Roman"/>
        </w:rPr>
        <w:t>加强排污许可管理。继续推进建立以排污许可证为核心的固定污染源监管制度体系，实行“一证式”管理，推动排污许可与环境执法、环境监测、总量控制、排污权交易、清洁生产等环境管理制度有机衔接。开展主要水污染物排污权有偿使用和交易试点。加强排污许可证后管理，组织开展排污许可清理整顿“回头看”，建立排污许可质量控制长效机制。</w:t>
      </w:r>
    </w:p>
    <w:p>
      <w:pPr>
        <w:pStyle w:val="2"/>
        <w:jc w:val="left"/>
        <w:rPr>
          <w:rFonts w:eastAsia="楷体_GB2312" w:cs="Times New Roman"/>
          <w:b/>
          <w:bCs/>
        </w:rPr>
      </w:pPr>
      <w:r>
        <w:rPr>
          <w:rFonts w:hint="eastAsia" w:eastAsia="楷体_GB2312" w:cs="Times New Roman"/>
          <w:b/>
          <w:bCs/>
        </w:rPr>
        <w:t>建立健全生态产品价值实现机制。</w:t>
      </w:r>
      <w:r>
        <w:rPr>
          <w:rFonts w:eastAsia="仿宋_GB2312"/>
        </w:rPr>
        <w:t>加快自然资源及其产品价格改革，将资源所有者权益和生态环境损害等纳入自然资源及其产品价格形成机制。积极探索进行自然资源资产核算，通过对水生态系统、森林生态系统、草地生态系统、耕地生态系统、湿地生态系统、大气系统和动植物等生态资产提供的有形生态产品价值和无形生态服务价值进行评估，形成一组以生态产品生产总值（GEP）为中心的关键指标，与经济核算中的GDP相对应，并探索将生态产品生产总值纳入“十四五”国民经济与社会发展指标体系。</w:t>
      </w:r>
    </w:p>
    <w:p>
      <w:pPr>
        <w:pStyle w:val="2"/>
        <w:jc w:val="left"/>
        <w:rPr>
          <w:rFonts w:eastAsia="楷体_GB2312" w:cs="Times New Roman"/>
          <w:b/>
          <w:bCs/>
        </w:rPr>
      </w:pPr>
      <w:r>
        <w:rPr>
          <w:rFonts w:hint="eastAsia" w:eastAsia="楷体_GB2312" w:cs="Times New Roman"/>
          <w:b/>
          <w:bCs/>
        </w:rPr>
        <w:t>推动建立生态保护补偿机制。</w:t>
      </w:r>
      <w:r>
        <w:rPr>
          <w:rFonts w:eastAsia="仿宋_GB2312"/>
        </w:rPr>
        <w:t>结合太仓市主体功能区划、重要生态功能保护区规划和生态红线区划，尽快出台环境资源生态补偿政策方案。完善重要生态功能区区域补偿、生态红线保护区域补偿、基本农田补偿、危险废物处置补偿、森林湿地保护等生态补偿机制，设立生态补偿专项资金，扩大生态补偿范围，推动地区间建立横向生态补偿制度。开展受益地区与保护地区之间横向生态补偿机制试点，探索建立多元化补偿机制，完善生态环保成效与资金分配挂钩的激励约束机制。</w:t>
      </w:r>
    </w:p>
    <w:p>
      <w:pPr>
        <w:pStyle w:val="2"/>
        <w:jc w:val="left"/>
        <w:rPr>
          <w:rFonts w:eastAsia="仿宋_GB2312" w:cs="Times New Roman"/>
        </w:rPr>
      </w:pPr>
      <w:r>
        <w:rPr>
          <w:rFonts w:eastAsia="楷体_GB2312" w:cs="Times New Roman"/>
          <w:b/>
          <w:bCs/>
        </w:rPr>
        <w:t>实施环境权益交易制度。</w:t>
      </w:r>
      <w:r>
        <w:rPr>
          <w:rFonts w:eastAsia="仿宋_GB2312" w:cs="Times New Roman"/>
        </w:rPr>
        <w:t>全面推行排污权有偿使用和交易，开展新改扩建项目排污权有偿取得，逐步开展现有排污单位排污权有偿取得，加快推进排污权交易，探索实施区域总量与企业总量联动控制。积极探索排污权交易二级市场，实现环境资源的最佳优化配置。完善实施与减污降碳成效挂钩的财政政策，推行用能权、碳排放权、林权、水权交易制度。</w:t>
      </w:r>
    </w:p>
    <w:p>
      <w:pPr>
        <w:rPr>
          <w:rFonts w:eastAsia="仿宋_GB2312" w:cs="Times New Roman"/>
        </w:rPr>
      </w:pPr>
      <w:r>
        <w:rPr>
          <w:rFonts w:eastAsia="楷体_GB2312" w:cs="Times New Roman"/>
          <w:b/>
          <w:bCs/>
        </w:rPr>
        <w:t>创新投融资机制。</w:t>
      </w:r>
      <w:r>
        <w:rPr>
          <w:rFonts w:eastAsia="仿宋_GB2312" w:cs="Times New Roman"/>
        </w:rPr>
        <w:t>加快形成有利于绿色发展的价格政策体系，探索建立稳定有效的价费机制和分类有效的投融资机制，严格落实“谁污染、谁付费”的政策导向，建立和完善固体废物处置、污水垃圾处理、节水节能等重点领域的价格形成机制。探索建立多元化投入机制，完善“政府补贴＋第三方治理＋税收优惠”联动机制。支持污染防治等生态环保PPP项目和环境绩效合同服务项目，健全投资回报和补贴机制。大力发展绿色信贷、绿色融资担保、绿色债券、绿色保险。支持环境治理整体解决方案、环保管家、区域一体化服务模式、园区污染防治第三方治理示范、生态环境导向的开发（EOD）模式试点等创新发展。</w:t>
      </w:r>
    </w:p>
    <w:p>
      <w:pPr>
        <w:pStyle w:val="5"/>
        <w:spacing w:before="217" w:after="217"/>
        <w:rPr>
          <w:rFonts w:cs="Times New Roman"/>
        </w:rPr>
      </w:pPr>
      <w:bookmarkStart w:id="118" w:name="_Toc32493"/>
      <w:bookmarkStart w:id="119" w:name="_Toc110091688"/>
      <w:r>
        <w:rPr>
          <w:rFonts w:hint="eastAsia" w:cs="Times New Roman"/>
        </w:rPr>
        <w:t>二、强化水环境达标精细化管理</w:t>
      </w:r>
      <w:bookmarkEnd w:id="118"/>
      <w:bookmarkEnd w:id="119"/>
    </w:p>
    <w:p>
      <w:pPr>
        <w:rPr>
          <w:rFonts w:eastAsia="仿宋_GB2312" w:cs="Times New Roman"/>
        </w:rPr>
      </w:pPr>
      <w:r>
        <w:rPr>
          <w:rFonts w:eastAsia="楷体_GB2312" w:cs="Times New Roman"/>
          <w:b/>
          <w:bCs/>
        </w:rPr>
        <w:t>强化重点问题清单化管理。</w:t>
      </w:r>
      <w:r>
        <w:rPr>
          <w:rFonts w:eastAsia="仿宋_GB2312" w:cs="Times New Roman"/>
        </w:rPr>
        <w:t>构建水环境“问题库”，重点聚焦不达标断面、黑臭水体和劣V类水体，以清单化管理推动责任落实、过程严管，倒逼水环境质量提升。加强黑臭水体和劣V类水体监督管理，完善巡查工作机制，鼓励群众发现上报，2023年前完成现有问题水体排查，形成问题水体清单，实行动态清零政策。完善环境网格化管理机制，乡镇街道严格落实属地管理责任，以重点问题清单化管控倒逼断面水质提升。加强突发水污染事件排查防控，减少重大突发性水污染事件的发生，最大限度地减轻突发事件的影响。</w:t>
      </w:r>
    </w:p>
    <w:p>
      <w:pPr>
        <w:rPr>
          <w:rFonts w:eastAsia="仿宋_GB2312" w:cs="Times New Roman"/>
        </w:rPr>
      </w:pPr>
      <w:r>
        <w:rPr>
          <w:rFonts w:eastAsia="楷体_GB2312" w:cs="Times New Roman"/>
          <w:b/>
          <w:bCs/>
        </w:rPr>
        <w:t>细化行政管理责任。</w:t>
      </w:r>
      <w:r>
        <w:rPr>
          <w:rFonts w:eastAsia="仿宋_GB2312" w:cs="Times New Roman"/>
        </w:rPr>
        <w:t>以国省考断面为基础，合理设置水质重点关联断面，确定水质目标，落实乡镇考核责任和责任人，并与河湖长制考核衔接。根据断面水质情况，识别区域水环境治理短板和水污染重点区域，对未达到水质目标要求的地区，应依法制定并实施限期达标方案。建立重点关联断面动态调整机制，优先在水环境较差地区设置断面。强化地方各级政府水生态环境责任传导机制，逐步构建镇界出入境断面考核体系。</w:t>
      </w:r>
    </w:p>
    <w:p>
      <w:pPr>
        <w:rPr>
          <w:rFonts w:eastAsia="仿宋_GB2312" w:cs="Times New Roman"/>
        </w:rPr>
      </w:pPr>
      <w:r>
        <w:rPr>
          <w:rFonts w:eastAsia="楷体_GB2312" w:cs="Times New Roman"/>
          <w:b/>
          <w:bCs/>
        </w:rPr>
        <w:t>强化汛期水质保障。</w:t>
      </w:r>
      <w:r>
        <w:rPr>
          <w:rFonts w:eastAsia="仿宋_GB2312" w:cs="Times New Roman"/>
        </w:rPr>
        <w:t>针对辖区内汛期出现水质明显下降的国省考断面，全面排查梳理支流支浜、重点污染源、排涝泵站闸口、重点农田退水口等，形成汛期水质下降断面排查清单。通过开展支流支浜专项整治、闸上污水专项治理、加快推进城镇污水收集处理、加强农业面源污染治理等措施，提升汛期断面水质。建立汛期国省考断面和跨界河流水质异常预警预报制度，根据气象状况及水质动态，及时采取应对管控措施。</w:t>
      </w:r>
    </w:p>
    <w:p>
      <w:pPr>
        <w:pStyle w:val="2"/>
        <w:jc w:val="left"/>
        <w:rPr>
          <w:rFonts w:cs="Times New Roman"/>
        </w:rPr>
      </w:pPr>
      <w:r>
        <w:rPr>
          <w:rFonts w:eastAsia="楷体_GB2312" w:cs="Times New Roman"/>
          <w:b/>
          <w:bCs/>
        </w:rPr>
        <w:t>提升环境管理信息化水平。</w:t>
      </w:r>
      <w:r>
        <w:rPr>
          <w:rFonts w:eastAsia="仿宋_GB2312" w:cs="Times New Roman"/>
        </w:rPr>
        <w:t>健全环境信息网络，完善打赢污染防治攻坚战协同推进平台，建设生态环境数据资源中心、生态环境监测监控联网大数据平台，充分发挥大数据分析效能，以5G、区块链、云计算、虚拟化和高性能计算等技术手段，加强生态环境监管数据汇集共享和分析应用，加强对环境质量、污染源监测监控数据的归集和预警研判。加快推广“环保脸谱码”应用，对企业和市人民政府全面评价赋码，拓展市政府、监管部门、企业、公众四类脸谱应用。推动建立健全防范和惩治生态环境监测数据弄虚作假的工作机制，实现监测活动全流程各环节可追溯，确保数据“真准全”。加强第三方监测机构和人员服务质量监管，出台相关市场和行业禁入措施。</w:t>
      </w:r>
    </w:p>
    <w:p>
      <w:pPr>
        <w:pStyle w:val="5"/>
        <w:spacing w:before="217" w:after="217"/>
        <w:rPr>
          <w:rFonts w:cs="Times New Roman"/>
        </w:rPr>
      </w:pPr>
      <w:bookmarkStart w:id="120" w:name="_Toc18662"/>
      <w:bookmarkStart w:id="121" w:name="_Toc110091689"/>
      <w:r>
        <w:rPr>
          <w:rFonts w:hint="eastAsia" w:cs="Times New Roman"/>
        </w:rPr>
        <w:t>三、加强监测监控能力建设</w:t>
      </w:r>
      <w:bookmarkEnd w:id="120"/>
      <w:bookmarkEnd w:id="121"/>
    </w:p>
    <w:p>
      <w:pPr>
        <w:rPr>
          <w:rFonts w:cs="Times New Roman"/>
        </w:rPr>
      </w:pPr>
      <w:r>
        <w:rPr>
          <w:rFonts w:hint="eastAsia" w:eastAsia="楷体_GB2312" w:cs="Times New Roman"/>
          <w:b/>
          <w:bCs/>
        </w:rPr>
        <w:t>提高</w:t>
      </w:r>
      <w:r>
        <w:rPr>
          <w:rFonts w:eastAsia="楷体_GB2312" w:cs="Times New Roman"/>
          <w:b/>
          <w:bCs/>
        </w:rPr>
        <w:t>监测溯源</w:t>
      </w:r>
      <w:r>
        <w:rPr>
          <w:rFonts w:hint="eastAsia" w:eastAsia="楷体_GB2312" w:cs="Times New Roman"/>
          <w:b/>
          <w:bCs/>
        </w:rPr>
        <w:t>能力</w:t>
      </w:r>
      <w:r>
        <w:rPr>
          <w:rFonts w:eastAsia="楷体_GB2312" w:cs="Times New Roman"/>
          <w:b/>
          <w:bCs/>
        </w:rPr>
        <w:t>。</w:t>
      </w:r>
      <w:r>
        <w:rPr>
          <w:rFonts w:eastAsia="仿宋_GB2312" w:cs="Times New Roman"/>
        </w:rPr>
        <w:t>根据</w:t>
      </w:r>
      <w:r>
        <w:rPr>
          <w:rFonts w:hint="eastAsia" w:eastAsia="仿宋_GB2312" w:cs="Times New Roman"/>
        </w:rPr>
        <w:t>太仓市</w:t>
      </w:r>
      <w:r>
        <w:rPr>
          <w:rFonts w:eastAsia="仿宋_GB2312" w:cs="Times New Roman"/>
        </w:rPr>
        <w:t>“十四五”</w:t>
      </w:r>
      <w:r>
        <w:rPr>
          <w:rFonts w:hint="eastAsia" w:eastAsia="仿宋_GB2312" w:cs="Times New Roman"/>
        </w:rPr>
        <w:t>设置的12个国省考</w:t>
      </w:r>
      <w:r>
        <w:rPr>
          <w:rFonts w:eastAsia="仿宋_GB2312" w:cs="Times New Roman"/>
        </w:rPr>
        <w:t>断面、</w:t>
      </w:r>
      <w:r>
        <w:rPr>
          <w:rFonts w:hint="eastAsia" w:eastAsia="仿宋_GB2312" w:cs="Times New Roman"/>
        </w:rPr>
        <w:t>26个重点关联河道考核</w:t>
      </w:r>
      <w:r>
        <w:rPr>
          <w:rFonts w:eastAsia="仿宋_GB2312" w:cs="Times New Roman"/>
        </w:rPr>
        <w:t>断面</w:t>
      </w:r>
      <w:r>
        <w:rPr>
          <w:rFonts w:hint="eastAsia" w:eastAsia="仿宋_GB2312" w:cs="Times New Roman"/>
        </w:rPr>
        <w:t>以及124个高质量发展水环境断面清单情况，</w:t>
      </w:r>
      <w:r>
        <w:rPr>
          <w:rFonts w:eastAsia="仿宋_GB2312" w:cs="Times New Roman"/>
        </w:rPr>
        <w:t>加快推进水质自动站建设</w:t>
      </w:r>
      <w:r>
        <w:rPr>
          <w:rFonts w:hint="eastAsia" w:eastAsia="仿宋_GB2312" w:cs="Times New Roman"/>
        </w:rPr>
        <w:t>，强化水质监测预警能力</w:t>
      </w:r>
      <w:r>
        <w:rPr>
          <w:rFonts w:eastAsia="仿宋_GB2312" w:cs="Times New Roman"/>
        </w:rPr>
        <w:t>。</w:t>
      </w:r>
      <w:r>
        <w:rPr>
          <w:rFonts w:hint="eastAsia" w:eastAsia="仿宋_GB2312" w:cs="Times New Roman"/>
        </w:rPr>
        <w:t>2021年</w:t>
      </w:r>
      <w:r>
        <w:rPr>
          <w:rFonts w:eastAsia="仿宋_GB2312" w:cs="Times New Roman"/>
        </w:rPr>
        <w:t>，新建8个微型水质自动监测站</w:t>
      </w:r>
      <w:r>
        <w:rPr>
          <w:rFonts w:hint="eastAsia" w:eastAsia="仿宋_GB2312" w:cs="Times New Roman"/>
        </w:rPr>
        <w:t>并配备流量计</w:t>
      </w:r>
      <w:r>
        <w:rPr>
          <w:rFonts w:eastAsia="仿宋_GB2312" w:cs="Times New Roman"/>
        </w:rPr>
        <w:t>，对重点断面周边水体进行实时监控，</w:t>
      </w:r>
      <w:r>
        <w:rPr>
          <w:rFonts w:hint="eastAsia" w:eastAsia="仿宋_GB2312" w:cs="Times New Roman"/>
        </w:rPr>
        <w:t>掌握重点河道的流量、流向情况，</w:t>
      </w:r>
      <w:r>
        <w:rPr>
          <w:rFonts w:eastAsia="仿宋_GB2312" w:cs="Times New Roman"/>
        </w:rPr>
        <w:t>提前研判水质变化</w:t>
      </w:r>
      <w:r>
        <w:rPr>
          <w:rFonts w:hint="eastAsia" w:eastAsia="仿宋_GB2312" w:cs="Times New Roman"/>
        </w:rPr>
        <w:t>情况、污染来源及扩散方向</w:t>
      </w:r>
      <w:r>
        <w:rPr>
          <w:rFonts w:eastAsia="仿宋_GB2312" w:cs="Times New Roman"/>
        </w:rPr>
        <w:t>，保障国</w:t>
      </w:r>
      <w:r>
        <w:rPr>
          <w:rFonts w:hint="eastAsia" w:eastAsia="仿宋_GB2312" w:cs="Times New Roman"/>
        </w:rPr>
        <w:t>、</w:t>
      </w:r>
      <w:r>
        <w:rPr>
          <w:rFonts w:eastAsia="仿宋_GB2312" w:cs="Times New Roman"/>
        </w:rPr>
        <w:t>省考断面水质达标。重点围绕不达标断面，组织开展一级支流和入库河口门的全面排查监测溯源，安装微型水质自动站，实现实时监控预警。明确溯源监测的成果和应取得的成效，并纳入考核。</w:t>
      </w:r>
    </w:p>
    <w:p>
      <w:pPr>
        <w:spacing w:line="580" w:lineRule="exact"/>
        <w:rPr>
          <w:rFonts w:eastAsia="仿宋_GB2312" w:cs="Times New Roman"/>
        </w:rPr>
      </w:pPr>
      <w:r>
        <w:rPr>
          <w:rFonts w:hint="eastAsia" w:eastAsia="楷体_GB2312" w:cs="Times New Roman"/>
          <w:b/>
          <w:bCs/>
        </w:rPr>
        <w:t>构建重点污染源监测监控及预警体系。</w:t>
      </w:r>
      <w:r>
        <w:rPr>
          <w:rFonts w:cs="Times New Roman"/>
        </w:rPr>
        <w:t>加强重点污染源污染排放定量化管控，实施重点企业、工业园区进出水口水量水质监测监控，建立进出水口水量水质自动监控体系。对重点行业企业、典型工业园区（集聚区）的排污口开展“一口一测”试点。结合管网GIS信息化系统管理，构建全过程、全方位实时动态“厂—网—口—河”一体化监测体系，形成</w:t>
      </w:r>
      <w:r>
        <w:rPr>
          <w:rFonts w:cs="Times New Roman"/>
          <w:kern w:val="0"/>
        </w:rPr>
        <w:t>一体化监测预警网络</w:t>
      </w:r>
      <w:r>
        <w:rPr>
          <w:rFonts w:cs="Times New Roman"/>
        </w:rPr>
        <w:t>。推进排污许可单位污染排放自动监测与视频监控系统，以及主要工段用能（包含用电、用水）监控系统的安装与集成联网。到2025年底，实现排污许可重点管理单位排污、视频、用能联网监控全覆盖。</w:t>
      </w:r>
    </w:p>
    <w:p>
      <w:pPr>
        <w:spacing w:line="580" w:lineRule="exact"/>
        <w:rPr>
          <w:rFonts w:eastAsia="仿宋_GB2312" w:cs="Times New Roman"/>
        </w:rPr>
      </w:pPr>
      <w:r>
        <w:rPr>
          <w:rFonts w:eastAsia="楷体_GB2312" w:cs="Times New Roman"/>
          <w:b/>
          <w:bCs/>
        </w:rPr>
        <w:t>开展水生态调查与评估。</w:t>
      </w:r>
      <w:r>
        <w:rPr>
          <w:rFonts w:eastAsia="仿宋_GB2312" w:cs="Times New Roman"/>
        </w:rPr>
        <w:t>针对长江逐年开展水生态调查工作，分析鱼类、底栖生物、浮游生物和水生植物状况及变化趋势；选用适宜的方法开展水生态健康评价，为河湖水生态保护目标、措施制定提供依据。根据上级安排建设生物多样性固定观测样地。</w:t>
      </w:r>
    </w:p>
    <w:p>
      <w:pPr>
        <w:pStyle w:val="2"/>
        <w:jc w:val="left"/>
      </w:pPr>
      <w:r>
        <w:rPr>
          <w:rFonts w:eastAsia="楷体_GB2312" w:cs="Times New Roman"/>
          <w:b/>
          <w:bCs/>
        </w:rPr>
        <w:t>开展河湖水环境遥感监测。</w:t>
      </w:r>
      <w:r>
        <w:rPr>
          <w:rFonts w:eastAsia="仿宋_GB2312" w:cs="Times New Roman"/>
        </w:rPr>
        <w:t>利用遥感卫星解译等手段，分析河湖水华空间分布与水环境异常区域，识别河湖水域和岸线内新增开发活动（漂浮物、工业企业、码头、养殖、农田等）等水环境风险因素，开展水质加密监测、水环境异常溯源分析工作，为水环境日常管理工作提供支撑。</w:t>
      </w:r>
    </w:p>
    <w:p>
      <w:pPr>
        <w:pStyle w:val="5"/>
        <w:spacing w:before="217" w:after="217"/>
        <w:rPr>
          <w:rFonts w:cs="Times New Roman"/>
        </w:rPr>
      </w:pPr>
      <w:bookmarkStart w:id="122" w:name="_Toc110091690"/>
      <w:bookmarkStart w:id="123" w:name="_Toc269"/>
      <w:r>
        <w:rPr>
          <w:rFonts w:hint="eastAsia" w:cs="Times New Roman"/>
        </w:rPr>
        <w:t>四、提升生态环境执法效能</w:t>
      </w:r>
      <w:bookmarkEnd w:id="122"/>
      <w:bookmarkEnd w:id="123"/>
    </w:p>
    <w:p>
      <w:pPr>
        <w:rPr>
          <w:rFonts w:eastAsia="仿宋_GB2312" w:cs="Times New Roman"/>
        </w:rPr>
      </w:pPr>
      <w:r>
        <w:rPr>
          <w:rFonts w:eastAsia="楷体_GB2312" w:cs="Times New Roman"/>
          <w:b/>
          <w:bCs/>
        </w:rPr>
        <w:t>优化执法监管方式。</w:t>
      </w:r>
      <w:r>
        <w:rPr>
          <w:rFonts w:eastAsia="仿宋_GB2312" w:cs="Times New Roman"/>
        </w:rPr>
        <w:t>进一步强化“543”工作法、现场执法“八步法”和行政执法“三项制度”，大力推行“水平衡”“废平衡”核算，积极开展“锦囊式”暗访执法，实施统一的生态环境行政处罚自由裁量基准。细化案件线索分析摸排，推动现场检查、行政处罚和综合监管信息衔接融合、与“互联网+监管”平台联动对接，进一步推动人防向技防转变。</w:t>
      </w:r>
    </w:p>
    <w:p>
      <w:pPr>
        <w:rPr>
          <w:rFonts w:eastAsia="仿宋_GB2312" w:cs="Times New Roman"/>
        </w:rPr>
      </w:pPr>
      <w:r>
        <w:rPr>
          <w:rFonts w:eastAsia="楷体_GB2312" w:cs="Times New Roman"/>
          <w:b/>
          <w:bCs/>
        </w:rPr>
        <w:t>提升非现场执法能力。</w:t>
      </w:r>
      <w:r>
        <w:rPr>
          <w:rFonts w:eastAsia="仿宋_GB2312" w:cs="Times New Roman"/>
        </w:rPr>
        <w:t>充分应用无人机、无人船、走航车以及卫星遥感等非现场执法装备设备，巩固移动执法系统和执法记录仪全覆盖、全使用、全联网成果，实现执法全过程信息化管理。深化污染源自动监测数据执法应用，实现监控系统数据异常远程取证，智能识别上传异常时段监控视频，实现污染源自动监控、视频监控、移动执法等数据及群众信访信息的整合研判。</w:t>
      </w:r>
    </w:p>
    <w:p>
      <w:pPr>
        <w:pStyle w:val="2"/>
        <w:jc w:val="left"/>
      </w:pPr>
      <w:r>
        <w:rPr>
          <w:rFonts w:eastAsia="楷体_GB2312" w:cs="Times New Roman"/>
          <w:b/>
          <w:bCs/>
        </w:rPr>
        <w:t>健全环境治理信用体系。</w:t>
      </w:r>
      <w:r>
        <w:rPr>
          <w:rFonts w:eastAsia="仿宋_GB2312" w:cs="Times New Roman"/>
        </w:rPr>
        <w:t>开展绿色等级评定，深化“环保领跑者”机制。落实排污企事业单位环保信用评价制度，动态评价重点排污单位的环保信用，实施差别化监管。落实环保信任保护原则，完善守信激励与失信联合惩戒机制，对环保信用好的企事业单位落实信任保护原则，对环保失信企事业单位依法实施惩戒。逐步建立排污企事业单位失信黑名单制度，推进上市公司和发债企业强制性环境治理信息披露。拓展生态环境第三方服务领域信用监督，建立信用信息更为广泛便捷的互联共享机制。</w:t>
      </w:r>
    </w:p>
    <w:p>
      <w:pPr>
        <w:pStyle w:val="46"/>
        <w:ind w:firstLine="640"/>
        <w:rPr>
          <w:rFonts w:cs="Times New Roman"/>
        </w:rPr>
      </w:pPr>
    </w:p>
    <w:p>
      <w:pPr>
        <w:pStyle w:val="46"/>
        <w:spacing w:line="580" w:lineRule="exact"/>
        <w:ind w:firstLine="640"/>
        <w:rPr>
          <w:rFonts w:cs="Times New Roman"/>
        </w:rPr>
        <w:sectPr>
          <w:pgSz w:w="11906" w:h="16838"/>
          <w:pgMar w:top="2098" w:right="1474" w:bottom="1985" w:left="1588" w:header="851" w:footer="1701" w:gutter="0"/>
          <w:cols w:space="425" w:num="1"/>
          <w:docGrid w:type="lines" w:linePitch="435" w:charSpace="0"/>
        </w:sectPr>
      </w:pPr>
    </w:p>
    <w:p>
      <w:pPr>
        <w:pStyle w:val="3"/>
        <w:spacing w:before="217" w:after="217"/>
        <w:jc w:val="center"/>
        <w:rPr>
          <w:rFonts w:cs="Times New Roman"/>
        </w:rPr>
      </w:pPr>
      <w:bookmarkStart w:id="124" w:name="_Toc18832"/>
      <w:r>
        <w:rPr>
          <w:rFonts w:hint="eastAsia" w:cs="Times New Roman"/>
        </w:rPr>
        <w:t xml:space="preserve">第四章 </w:t>
      </w:r>
      <w:r>
        <w:rPr>
          <w:rFonts w:cs="Times New Roman"/>
        </w:rPr>
        <w:t>重点工程及投资匡算</w:t>
      </w:r>
      <w:bookmarkEnd w:id="124"/>
    </w:p>
    <w:p>
      <w:pPr>
        <w:keepNext w:val="0"/>
        <w:keepLines w:val="0"/>
        <w:widowControl/>
        <w:suppressLineNumbers w:val="0"/>
        <w:jc w:val="left"/>
        <w:rPr>
          <w:rFonts w:eastAsia="仿宋_GB2312" w:cs="Times New Roman"/>
          <w:color w:val="auto"/>
        </w:rPr>
      </w:pPr>
      <w:r>
        <w:rPr>
          <w:rFonts w:ascii="仿宋_GB2312" w:hAnsi="宋体" w:eastAsia="仿宋_GB2312" w:cs="仿宋_GB2312"/>
          <w:color w:val="auto"/>
          <w:kern w:val="0"/>
          <w:sz w:val="32"/>
          <w:szCs w:val="32"/>
          <w:lang w:val="en-US" w:eastAsia="zh-CN" w:bidi="ar"/>
        </w:rPr>
        <w:t>根据规划主要任务，结合上位规划重点工程设计，本规划共</w:t>
      </w:r>
      <w:r>
        <w:rPr>
          <w:rFonts w:hint="eastAsia" w:ascii="仿宋_GB2312" w:hAnsi="宋体" w:eastAsia="仿宋_GB2312" w:cs="仿宋_GB2312"/>
          <w:color w:val="auto"/>
          <w:kern w:val="0"/>
          <w:sz w:val="32"/>
          <w:szCs w:val="32"/>
          <w:lang w:val="en-US" w:eastAsia="zh-CN" w:bidi="ar"/>
        </w:rPr>
        <w:t>安排太湖流域一级保护区生态修复与保护工程、环太湖地区城乡有机废弃物处理利用工程、城镇污水收集处理工程、农业农村污染治理工程、重点工业污染综合治理工程、流域生态环境监测监控体系建设工程、其他共计</w:t>
      </w:r>
      <w:r>
        <w:rPr>
          <w:rFonts w:hint="eastAsia" w:eastAsia="宋体" w:cs="Times New Roman"/>
          <w:color w:val="auto"/>
          <w:kern w:val="0"/>
          <w:sz w:val="32"/>
          <w:szCs w:val="32"/>
          <w:lang w:val="en-US" w:eastAsia="zh-CN" w:bidi="ar"/>
        </w:rPr>
        <w:t>7</w:t>
      </w:r>
      <w:r>
        <w:rPr>
          <w:rFonts w:hint="eastAsia" w:ascii="仿宋_GB2312" w:hAnsi="宋体" w:eastAsia="仿宋_GB2312" w:cs="仿宋_GB2312"/>
          <w:color w:val="auto"/>
          <w:kern w:val="0"/>
          <w:sz w:val="32"/>
          <w:szCs w:val="32"/>
          <w:lang w:val="en-US" w:eastAsia="zh-CN" w:bidi="ar"/>
        </w:rPr>
        <w:t>大类</w:t>
      </w:r>
      <w:r>
        <w:rPr>
          <w:rFonts w:hint="eastAsia" w:eastAsia="宋体" w:cs="Times New Roman"/>
          <w:color w:val="auto"/>
          <w:kern w:val="0"/>
          <w:sz w:val="32"/>
          <w:szCs w:val="32"/>
          <w:lang w:val="en-US" w:eastAsia="zh-CN" w:bidi="ar"/>
        </w:rPr>
        <w:t>24</w:t>
      </w:r>
      <w:r>
        <w:rPr>
          <w:rFonts w:hint="eastAsia" w:ascii="仿宋_GB2312" w:hAnsi="宋体" w:eastAsia="仿宋_GB2312" w:cs="仿宋_GB2312"/>
          <w:color w:val="auto"/>
          <w:kern w:val="0"/>
          <w:sz w:val="32"/>
          <w:szCs w:val="32"/>
          <w:lang w:val="en-US" w:eastAsia="zh-CN" w:bidi="ar"/>
        </w:rPr>
        <w:t>项工程项目，总投资约</w:t>
      </w:r>
      <w:r>
        <w:rPr>
          <w:rFonts w:hint="eastAsia" w:eastAsia="宋体" w:cs="Times New Roman"/>
          <w:color w:val="auto"/>
          <w:kern w:val="0"/>
          <w:sz w:val="32"/>
          <w:szCs w:val="32"/>
          <w:lang w:val="en-US" w:eastAsia="zh-CN" w:bidi="ar"/>
        </w:rPr>
        <w:t>48.96</w:t>
      </w:r>
      <w:r>
        <w:rPr>
          <w:rFonts w:hint="eastAsia" w:ascii="仿宋_GB2312" w:hAnsi="宋体" w:eastAsia="仿宋_GB2312" w:cs="仿宋_GB2312"/>
          <w:color w:val="auto"/>
          <w:kern w:val="0"/>
          <w:sz w:val="32"/>
          <w:szCs w:val="32"/>
          <w:lang w:val="en-US" w:eastAsia="zh-CN" w:bidi="ar"/>
        </w:rPr>
        <w:t>亿元。重点工程项目详见附</w:t>
      </w:r>
      <w:r>
        <w:rPr>
          <w:rFonts w:hint="default" w:ascii="Times New Roman" w:hAnsi="Times New Roman" w:eastAsia="仿宋_GB2312" w:cs="Times New Roman"/>
          <w:color w:val="auto"/>
          <w:kern w:val="0"/>
          <w:sz w:val="32"/>
          <w:szCs w:val="32"/>
          <w:lang w:val="en-US" w:eastAsia="zh-CN" w:bidi="ar"/>
        </w:rPr>
        <w:t>表1。</w:t>
      </w:r>
      <w:r>
        <w:rPr>
          <w:rFonts w:hint="eastAsia" w:ascii="仿宋_GB2312" w:hAnsi="宋体" w:eastAsia="仿宋_GB2312" w:cs="仿宋_GB2312"/>
          <w:color w:val="auto"/>
          <w:kern w:val="0"/>
          <w:sz w:val="32"/>
          <w:szCs w:val="32"/>
          <w:lang w:val="en-US" w:eastAsia="zh-CN" w:bidi="ar"/>
        </w:rPr>
        <w:t>（规划重</w:t>
      </w:r>
      <w:bookmarkStart w:id="141" w:name="_GoBack"/>
      <w:bookmarkEnd w:id="141"/>
      <w:r>
        <w:rPr>
          <w:rFonts w:hint="eastAsia" w:ascii="仿宋_GB2312" w:hAnsi="宋体" w:eastAsia="仿宋_GB2312" w:cs="仿宋_GB2312"/>
          <w:color w:val="auto"/>
          <w:kern w:val="0"/>
          <w:sz w:val="32"/>
          <w:szCs w:val="32"/>
          <w:lang w:val="en-US" w:eastAsia="zh-CN" w:bidi="ar"/>
        </w:rPr>
        <w:t>点工程可根据实际情况动态调整，并报市太湖办备案。）</w:t>
      </w:r>
    </w:p>
    <w:p>
      <w:pPr>
        <w:rPr>
          <w:rFonts w:cs="Times New Roman"/>
        </w:rPr>
      </w:pPr>
    </w:p>
    <w:p>
      <w:pPr>
        <w:pStyle w:val="2"/>
        <w:rPr>
          <w:rFonts w:cs="Times New Roman"/>
        </w:rPr>
        <w:sectPr>
          <w:pgSz w:w="11906" w:h="16838"/>
          <w:pgMar w:top="2098" w:right="1474" w:bottom="1985" w:left="1588" w:header="851" w:footer="1701" w:gutter="0"/>
          <w:cols w:space="425" w:num="1"/>
          <w:docGrid w:type="lines" w:linePitch="435" w:charSpace="0"/>
        </w:sectPr>
      </w:pPr>
    </w:p>
    <w:p>
      <w:pPr>
        <w:pStyle w:val="3"/>
        <w:spacing w:before="217" w:after="217"/>
        <w:jc w:val="center"/>
        <w:rPr>
          <w:rFonts w:cs="Times New Roman"/>
        </w:rPr>
      </w:pPr>
      <w:bookmarkStart w:id="125" w:name="_Toc17299"/>
      <w:r>
        <w:rPr>
          <w:rFonts w:hint="eastAsia" w:cs="Times New Roman"/>
        </w:rPr>
        <w:t xml:space="preserve">第五章 </w:t>
      </w:r>
      <w:r>
        <w:rPr>
          <w:rFonts w:cs="Times New Roman"/>
        </w:rPr>
        <w:t>保障措施</w:t>
      </w:r>
      <w:bookmarkEnd w:id="125"/>
    </w:p>
    <w:p>
      <w:pPr>
        <w:pStyle w:val="4"/>
        <w:spacing w:before="217" w:after="217"/>
        <w:rPr>
          <w:rFonts w:cs="Times New Roman"/>
        </w:rPr>
      </w:pPr>
      <w:bookmarkStart w:id="126" w:name="_Toc109217333"/>
      <w:bookmarkStart w:id="127" w:name="_Toc10135"/>
      <w:bookmarkStart w:id="128" w:name="_Toc110091694"/>
      <w:bookmarkStart w:id="129" w:name="_Toc470176233"/>
      <w:r>
        <w:rPr>
          <w:rFonts w:cs="Times New Roman"/>
        </w:rPr>
        <w:t>一、加强组织管理</w:t>
      </w:r>
      <w:bookmarkEnd w:id="126"/>
      <w:r>
        <w:rPr>
          <w:rFonts w:hint="eastAsia" w:cs="Times New Roman"/>
        </w:rPr>
        <w:t>、强化监督考核</w:t>
      </w:r>
      <w:bookmarkEnd w:id="127"/>
      <w:bookmarkEnd w:id="128"/>
    </w:p>
    <w:p>
      <w:pPr>
        <w:rPr>
          <w:rFonts w:ascii="仿宋_GB2312" w:hAnsi="仿宋_GB2312" w:eastAsia="仿宋_GB2312" w:cs="仿宋_GB2312"/>
        </w:rPr>
      </w:pPr>
      <w:r>
        <w:rPr>
          <w:rFonts w:hint="eastAsia" w:ascii="仿宋_GB2312" w:hAnsi="仿宋_GB2312" w:eastAsia="仿宋_GB2312" w:cs="仿宋_GB2312"/>
        </w:rPr>
        <w:t>加强党的全面领导，落实党政同责、一岗双责，落实政府太湖治理主体责任。完善政府负责、环保部门统一监管、有关部门协调配合的综合管理体系，形成职责明确、分工协作、统筹协调的工作机制。充分发挥工作机构及领导小组作用，确保规划目标的如期实现和任务的全面完成。</w:t>
      </w:r>
    </w:p>
    <w:p>
      <w:pPr>
        <w:rPr>
          <w:rFonts w:ascii="仿宋_GB2312" w:hAnsi="仿宋_GB2312" w:eastAsia="仿宋_GB2312" w:cs="仿宋_GB2312"/>
        </w:rPr>
      </w:pPr>
      <w:r>
        <w:rPr>
          <w:rFonts w:hint="eastAsia" w:ascii="仿宋_GB2312" w:hAnsi="仿宋_GB2312" w:eastAsia="仿宋_GB2312" w:cs="仿宋_GB2312"/>
        </w:rPr>
        <w:t>强化监督考核，加大太湖治理任务执行、工程建设的调度力度，逐级落实规划治理目标和任务，逐级签订治太工作责任状，层层分解，责任到人，并纳入干部政绩考核体系。强化规划实施情况跟踪分析，将生态环境保护年度目标任务完成情况纳入政府及有关部门年度绩效考核内容，并作为有关领导干部综合考核、选拔任用的重要依据。</w:t>
      </w:r>
    </w:p>
    <w:p>
      <w:pPr>
        <w:pStyle w:val="4"/>
        <w:spacing w:before="217" w:after="217"/>
        <w:rPr>
          <w:rFonts w:cs="Times New Roman"/>
        </w:rPr>
      </w:pPr>
      <w:bookmarkStart w:id="130" w:name="_Toc109217334"/>
      <w:bookmarkStart w:id="131" w:name="_Toc24402"/>
      <w:bookmarkStart w:id="132" w:name="_Toc110091695"/>
      <w:r>
        <w:rPr>
          <w:rFonts w:cs="Times New Roman"/>
        </w:rPr>
        <w:t>二、强化</w:t>
      </w:r>
      <w:bookmarkEnd w:id="129"/>
      <w:r>
        <w:rPr>
          <w:rFonts w:cs="Times New Roman"/>
        </w:rPr>
        <w:t>政策支撑</w:t>
      </w:r>
      <w:bookmarkEnd w:id="130"/>
      <w:r>
        <w:rPr>
          <w:rFonts w:hint="eastAsia" w:cs="Times New Roman"/>
        </w:rPr>
        <w:t>、坚持科学决策</w:t>
      </w:r>
      <w:bookmarkEnd w:id="131"/>
      <w:bookmarkEnd w:id="132"/>
    </w:p>
    <w:p>
      <w:pPr>
        <w:rPr>
          <w:rFonts w:ascii="仿宋_GB2312" w:hAnsi="仿宋_GB2312" w:eastAsia="仿宋_GB2312" w:cs="仿宋_GB2312"/>
        </w:rPr>
      </w:pPr>
      <w:r>
        <w:rPr>
          <w:rFonts w:hint="eastAsia" w:ascii="仿宋_GB2312" w:hAnsi="仿宋_GB2312" w:eastAsia="仿宋_GB2312" w:cs="仿宋_GB2312"/>
        </w:rPr>
        <w:t>强化政策支撑，激发创新活力，实施与减污降碳成效挂钩的财政政策，建立健全环保守信激励和失信惩戒机制，实施差别化信贷和差别化水价政策。督促落实城镇污水处理费动态调整、企业污水排放差别化收费、污水处理农户收费等政策。</w:t>
      </w:r>
    </w:p>
    <w:p>
      <w:pPr>
        <w:rPr>
          <w:rFonts w:ascii="仿宋_GB2312" w:hAnsi="仿宋_GB2312" w:eastAsia="仿宋_GB2312" w:cs="仿宋_GB2312"/>
        </w:rPr>
      </w:pPr>
      <w:bookmarkStart w:id="133" w:name="_Toc470176234"/>
      <w:r>
        <w:rPr>
          <w:rFonts w:hint="eastAsia" w:ascii="仿宋_GB2312" w:hAnsi="仿宋_GB2312" w:eastAsia="仿宋_GB2312" w:cs="仿宋_GB2312"/>
        </w:rPr>
        <w:t>组织开展太湖水污染防治相关基础理论、宏观战略、关键技术研究，针对复合污染型水体水质改善难、氮磷指标进一步降低难、河道清淤污泥处置难、农村村庄生活污水处理设施运行维护难、农业面源污染控制难、水源地藻毒素及优势藻种时有爆发等重点及难点问题，开展专题研究。积极争取相关国家科技计划（专项、基金）和省级专项资金支持，充分发挥高校、科研机构、企业和行业协会的作用，整合科研资源，加强产学研协同创新，加快相关治理技术攻关。</w:t>
      </w:r>
    </w:p>
    <w:p>
      <w:pPr>
        <w:pStyle w:val="4"/>
        <w:spacing w:before="217" w:after="217"/>
        <w:rPr>
          <w:rFonts w:cs="Times New Roman"/>
        </w:rPr>
      </w:pPr>
      <w:bookmarkStart w:id="134" w:name="_Toc109217336"/>
      <w:bookmarkStart w:id="135" w:name="_Toc16124"/>
      <w:bookmarkStart w:id="136" w:name="_Toc110091696"/>
      <w:r>
        <w:rPr>
          <w:rFonts w:hint="eastAsia"/>
        </w:rPr>
        <w:t>三</w:t>
      </w:r>
      <w:r>
        <w:rPr>
          <w:rFonts w:cs="Times New Roman"/>
        </w:rPr>
        <w:t>、加大资金投入</w:t>
      </w:r>
      <w:bookmarkEnd w:id="134"/>
      <w:r>
        <w:rPr>
          <w:rFonts w:hint="eastAsia" w:cs="Times New Roman"/>
        </w:rPr>
        <w:t>、拓宽融资渠道</w:t>
      </w:r>
      <w:bookmarkEnd w:id="135"/>
      <w:bookmarkEnd w:id="136"/>
    </w:p>
    <w:p>
      <w:pPr>
        <w:rPr>
          <w:rFonts w:ascii="仿宋_GB2312" w:hAnsi="仿宋_GB2312" w:eastAsia="仿宋_GB2312" w:cs="仿宋_GB2312"/>
        </w:rPr>
      </w:pPr>
      <w:r>
        <w:rPr>
          <w:rFonts w:hint="eastAsia" w:ascii="仿宋_GB2312" w:hAnsi="仿宋_GB2312" w:eastAsia="仿宋_GB2312" w:cs="仿宋_GB2312"/>
        </w:rPr>
        <w:t>统筹太湖治理各项资金安排，集中政府投入，针对流域治理工程属性，充分发挥市场力量，建立与流域治理改革创新任务相适应的资金支持方式。财政资金供给以目标和问题为决策导向，优化资金安排科目，增加对环境政策研究、环境教育、第三方服务等非工程类措施的支持。坚持政府引导与市场运作相结合，建立多元化社会投融资机制，采取多种方式拓宽融资渠道，充分发挥市场驱动作用。鼓励绿色信托、绿色债券、绿色保险、绿色金融模式用于流域治理。</w:t>
      </w:r>
    </w:p>
    <w:p>
      <w:pPr>
        <w:pStyle w:val="4"/>
        <w:spacing w:before="217" w:after="217"/>
        <w:rPr>
          <w:rFonts w:cs="Times New Roman"/>
        </w:rPr>
      </w:pPr>
      <w:bookmarkStart w:id="137" w:name="_Toc109217338"/>
      <w:bookmarkStart w:id="138" w:name="_Toc13533"/>
      <w:bookmarkStart w:id="139" w:name="_Toc110091697"/>
      <w:r>
        <w:rPr>
          <w:rFonts w:hint="eastAsia" w:cs="Times New Roman"/>
        </w:rPr>
        <w:t>四</w:t>
      </w:r>
      <w:r>
        <w:rPr>
          <w:rFonts w:cs="Times New Roman"/>
        </w:rPr>
        <w:t>、</w:t>
      </w:r>
      <w:r>
        <w:rPr>
          <w:rFonts w:hint="eastAsia" w:cs="Times New Roman"/>
        </w:rPr>
        <w:t>完善</w:t>
      </w:r>
      <w:r>
        <w:rPr>
          <w:rFonts w:cs="Times New Roman"/>
        </w:rPr>
        <w:t>信息</w:t>
      </w:r>
      <w:bookmarkEnd w:id="133"/>
      <w:bookmarkEnd w:id="137"/>
      <w:r>
        <w:rPr>
          <w:rFonts w:hint="eastAsia" w:cs="Times New Roman"/>
        </w:rPr>
        <w:t>公开、加强宣传教育</w:t>
      </w:r>
      <w:bookmarkEnd w:id="138"/>
      <w:bookmarkEnd w:id="139"/>
    </w:p>
    <w:p>
      <w:pPr>
        <w:rPr>
          <w:rFonts w:ascii="仿宋_GB2312" w:hAnsi="仿宋_GB2312" w:eastAsia="仿宋_GB2312" w:cs="仿宋_GB2312"/>
        </w:rPr>
      </w:pPr>
      <w:r>
        <w:rPr>
          <w:rFonts w:hint="eastAsia" w:ascii="仿宋_GB2312" w:hAnsi="仿宋_GB2312" w:eastAsia="仿宋_GB2312" w:cs="仿宋_GB2312"/>
        </w:rPr>
        <w:t>依法推进水环境信息公开、排污单位环境信息公开、监管部门环境信息公开，定期公布区域水环境质量状况。创新公众参与的体制机制，鼓励在项目决策、建设、运营过程引入多利益相关方参与模式。加强环境宣传与教育，增强全社会环境忧患意识和责任意识，积极引导公众参与环境保护和太湖治理。探索建立社区、街道、村组等居民环保自愿服务机制，结合垃圾分类收集、河道治理、分散污水处理、湿地修复等工程，实施相关区域公众参与式管理示范项目。</w:t>
      </w:r>
    </w:p>
    <w:p>
      <w:pPr>
        <w:rPr>
          <w:rFonts w:cs="Times New Roman"/>
        </w:rPr>
      </w:pPr>
    </w:p>
    <w:p>
      <w:pPr>
        <w:rPr>
          <w:rFonts w:cs="Times New Roman"/>
        </w:rPr>
        <w:sectPr>
          <w:pgSz w:w="11906" w:h="16838"/>
          <w:pgMar w:top="2098" w:right="1474" w:bottom="1985" w:left="1588" w:header="851" w:footer="1701" w:gutter="0"/>
          <w:cols w:space="425" w:num="1"/>
          <w:docGrid w:type="lines" w:linePitch="435" w:charSpace="0"/>
        </w:sectPr>
      </w:pPr>
    </w:p>
    <w:p>
      <w:pPr>
        <w:ind w:firstLine="0" w:firstLineChars="0"/>
        <w:jc w:val="left"/>
        <w:outlineLvl w:val="0"/>
        <w:rPr>
          <w:rFonts w:hint="default" w:eastAsia="黑体" w:cs="Times New Roman"/>
          <w:lang w:val="en-US" w:eastAsia="zh-CN"/>
        </w:rPr>
      </w:pPr>
      <w:r>
        <w:rPr>
          <w:rFonts w:eastAsia="方正黑体_GBK" w:cs="Times New Roman"/>
        </w:rPr>
        <w:t>附表</w:t>
      </w:r>
      <w:r>
        <w:rPr>
          <w:rFonts w:hint="eastAsia" w:eastAsia="方正黑体_GBK" w:cs="Times New Roman"/>
          <w:lang w:val="en-US" w:eastAsia="zh-CN"/>
        </w:rPr>
        <w:t xml:space="preserve">1 </w:t>
      </w:r>
      <w:r>
        <w:rPr>
          <w:rFonts w:eastAsia="黑体" w:cs="Times New Roman"/>
          <w:sz w:val="30"/>
          <w:szCs w:val="30"/>
        </w:rPr>
        <w:t>重点</w:t>
      </w:r>
      <w:r>
        <w:rPr>
          <w:rFonts w:hint="eastAsia" w:eastAsia="黑体" w:cs="Times New Roman"/>
          <w:sz w:val="30"/>
          <w:szCs w:val="30"/>
          <w:lang w:val="en-US" w:eastAsia="zh-CN"/>
        </w:rPr>
        <w:t>工程项目表</w:t>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72"/>
        <w:gridCol w:w="1770"/>
        <w:gridCol w:w="2001"/>
        <w:gridCol w:w="946"/>
        <w:gridCol w:w="3333"/>
        <w:gridCol w:w="1147"/>
        <w:gridCol w:w="1080"/>
        <w:gridCol w:w="1122"/>
        <w:gridCol w:w="8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9" w:hRule="atLeast"/>
          <w:tblHeader/>
        </w:trPr>
        <w:tc>
          <w:tcPr>
            <w:tcW w:w="259"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序号</w:t>
            </w:r>
          </w:p>
        </w:tc>
        <w:tc>
          <w:tcPr>
            <w:tcW w:w="68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类别</w:t>
            </w:r>
          </w:p>
        </w:tc>
        <w:tc>
          <w:tcPr>
            <w:tcW w:w="771"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项目名称</w:t>
            </w:r>
          </w:p>
        </w:tc>
        <w:tc>
          <w:tcPr>
            <w:tcW w:w="36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县区</w:t>
            </w:r>
          </w:p>
        </w:tc>
        <w:tc>
          <w:tcPr>
            <w:tcW w:w="1285"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主要建设内容及规模</w:t>
            </w:r>
          </w:p>
        </w:tc>
        <w:tc>
          <w:tcPr>
            <w:tcW w:w="44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计划投资（万元）</w:t>
            </w:r>
          </w:p>
        </w:tc>
        <w:tc>
          <w:tcPr>
            <w:tcW w:w="849"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实施期限</w:t>
            </w:r>
          </w:p>
        </w:tc>
        <w:tc>
          <w:tcPr>
            <w:tcW w:w="345"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9" w:hRule="atLeast"/>
          <w:tblHeader/>
        </w:trPr>
        <w:tc>
          <w:tcPr>
            <w:tcW w:w="259" w:type="pct"/>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黑体" w:hAnsi="黑体" w:eastAsia="黑体" w:cs="黑体"/>
                <w:b w:val="0"/>
                <w:bCs w:val="0"/>
                <w:i w:val="0"/>
                <w:iCs w:val="0"/>
                <w:color w:val="000000"/>
                <w:sz w:val="21"/>
                <w:szCs w:val="21"/>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黑体" w:hAnsi="黑体" w:eastAsia="黑体" w:cs="黑体"/>
                <w:b w:val="0"/>
                <w:bCs w:val="0"/>
                <w:i w:val="0"/>
                <w:iCs w:val="0"/>
                <w:color w:val="000000"/>
                <w:sz w:val="21"/>
                <w:szCs w:val="21"/>
                <w:u w:val="none"/>
              </w:rPr>
            </w:pPr>
          </w:p>
        </w:tc>
        <w:tc>
          <w:tcPr>
            <w:tcW w:w="771" w:type="pct"/>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黑体" w:hAnsi="黑体" w:eastAsia="黑体" w:cs="黑体"/>
                <w:b w:val="0"/>
                <w:bCs w:val="0"/>
                <w:i w:val="0"/>
                <w:iCs w:val="0"/>
                <w:color w:val="000000"/>
                <w:sz w:val="21"/>
                <w:szCs w:val="21"/>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黑体" w:hAnsi="黑体" w:eastAsia="黑体" w:cs="黑体"/>
                <w:b w:val="0"/>
                <w:bCs w:val="0"/>
                <w:i w:val="0"/>
                <w:iCs w:val="0"/>
                <w:color w:val="000000"/>
                <w:sz w:val="21"/>
                <w:szCs w:val="21"/>
                <w:u w:val="none"/>
              </w:rPr>
            </w:pPr>
          </w:p>
        </w:tc>
        <w:tc>
          <w:tcPr>
            <w:tcW w:w="1285" w:type="pct"/>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黑体" w:hAnsi="黑体" w:eastAsia="黑体" w:cs="黑体"/>
                <w:b w:val="0"/>
                <w:bCs w:val="0"/>
                <w:i w:val="0"/>
                <w:iCs w:val="0"/>
                <w:color w:val="000000"/>
                <w:sz w:val="21"/>
                <w:szCs w:val="21"/>
                <w:u w:val="none"/>
              </w:rPr>
            </w:pPr>
          </w:p>
        </w:tc>
        <w:tc>
          <w:tcPr>
            <w:tcW w:w="442" w:type="pct"/>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黑体" w:hAnsi="黑体" w:eastAsia="黑体" w:cs="黑体"/>
                <w:b w:val="0"/>
                <w:bCs w:val="0"/>
                <w:i w:val="0"/>
                <w:iCs w:val="0"/>
                <w:color w:val="000000"/>
                <w:sz w:val="21"/>
                <w:szCs w:val="21"/>
                <w:u w:val="none"/>
              </w:rPr>
            </w:pP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计划开工</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bdr w:val="none" w:color="auto" w:sz="0" w:space="0"/>
                <w:lang w:val="en-US" w:eastAsia="zh-CN" w:bidi="ar"/>
              </w:rPr>
              <w:t>计划完工</w:t>
            </w:r>
          </w:p>
        </w:tc>
        <w:tc>
          <w:tcPr>
            <w:tcW w:w="345" w:type="pct"/>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太湖流域生态修复与保护工程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城北河湿地公园景观提升工程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提升改建湿地公园面积12648平方米，建设内容包括人工湿地工程、绿化景观工程和相关配套工程。项目主要通过湿塘、潜流人工湿地、表流人工湿地等建设湿地公园，城东污水厂部分尾水作湿地补充水，改善城北河水体水质。</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890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太湖流域生态修复与保护工程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太仓市双凤生态湿地景观工程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太仓市双凤污水处理厂南侧预留空地，建设太仓市双凤镇生态湿地景观工程，占地面积约1.2万平米。</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846</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4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3</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环太湖地区城乡有机废弃物处理利用工程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太仓再生资源综合利用</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处理生活垃圾2250吨/日，配置3×750吨/日的炉排焚烧炉，3台中温次高压余热锅炉，一台45MW抽凝式汽轮发电机组和一台25MW抽凝式汽轮发电机组。其中一期建设2×750吨/日的炉排焚烧炉，二台中温次高压余热锅炉，一台45MW抽凝式汽轮发电机组；二期建设(待建，未定建设时间）1×750吨/日的炉排焚烧炉，一台中温次高压余热锅炉，一台25MW抽凝式汽轮发电机组。处理厨余垃圾400吨/日，其中一期建设规模200吨/日，二期建设规模200吨/日（待建，未定建设时间）；建设一座有效库容约50万立方米的螯合飞灰填埋场。</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170000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2023</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4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4</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环太湖地区城乡有机废弃物处理利用工程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太仓市建筑垃圾资源化处理项目</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总处理规模为 2050吨/日，其中装修垃圾 1500吨/日，拆除垃圾（含工程垃圾）500吨/日，大件垃圾（含绿化垃圾）50吨/日，分拣中心一座</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29000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2020</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6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5</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环太湖地区城乡有机废弃物处理利用工程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太仓市2021年中央农作物秸秆综合利用试点项目</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秸秆饲料化利用保障工程（更新机具包括4台打捆机、2台包膜机、7台搂草机、2台夹包机、5台120马力拖拉机、1台装载机）、秸秆基质化利用拓展工程（提升璜泾现代农业秸秆处置中心秸秆消纳能力，在已有基础上新增购置粉碎机1台，完善电力系统、1100m</w:t>
            </w:r>
            <w:r>
              <w:rPr>
                <w:rFonts w:hint="default" w:ascii="Times New Roman" w:hAnsi="Times New Roman" w:eastAsia="仿宋_GB2312" w:cs="Times New Roman"/>
                <w:i w:val="0"/>
                <w:iCs w:val="0"/>
                <w:color w:val="000000"/>
                <w:kern w:val="0"/>
                <w:sz w:val="21"/>
                <w:szCs w:val="21"/>
                <w:u w:val="none"/>
                <w:bdr w:val="none" w:color="auto" w:sz="0" w:space="0"/>
                <w:vertAlign w:val="superscript"/>
                <w:lang w:val="en-US" w:eastAsia="zh-CN" w:bidi="ar"/>
              </w:rPr>
              <w:t>2</w:t>
            </w: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秸秆避雨堆场等配套设施）、秸秆区域定点轻简堆肥工程（选择5个合作社为试点，建成秸秆处理场和添置秸秆处理设施设备等，以及秸秆区域定点轻简堆肥工程技术模式总结）</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1050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6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6</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环太湖地区城乡有机废弃物处理利用工程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华能发电燃煤耦合生物质（二期）技术改造项目</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项目引进国产先进设备一体机2套等设备，对污泥进行燃煤耦合处理，单套一体机系统具有含水率80%污泥的处理能力150t/d或含水率60%污泥的处理能力200t/d。项目在主厂房一期锅炉两侧区域新建一体机室2间、干湿污泥仓各1间，合计占地面积为700平方米、建筑面积为1500平方米，采用华能自主知识产权的城市废弃物前置炭化干燥新技术，实施锅炉掺烧污泥工程。项目建成后每年能处理约9万吨的污泥。</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4850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2023</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7</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环太湖地区城乡有机废弃物处理利用工程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太仓中蓝环保科技服务有限公司处置医疗废物的技术改造项目</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对现有回转窑危废处置生产线进行局部设备设施改造升级，进行适应性投料入口改造和防疫设施完善，实现新增1800吨/年的医疗废物处置能力。本次医废技改项目新建厂房1000平方米用于医疗废物的贮存、周转及处置，依托现有焚烧装置配套设施改造，实现医废合规化焚烧处置。</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626.41</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2023</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8</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环太湖地区城乡有机废弃物处理利用工程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太仓市通沟污泥处置工程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新建通沟污泥处置站1座，日处理规模80T</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3289.56</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2024</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9</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城镇污水收集处理工程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太仓市璜泾污水处理厂扩建及提标改造工程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对现状1万吨/日处理设施进行提标改造，并新增2万吨/日处理能力，项目建成后处理能力3万吨/日</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16469.23</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2023</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10</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城镇污水收集处理工程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太仓市城区污水处理厂提标改造工程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对现状6万吨/日处理设施进行提标改造</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13768</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2020</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11</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城镇污水收集处理工程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太仓市城东水质净化厂污水处理工程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新建处理规模15万吨/日生活污水处理厂一座</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139685.57</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2024</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12</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城镇污水收集处理工程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太仓市排水管网查漏补缺工程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新改建污水管网80公里</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15000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2025</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13</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农业农村污染治理工程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2022年农村生活污水治理工程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铺设70公里污水主支管网</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2200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14</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农业农村污染治理工程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太仓市耕地轮作休耕项目（2021.8-2022.8）</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全市8个区镇申报休耕面积27603.38亩，其中轮作换茬4895亩，深耕晒垡21858.38亩，休耕培肥850亩。</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700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15</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农业农村污染治理工程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太仓市耕地轮作休耕项目（2022.8-2023.8）</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计划轮作休耕面积2万亩</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500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2023</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16</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农业农村污染治理工程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农田氮磷拦截工程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工程规模240亩，主要涉及生态沟渠改造，沉淀池建设。</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180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17</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重点工业污染综合治理工程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太仓市印染行业提标整治</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“鼓励、引导关停退出”印染企业12家</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18</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重点工业污染综合治理工程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太仓市沙溪镇工业污水处理厂工程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新建处理规模2万立方米/天工业污水处理厂一座</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25999.24</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2020</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19</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重点工业污染综合治理工程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太仓市璜泾工业污水处理厂工程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新建处理规模1万吨/日工业污水处理厂一座</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20638.88</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2023</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2025</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流域生态环境监测监控体系建设工程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太仓市污染物限值限量监测监控系统与“智慧化” 管理平台建设工程</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高新区、港区实施限值限量管理及监测监控能力建设，新建园区标准水站、气站（含微站）等监测监控站点，其中高新区、港区在园区污染受纳水体上下游各建设2座水质自动监测站，监测因子包括常规五参数、高锰酸盐指数、氨氮、总磷、总氮等，均配套建设智慧化管理平台，具备模型计算管理、限值限量监控管理、运维质控管理等能力。</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2112</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21</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流域生态环境监测监控体系建设工程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水源地水站提升建设项目</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更新三水厂水源地水站设施设备，在水源地预警站增加挥发酚和挥发性有机物监测设备</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179</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22</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流域生态环境监测监控体系建设工程</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太仓市水环境自动监测能力建设项目</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太仓市水环境自动监测能力建设，涵盖微型水质自动监测站8套、流量计8套等</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405</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2022</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2025</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23</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其他</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太仓市城区供水设施改造</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启动城区增压站扩建工程的前期工作，扩建规模为15万m³/天</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18716</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2023</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2025</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24</w:t>
            </w:r>
          </w:p>
        </w:tc>
        <w:tc>
          <w:tcPr>
            <w:tcW w:w="6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其他</w:t>
            </w:r>
          </w:p>
        </w:tc>
        <w:tc>
          <w:tcPr>
            <w:tcW w:w="77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太仓市城乡供水管网建设</w:t>
            </w:r>
          </w:p>
        </w:tc>
        <w:tc>
          <w:tcPr>
            <w:tcW w:w="36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太仓市</w:t>
            </w:r>
          </w:p>
        </w:tc>
        <w:tc>
          <w:tcPr>
            <w:tcW w:w="12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新建城乡供水管网90km，实施老旧供水管网改造115km</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20500</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2021</w:t>
            </w:r>
          </w:p>
        </w:tc>
        <w:tc>
          <w:tcPr>
            <w:tcW w:w="43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bdr w:val="none" w:color="auto" w:sz="0" w:space="0"/>
                <w:lang w:val="en-US" w:eastAsia="zh-CN" w:bidi="ar"/>
              </w:rPr>
              <w:t>2025</w:t>
            </w:r>
          </w:p>
        </w:tc>
        <w:tc>
          <w:tcPr>
            <w:tcW w:w="34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iCs w:val="0"/>
                <w:color w:val="000000"/>
                <w:sz w:val="21"/>
                <w:szCs w:val="21"/>
                <w:u w:val="none"/>
              </w:rPr>
            </w:pPr>
          </w:p>
        </w:tc>
      </w:tr>
    </w:tbl>
    <w:p>
      <w:pPr>
        <w:sectPr>
          <w:pgSz w:w="16838" w:h="11906" w:orient="landscape"/>
          <w:pgMar w:top="1588" w:right="2098" w:bottom="1474" w:left="1985" w:header="851" w:footer="1701" w:gutter="0"/>
          <w:cols w:space="425" w:num="1"/>
          <w:docGrid w:type="lines" w:linePitch="435" w:charSpace="0"/>
        </w:sectPr>
      </w:pPr>
    </w:p>
    <w:p>
      <w:pPr>
        <w:ind w:firstLine="0" w:firstLineChars="0"/>
        <w:jc w:val="left"/>
        <w:outlineLvl w:val="0"/>
        <w:rPr>
          <w:rFonts w:eastAsia="方正黑体_GBK" w:cs="Times New Roman"/>
        </w:rPr>
      </w:pPr>
      <w:bookmarkStart w:id="140" w:name="_Toc21401"/>
      <w:r>
        <w:rPr>
          <w:rFonts w:eastAsia="方正黑体_GBK" w:cs="Times New Roman"/>
        </w:rPr>
        <w:t>附表</w:t>
      </w:r>
      <w:r>
        <w:rPr>
          <w:rFonts w:hint="eastAsia" w:eastAsia="方正黑体_GBK" w:cs="Times New Roman"/>
          <w:lang w:val="en-US" w:eastAsia="zh-CN"/>
        </w:rPr>
        <w:t xml:space="preserve">2 </w:t>
      </w:r>
      <w:r>
        <w:rPr>
          <w:rFonts w:eastAsia="黑体" w:cs="Times New Roman"/>
          <w:sz w:val="30"/>
          <w:szCs w:val="30"/>
        </w:rPr>
        <w:t>重点关联断面水质工作目标表</w:t>
      </w:r>
      <w:bookmarkEnd w:id="140"/>
    </w:p>
    <w:tbl>
      <w:tblPr>
        <w:tblStyle w:val="23"/>
        <w:tblW w:w="4997" w:type="pct"/>
        <w:jc w:val="center"/>
        <w:tblLayout w:type="autofit"/>
        <w:tblCellMar>
          <w:top w:w="0" w:type="dxa"/>
          <w:left w:w="108" w:type="dxa"/>
          <w:bottom w:w="0" w:type="dxa"/>
          <w:right w:w="108" w:type="dxa"/>
        </w:tblCellMar>
      </w:tblPr>
      <w:tblGrid>
        <w:gridCol w:w="511"/>
        <w:gridCol w:w="923"/>
        <w:gridCol w:w="1510"/>
        <w:gridCol w:w="1441"/>
        <w:gridCol w:w="1495"/>
        <w:gridCol w:w="710"/>
        <w:gridCol w:w="1071"/>
        <w:gridCol w:w="1394"/>
      </w:tblGrid>
      <w:tr>
        <w:tblPrEx>
          <w:tblCellMar>
            <w:top w:w="0" w:type="dxa"/>
            <w:left w:w="108" w:type="dxa"/>
            <w:bottom w:w="0" w:type="dxa"/>
            <w:right w:w="108" w:type="dxa"/>
          </w:tblCellMar>
        </w:tblPrEx>
        <w:trPr>
          <w:cantSplit/>
          <w:trHeight w:val="20" w:hRule="atLeast"/>
          <w:tblHeader/>
          <w:jc w:val="center"/>
        </w:trPr>
        <w:tc>
          <w:tcPr>
            <w:tcW w:w="2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序号</w:t>
            </w:r>
          </w:p>
        </w:tc>
        <w:tc>
          <w:tcPr>
            <w:tcW w:w="509" w:type="pct"/>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关联河流</w:t>
            </w:r>
          </w:p>
        </w:tc>
        <w:tc>
          <w:tcPr>
            <w:tcW w:w="833" w:type="pct"/>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断面名称</w:t>
            </w:r>
          </w:p>
        </w:tc>
        <w:tc>
          <w:tcPr>
            <w:tcW w:w="795" w:type="pct"/>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河流名称</w:t>
            </w:r>
          </w:p>
        </w:tc>
        <w:tc>
          <w:tcPr>
            <w:tcW w:w="825" w:type="pct"/>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断面性质</w:t>
            </w:r>
          </w:p>
        </w:tc>
        <w:tc>
          <w:tcPr>
            <w:tcW w:w="392" w:type="pct"/>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水质目标</w:t>
            </w:r>
          </w:p>
        </w:tc>
        <w:tc>
          <w:tcPr>
            <w:tcW w:w="591" w:type="pct"/>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责任市、区</w:t>
            </w:r>
          </w:p>
        </w:tc>
        <w:tc>
          <w:tcPr>
            <w:tcW w:w="769" w:type="pct"/>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黑体" w:cs="Times New Roman"/>
                <w:bCs/>
                <w:kern w:val="0"/>
                <w:sz w:val="21"/>
                <w:szCs w:val="21"/>
              </w:rPr>
            </w:pPr>
            <w:r>
              <w:rPr>
                <w:rFonts w:eastAsia="黑体" w:cs="Times New Roman"/>
                <w:bCs/>
                <w:kern w:val="0"/>
                <w:sz w:val="21"/>
                <w:szCs w:val="21"/>
              </w:rPr>
              <w:t>责任乡镇（街道）</w:t>
            </w:r>
          </w:p>
        </w:tc>
      </w:tr>
      <w:tr>
        <w:tblPrEx>
          <w:tblCellMar>
            <w:top w:w="0" w:type="dxa"/>
            <w:left w:w="108" w:type="dxa"/>
            <w:bottom w:w="0" w:type="dxa"/>
            <w:right w:w="108" w:type="dxa"/>
          </w:tblCellMar>
        </w:tblPrEx>
        <w:trPr>
          <w:cantSplit/>
          <w:trHeight w:val="9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盐铁塘南闸</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沙溪镇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飞凤桥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双凤镇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3</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南园路桥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城厢镇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4</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良辅路桥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盐铁塘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科教新城</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5</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204国道杨林塘大桥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双凤镇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6</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协星公路桥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沙溪镇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7</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丁泾2号桥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丁泾河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浮桥镇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8</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金埝路桥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米场河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浮桥镇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9</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花浦河桥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花浦河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浮桥镇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10</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南六尺河桥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南六尺河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浮桥镇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11</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向阳河桥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向阳河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浮桥镇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12</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杨林塘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六里塘桥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六里塘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太仓港区</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13</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东仓大桥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浏河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太仓高新区</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14</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城北路桥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浏河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太仓高新区</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15</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昆太公路桥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吴塘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城厢镇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16</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胜泾路桥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老浏河、吴塘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城厢镇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17</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石头塘闸</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石头塘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太仓高新区</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18</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杨家浜水闸桥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杨家浜-向阳河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浏河镇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19</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新闸桥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老浏河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浏河镇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20</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娄江-浏河</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橹漕桥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南橹漕</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浏河镇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21</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七浦塘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三里桥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七浦塘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干流控制断面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沙溪镇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22</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七浦塘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陈大港北闸</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陈大港</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璜泾镇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23</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七浦塘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老荡茜河北闸</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老荡茜河</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璜泾镇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24</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七浦塘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直塘大洋桥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老七浦塘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沙溪镇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25</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七浦塘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昭衍路桥</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老七浦塘</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Ⅲ</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沙溪镇</w:t>
            </w:r>
          </w:p>
        </w:tc>
      </w:tr>
      <w:tr>
        <w:tblPrEx>
          <w:tblCellMar>
            <w:top w:w="0" w:type="dxa"/>
            <w:left w:w="108" w:type="dxa"/>
            <w:bottom w:w="0" w:type="dxa"/>
            <w:right w:w="108" w:type="dxa"/>
          </w:tblCellMar>
        </w:tblPrEx>
        <w:trPr>
          <w:cantSplit/>
          <w:trHeight w:val="20" w:hRule="atLeast"/>
          <w:jc w:val="center"/>
        </w:trPr>
        <w:tc>
          <w:tcPr>
            <w:tcW w:w="282" w:type="pc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cs="Times New Roman"/>
                <w:kern w:val="0"/>
                <w:sz w:val="21"/>
                <w:szCs w:val="21"/>
              </w:rPr>
            </w:pPr>
            <w:r>
              <w:rPr>
                <w:rFonts w:cs="Times New Roman"/>
                <w:kern w:val="0"/>
                <w:sz w:val="21"/>
                <w:szCs w:val="21"/>
              </w:rPr>
              <w:t>26</w:t>
            </w:r>
          </w:p>
        </w:tc>
        <w:tc>
          <w:tcPr>
            <w:tcW w:w="50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七浦塘</w:t>
            </w:r>
          </w:p>
        </w:tc>
        <w:tc>
          <w:tcPr>
            <w:tcW w:w="833"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白米泾北闸</w:t>
            </w:r>
          </w:p>
        </w:tc>
        <w:tc>
          <w:tcPr>
            <w:tcW w:w="79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白米泾</w:t>
            </w:r>
          </w:p>
        </w:tc>
        <w:tc>
          <w:tcPr>
            <w:tcW w:w="825"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支流断面</w:t>
            </w:r>
          </w:p>
        </w:tc>
        <w:tc>
          <w:tcPr>
            <w:tcW w:w="392" w:type="pct"/>
            <w:tcBorders>
              <w:top w:val="nil"/>
              <w:left w:val="nil"/>
              <w:bottom w:val="single" w:color="auto" w:sz="4" w:space="0"/>
              <w:right w:val="single" w:color="auto" w:sz="4" w:space="0"/>
            </w:tcBorders>
            <w:shd w:val="clear" w:color="auto" w:fill="auto"/>
            <w:vAlign w:val="center"/>
          </w:tcPr>
          <w:p>
            <w:pPr>
              <w:spacing w:line="280" w:lineRule="exact"/>
              <w:ind w:firstLine="0" w:firstLineChars="0"/>
              <w:jc w:val="center"/>
              <w:rPr>
                <w:rFonts w:eastAsia="仿宋_GB2312" w:cs="Times New Roman"/>
                <w:sz w:val="21"/>
                <w:szCs w:val="21"/>
              </w:rPr>
            </w:pPr>
            <w:r>
              <w:rPr>
                <w:rFonts w:eastAsia="仿宋_GB2312" w:cs="Times New Roman"/>
                <w:sz w:val="21"/>
                <w:szCs w:val="21"/>
              </w:rPr>
              <w:t>Ⅳ</w:t>
            </w:r>
          </w:p>
        </w:tc>
        <w:tc>
          <w:tcPr>
            <w:tcW w:w="591"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太仓市</w:t>
            </w:r>
          </w:p>
        </w:tc>
        <w:tc>
          <w:tcPr>
            <w:tcW w:w="769" w:type="pct"/>
            <w:tcBorders>
              <w:top w:val="nil"/>
              <w:left w:val="nil"/>
              <w:bottom w:val="single" w:color="auto" w:sz="4" w:space="0"/>
              <w:right w:val="single" w:color="auto" w:sz="4" w:space="0"/>
            </w:tcBorders>
            <w:shd w:val="clear" w:color="auto" w:fill="auto"/>
            <w:vAlign w:val="center"/>
          </w:tcPr>
          <w:p>
            <w:pPr>
              <w:widowControl/>
              <w:adjustRightInd w:val="0"/>
              <w:snapToGrid w:val="0"/>
              <w:spacing w:line="280" w:lineRule="exact"/>
              <w:ind w:firstLine="0" w:firstLineChars="0"/>
              <w:jc w:val="center"/>
              <w:rPr>
                <w:rFonts w:eastAsia="仿宋_GB2312" w:cs="Times New Roman"/>
                <w:kern w:val="0"/>
                <w:sz w:val="21"/>
                <w:szCs w:val="21"/>
              </w:rPr>
            </w:pPr>
            <w:r>
              <w:rPr>
                <w:rFonts w:eastAsia="仿宋_GB2312" w:cs="Times New Roman"/>
                <w:kern w:val="0"/>
                <w:sz w:val="21"/>
                <w:szCs w:val="21"/>
              </w:rPr>
              <w:t>沙溪镇</w:t>
            </w:r>
          </w:p>
        </w:tc>
      </w:tr>
    </w:tbl>
    <w:p>
      <w:pPr>
        <w:pStyle w:val="2"/>
      </w:pPr>
    </w:p>
    <w:sectPr>
      <w:pgSz w:w="11906" w:h="16838"/>
      <w:pgMar w:top="2098" w:right="1474" w:bottom="1985" w:left="1588" w:header="851" w:footer="1701"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p>
  </w:endnote>
  <w:endnote w:type="continuationSeparator" w:id="1">
    <w:p>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书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文鼎CS中宋">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jc w:val="center"/>
      <w:rPr>
        <w:sz w:val="28"/>
        <w:szCs w:val="28"/>
      </w:rPr>
    </w:pPr>
    <w:r>
      <w:rPr>
        <w:sz w:val="28"/>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path/>
          <v:fill on="f" focussize="0,0"/>
          <v:stroke on="f" weight="0.5pt" joinstyle="miter"/>
          <v:imagedata o:title=""/>
          <o:lock v:ext="edit"/>
          <v:textbox inset="0mm,0mm,0mm,0mm" style="mso-fit-shape-to-text:t;">
            <w:txbxContent>
              <w:p>
                <w:pPr>
                  <w:pStyle w:val="13"/>
                  <w:ind w:firstLine="360"/>
                </w:pPr>
                <w:r>
                  <w:fldChar w:fldCharType="begin"/>
                </w:r>
                <w:r>
                  <w:instrText xml:space="preserve"> PAGE  \* MERGEFORMAT </w:instrText>
                </w:r>
                <w:r>
                  <w:fldChar w:fldCharType="separate"/>
                </w:r>
                <w:r>
                  <w:t>II</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jc w:val="center"/>
      <w:rPr>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jc w:val="center"/>
      <w:rPr>
        <w:sz w:val="28"/>
        <w:szCs w:val="28"/>
      </w:rPr>
    </w:pPr>
    <w:r>
      <w:rPr>
        <w:sz w:val="28"/>
      </w:rP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path/>
          <v:fill on="f" focussize="0,0"/>
          <v:stroke on="f" weight="0.5pt" joinstyle="miter"/>
          <v:imagedata o:title=""/>
          <o:lock v:ext="edit"/>
          <v:textbox inset="0mm,0mm,0mm,0mm" style="mso-fit-shape-to-text:t;">
            <w:txbxContent>
              <w:p>
                <w:pPr>
                  <w:pStyle w:val="13"/>
                  <w:ind w:firstLine="360"/>
                </w:pPr>
                <w:r>
                  <w:t xml:space="preserve">— </w:t>
                </w:r>
                <w:r>
                  <w:fldChar w:fldCharType="begin"/>
                </w:r>
                <w:r>
                  <w:instrText xml:space="preserve"> PAGE  \* MERGEFORMAT </w:instrText>
                </w:r>
                <w:r>
                  <w:fldChar w:fldCharType="separate"/>
                </w:r>
                <w:r>
                  <w:t>8</w:t>
                </w:r>
                <w:r>
                  <w:fldChar w:fldCharType="end"/>
                </w:r>
                <w:r>
                  <w:t xml:space="preserve"> —</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path/>
          <v:fill on="f" focussize="0,0"/>
          <v:stroke on="f" weight="0.5pt" joinstyle="miter"/>
          <v:imagedata o:title=""/>
          <o:lock v:ext="edit"/>
          <v:textbox inset="0mm,0mm,0mm,0mm" style="mso-fit-shape-to-text:t;">
            <w:txbxContent>
              <w:p>
                <w:pPr>
                  <w:pStyle w:val="13"/>
                  <w:ind w:firstLine="360"/>
                </w:pPr>
                <w:r>
                  <w:t xml:space="preserve">— </w:t>
                </w:r>
                <w:r>
                  <w:fldChar w:fldCharType="begin"/>
                </w:r>
                <w:r>
                  <w:instrText xml:space="preserve"> PAGE  \* MERGEFORMAT </w:instrText>
                </w:r>
                <w:r>
                  <w:fldChar w:fldCharType="separate"/>
                </w:r>
                <w:r>
                  <w:t>14</w:t>
                </w:r>
                <w:r>
                  <w:fldChar w:fldCharType="end"/>
                </w:r>
                <w:r>
                  <w:t xml:space="preserve"> —</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r>
      <w:pict>
        <v:shape id="_x0000_s1027" o:spid="_x0000_s1027"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path/>
          <v:fill on="f" focussize="0,0"/>
          <v:stroke on="f" weight="0.5pt" joinstyle="miter"/>
          <v:imagedata o:title=""/>
          <o:lock v:ext="edit"/>
          <v:textbox inset="0mm,0mm,0mm,0mm" style="mso-fit-shape-to-text:t;">
            <w:txbxContent>
              <w:p>
                <w:pPr>
                  <w:pStyle w:val="13"/>
                  <w:ind w:firstLine="360"/>
                </w:pPr>
                <w:r>
                  <w:t xml:space="preserve">— </w:t>
                </w:r>
                <w:r>
                  <w:fldChar w:fldCharType="begin"/>
                </w:r>
                <w:r>
                  <w:instrText xml:space="preserve"> PAGE  \* MERGEFORMAT </w:instrText>
                </w:r>
                <w:r>
                  <w:fldChar w:fldCharType="separate"/>
                </w:r>
                <w:r>
                  <w:t>64</w:t>
                </w:r>
                <w:r>
                  <w:fldChar w:fldCharType="end"/>
                </w:r>
                <w: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p>
  </w:footnote>
  <w:footnote w:type="continuationSeparator" w:id="1">
    <w:p>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spacing w:beforeLines="200" w:line="240" w:lineRule="auto"/>
      <w:ind w:firstLine="0" w:firstLineChars="0"/>
      <w:rPr>
        <w:rFonts w:eastAsia="宋体" w:cs="Times New Roman"/>
        <w:b/>
        <w:bCs/>
        <w:color w:val="000000" w:themeColor="text1"/>
        <w:sz w:val="24"/>
        <w:szCs w:val="24"/>
      </w:rPr>
    </w:pPr>
    <w:r>
      <w:rPr>
        <w:rFonts w:hint="eastAsia" w:ascii="宋体" w:hAnsi="宋体" w:eastAsia="宋体" w:cs="宋体"/>
        <w:b/>
        <w:bCs/>
        <w:color w:val="000000" w:themeColor="text1"/>
        <w:sz w:val="24"/>
        <w:szCs w:val="24"/>
      </w:rPr>
      <w:t>太仓市太湖流域水环境综合治理规划</w:t>
    </w:r>
    <w:r>
      <w:rPr>
        <w:rFonts w:eastAsia="宋体" w:cs="Times New Roman"/>
        <w:b/>
        <w:bCs/>
        <w:color w:val="000000" w:themeColor="text1"/>
        <w:sz w:val="24"/>
        <w:szCs w:val="24"/>
      </w:rPr>
      <w:t>（2021-2035年）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FiNjg2MzMwOTMwNDFjMTEzNzM4ZmRiMDBkNWZhMjkifQ=="/>
  </w:docVars>
  <w:rsids>
    <w:rsidRoot w:val="00A40143"/>
    <w:rsid w:val="00000110"/>
    <w:rsid w:val="00002004"/>
    <w:rsid w:val="00002543"/>
    <w:rsid w:val="0000407A"/>
    <w:rsid w:val="000042B0"/>
    <w:rsid w:val="00007045"/>
    <w:rsid w:val="00011210"/>
    <w:rsid w:val="0001154C"/>
    <w:rsid w:val="0001166D"/>
    <w:rsid w:val="00012E09"/>
    <w:rsid w:val="000141EB"/>
    <w:rsid w:val="00014B00"/>
    <w:rsid w:val="00015764"/>
    <w:rsid w:val="00015E5E"/>
    <w:rsid w:val="0002063C"/>
    <w:rsid w:val="0002251D"/>
    <w:rsid w:val="00023A1E"/>
    <w:rsid w:val="000241A8"/>
    <w:rsid w:val="0003092E"/>
    <w:rsid w:val="000312DD"/>
    <w:rsid w:val="00031562"/>
    <w:rsid w:val="000339C5"/>
    <w:rsid w:val="000358DA"/>
    <w:rsid w:val="00043569"/>
    <w:rsid w:val="0004458D"/>
    <w:rsid w:val="00045463"/>
    <w:rsid w:val="00053A94"/>
    <w:rsid w:val="00054A37"/>
    <w:rsid w:val="00056E84"/>
    <w:rsid w:val="00057C99"/>
    <w:rsid w:val="000633DB"/>
    <w:rsid w:val="00064139"/>
    <w:rsid w:val="000677D8"/>
    <w:rsid w:val="00067F39"/>
    <w:rsid w:val="00070949"/>
    <w:rsid w:val="00071F5E"/>
    <w:rsid w:val="00072525"/>
    <w:rsid w:val="000728F6"/>
    <w:rsid w:val="00075000"/>
    <w:rsid w:val="00080C6B"/>
    <w:rsid w:val="00081648"/>
    <w:rsid w:val="00081723"/>
    <w:rsid w:val="00083639"/>
    <w:rsid w:val="00093C91"/>
    <w:rsid w:val="00094393"/>
    <w:rsid w:val="0009747C"/>
    <w:rsid w:val="000A0353"/>
    <w:rsid w:val="000A111C"/>
    <w:rsid w:val="000A2E62"/>
    <w:rsid w:val="000B2144"/>
    <w:rsid w:val="000B2238"/>
    <w:rsid w:val="000B25C3"/>
    <w:rsid w:val="000C3104"/>
    <w:rsid w:val="000C33CA"/>
    <w:rsid w:val="000D08FA"/>
    <w:rsid w:val="000D3699"/>
    <w:rsid w:val="000D5098"/>
    <w:rsid w:val="000D608F"/>
    <w:rsid w:val="000E3517"/>
    <w:rsid w:val="000E7031"/>
    <w:rsid w:val="000F0119"/>
    <w:rsid w:val="000F0C99"/>
    <w:rsid w:val="000F23A1"/>
    <w:rsid w:val="0010594F"/>
    <w:rsid w:val="00106927"/>
    <w:rsid w:val="00106B25"/>
    <w:rsid w:val="0010729A"/>
    <w:rsid w:val="00107E5C"/>
    <w:rsid w:val="00111A24"/>
    <w:rsid w:val="00113006"/>
    <w:rsid w:val="00116702"/>
    <w:rsid w:val="00116BA2"/>
    <w:rsid w:val="00120E6F"/>
    <w:rsid w:val="0012114B"/>
    <w:rsid w:val="00121997"/>
    <w:rsid w:val="00122C8E"/>
    <w:rsid w:val="00124A60"/>
    <w:rsid w:val="00130200"/>
    <w:rsid w:val="00130239"/>
    <w:rsid w:val="001313B5"/>
    <w:rsid w:val="001327AE"/>
    <w:rsid w:val="00135703"/>
    <w:rsid w:val="00136EAF"/>
    <w:rsid w:val="00137958"/>
    <w:rsid w:val="00141316"/>
    <w:rsid w:val="0014223C"/>
    <w:rsid w:val="00143784"/>
    <w:rsid w:val="00144D29"/>
    <w:rsid w:val="00146381"/>
    <w:rsid w:val="00146F5B"/>
    <w:rsid w:val="0014787E"/>
    <w:rsid w:val="001519E3"/>
    <w:rsid w:val="00152174"/>
    <w:rsid w:val="00152B70"/>
    <w:rsid w:val="001575D3"/>
    <w:rsid w:val="001635AD"/>
    <w:rsid w:val="00163DA7"/>
    <w:rsid w:val="00165ADF"/>
    <w:rsid w:val="00167A09"/>
    <w:rsid w:val="00173D49"/>
    <w:rsid w:val="001743F7"/>
    <w:rsid w:val="00174739"/>
    <w:rsid w:val="001748FB"/>
    <w:rsid w:val="00176CF8"/>
    <w:rsid w:val="001770C9"/>
    <w:rsid w:val="00177314"/>
    <w:rsid w:val="00177E15"/>
    <w:rsid w:val="00177E9C"/>
    <w:rsid w:val="00184F7F"/>
    <w:rsid w:val="0018575C"/>
    <w:rsid w:val="0018790F"/>
    <w:rsid w:val="00194FEA"/>
    <w:rsid w:val="0019646A"/>
    <w:rsid w:val="001A0FE2"/>
    <w:rsid w:val="001A1776"/>
    <w:rsid w:val="001A590E"/>
    <w:rsid w:val="001A6E0E"/>
    <w:rsid w:val="001A6E40"/>
    <w:rsid w:val="001A7E73"/>
    <w:rsid w:val="001B103D"/>
    <w:rsid w:val="001B19C2"/>
    <w:rsid w:val="001B1DCD"/>
    <w:rsid w:val="001C0AD5"/>
    <w:rsid w:val="001C3D9C"/>
    <w:rsid w:val="001C6058"/>
    <w:rsid w:val="001C6D52"/>
    <w:rsid w:val="001C6FFC"/>
    <w:rsid w:val="001C7038"/>
    <w:rsid w:val="001C72F8"/>
    <w:rsid w:val="001D46C3"/>
    <w:rsid w:val="001D4DDC"/>
    <w:rsid w:val="001D64C1"/>
    <w:rsid w:val="001D7E53"/>
    <w:rsid w:val="001E044B"/>
    <w:rsid w:val="001E2A30"/>
    <w:rsid w:val="001E3FF6"/>
    <w:rsid w:val="001E40E7"/>
    <w:rsid w:val="001F0C03"/>
    <w:rsid w:val="001F2FF3"/>
    <w:rsid w:val="001F45BD"/>
    <w:rsid w:val="001F6D23"/>
    <w:rsid w:val="002165E0"/>
    <w:rsid w:val="00221BF4"/>
    <w:rsid w:val="00222341"/>
    <w:rsid w:val="00224231"/>
    <w:rsid w:val="0022604D"/>
    <w:rsid w:val="0022793C"/>
    <w:rsid w:val="00230A88"/>
    <w:rsid w:val="00231FDE"/>
    <w:rsid w:val="00237D8A"/>
    <w:rsid w:val="00240227"/>
    <w:rsid w:val="00241DA1"/>
    <w:rsid w:val="00241E64"/>
    <w:rsid w:val="00252782"/>
    <w:rsid w:val="00252ABA"/>
    <w:rsid w:val="002536AF"/>
    <w:rsid w:val="00257E1E"/>
    <w:rsid w:val="00262AE9"/>
    <w:rsid w:val="00263F73"/>
    <w:rsid w:val="00266200"/>
    <w:rsid w:val="002706E3"/>
    <w:rsid w:val="0027104D"/>
    <w:rsid w:val="00271549"/>
    <w:rsid w:val="00271991"/>
    <w:rsid w:val="00274AEC"/>
    <w:rsid w:val="00274D0A"/>
    <w:rsid w:val="00276357"/>
    <w:rsid w:val="00276E9A"/>
    <w:rsid w:val="002815CF"/>
    <w:rsid w:val="00282860"/>
    <w:rsid w:val="00290837"/>
    <w:rsid w:val="00293B46"/>
    <w:rsid w:val="00294697"/>
    <w:rsid w:val="002A10C1"/>
    <w:rsid w:val="002A13CA"/>
    <w:rsid w:val="002A16A5"/>
    <w:rsid w:val="002A517F"/>
    <w:rsid w:val="002B1720"/>
    <w:rsid w:val="002B17D9"/>
    <w:rsid w:val="002B2193"/>
    <w:rsid w:val="002B5066"/>
    <w:rsid w:val="002B6C50"/>
    <w:rsid w:val="002B6DC2"/>
    <w:rsid w:val="002C2F98"/>
    <w:rsid w:val="002C3756"/>
    <w:rsid w:val="002D1E54"/>
    <w:rsid w:val="002D290F"/>
    <w:rsid w:val="002D49F7"/>
    <w:rsid w:val="002D6208"/>
    <w:rsid w:val="002E236B"/>
    <w:rsid w:val="002E265E"/>
    <w:rsid w:val="002E7616"/>
    <w:rsid w:val="002F2DF9"/>
    <w:rsid w:val="002F3DA6"/>
    <w:rsid w:val="002F713F"/>
    <w:rsid w:val="002F72B1"/>
    <w:rsid w:val="00300183"/>
    <w:rsid w:val="003002BE"/>
    <w:rsid w:val="00302946"/>
    <w:rsid w:val="003039B6"/>
    <w:rsid w:val="00307409"/>
    <w:rsid w:val="00307A11"/>
    <w:rsid w:val="0031119B"/>
    <w:rsid w:val="00315CCD"/>
    <w:rsid w:val="003165DE"/>
    <w:rsid w:val="003225F2"/>
    <w:rsid w:val="0032446B"/>
    <w:rsid w:val="00326AB7"/>
    <w:rsid w:val="003417DC"/>
    <w:rsid w:val="00347C40"/>
    <w:rsid w:val="0035238F"/>
    <w:rsid w:val="00352FC9"/>
    <w:rsid w:val="00360B18"/>
    <w:rsid w:val="003648E1"/>
    <w:rsid w:val="003654B9"/>
    <w:rsid w:val="003702B6"/>
    <w:rsid w:val="00371FE1"/>
    <w:rsid w:val="0037240E"/>
    <w:rsid w:val="003738D2"/>
    <w:rsid w:val="00375945"/>
    <w:rsid w:val="00376EE1"/>
    <w:rsid w:val="0037771B"/>
    <w:rsid w:val="00377EA0"/>
    <w:rsid w:val="00382123"/>
    <w:rsid w:val="003823A7"/>
    <w:rsid w:val="003842AF"/>
    <w:rsid w:val="00384CC1"/>
    <w:rsid w:val="00390C12"/>
    <w:rsid w:val="003910D5"/>
    <w:rsid w:val="00391748"/>
    <w:rsid w:val="00392F7B"/>
    <w:rsid w:val="00392FDC"/>
    <w:rsid w:val="003966FE"/>
    <w:rsid w:val="003A04D8"/>
    <w:rsid w:val="003A282B"/>
    <w:rsid w:val="003A2BB4"/>
    <w:rsid w:val="003A3ED6"/>
    <w:rsid w:val="003A4F7E"/>
    <w:rsid w:val="003A5A8D"/>
    <w:rsid w:val="003B1B98"/>
    <w:rsid w:val="003B209F"/>
    <w:rsid w:val="003B2893"/>
    <w:rsid w:val="003B46CD"/>
    <w:rsid w:val="003B710A"/>
    <w:rsid w:val="003B71E3"/>
    <w:rsid w:val="003C07E5"/>
    <w:rsid w:val="003C0D36"/>
    <w:rsid w:val="003C2384"/>
    <w:rsid w:val="003C51E9"/>
    <w:rsid w:val="003C51ED"/>
    <w:rsid w:val="003D1725"/>
    <w:rsid w:val="003D2844"/>
    <w:rsid w:val="003D41A5"/>
    <w:rsid w:val="003D4C0B"/>
    <w:rsid w:val="003D4F02"/>
    <w:rsid w:val="003D64CF"/>
    <w:rsid w:val="003E1626"/>
    <w:rsid w:val="003E218A"/>
    <w:rsid w:val="003E429F"/>
    <w:rsid w:val="003E4758"/>
    <w:rsid w:val="003E6604"/>
    <w:rsid w:val="003E6B86"/>
    <w:rsid w:val="003E6C23"/>
    <w:rsid w:val="003E7F89"/>
    <w:rsid w:val="003F1F31"/>
    <w:rsid w:val="003F32F6"/>
    <w:rsid w:val="003F3BC6"/>
    <w:rsid w:val="003F6145"/>
    <w:rsid w:val="004011E6"/>
    <w:rsid w:val="00406634"/>
    <w:rsid w:val="0040703C"/>
    <w:rsid w:val="00412275"/>
    <w:rsid w:val="004149F7"/>
    <w:rsid w:val="004160C8"/>
    <w:rsid w:val="0041687E"/>
    <w:rsid w:val="004231CD"/>
    <w:rsid w:val="00424F0B"/>
    <w:rsid w:val="00435E17"/>
    <w:rsid w:val="004442F4"/>
    <w:rsid w:val="0044473D"/>
    <w:rsid w:val="00444799"/>
    <w:rsid w:val="0044568A"/>
    <w:rsid w:val="00445C4C"/>
    <w:rsid w:val="00447A34"/>
    <w:rsid w:val="00450F12"/>
    <w:rsid w:val="004511BF"/>
    <w:rsid w:val="00452F9B"/>
    <w:rsid w:val="004563EA"/>
    <w:rsid w:val="00460619"/>
    <w:rsid w:val="004610F6"/>
    <w:rsid w:val="0046545A"/>
    <w:rsid w:val="004659AA"/>
    <w:rsid w:val="004713D9"/>
    <w:rsid w:val="004728DD"/>
    <w:rsid w:val="00476583"/>
    <w:rsid w:val="0047778D"/>
    <w:rsid w:val="00477BED"/>
    <w:rsid w:val="004806AA"/>
    <w:rsid w:val="004809EA"/>
    <w:rsid w:val="00484714"/>
    <w:rsid w:val="0048500E"/>
    <w:rsid w:val="00492635"/>
    <w:rsid w:val="00494B7D"/>
    <w:rsid w:val="004960C4"/>
    <w:rsid w:val="004A2FBB"/>
    <w:rsid w:val="004A6950"/>
    <w:rsid w:val="004B0BDE"/>
    <w:rsid w:val="004B2825"/>
    <w:rsid w:val="004B6521"/>
    <w:rsid w:val="004C5C81"/>
    <w:rsid w:val="004C5CAB"/>
    <w:rsid w:val="004C7385"/>
    <w:rsid w:val="004C7AC4"/>
    <w:rsid w:val="004D0102"/>
    <w:rsid w:val="004D2086"/>
    <w:rsid w:val="004D3362"/>
    <w:rsid w:val="004E495B"/>
    <w:rsid w:val="004E7C5B"/>
    <w:rsid w:val="004F00F0"/>
    <w:rsid w:val="004F134D"/>
    <w:rsid w:val="004F30D1"/>
    <w:rsid w:val="004F3A92"/>
    <w:rsid w:val="00500542"/>
    <w:rsid w:val="00500830"/>
    <w:rsid w:val="00502116"/>
    <w:rsid w:val="005117EA"/>
    <w:rsid w:val="0051503E"/>
    <w:rsid w:val="0051527A"/>
    <w:rsid w:val="00515C5E"/>
    <w:rsid w:val="00515FAC"/>
    <w:rsid w:val="00516217"/>
    <w:rsid w:val="00516909"/>
    <w:rsid w:val="00520678"/>
    <w:rsid w:val="00520FA3"/>
    <w:rsid w:val="00520FC7"/>
    <w:rsid w:val="00523E13"/>
    <w:rsid w:val="005274F2"/>
    <w:rsid w:val="005405E8"/>
    <w:rsid w:val="005419E0"/>
    <w:rsid w:val="00542ADF"/>
    <w:rsid w:val="00544876"/>
    <w:rsid w:val="00552E1F"/>
    <w:rsid w:val="00555309"/>
    <w:rsid w:val="00556353"/>
    <w:rsid w:val="00562726"/>
    <w:rsid w:val="00564E26"/>
    <w:rsid w:val="005651EB"/>
    <w:rsid w:val="005656FD"/>
    <w:rsid w:val="00565A75"/>
    <w:rsid w:val="00567204"/>
    <w:rsid w:val="005802D6"/>
    <w:rsid w:val="00580377"/>
    <w:rsid w:val="0058186A"/>
    <w:rsid w:val="005819D4"/>
    <w:rsid w:val="00581A07"/>
    <w:rsid w:val="00581AA3"/>
    <w:rsid w:val="00587378"/>
    <w:rsid w:val="00592793"/>
    <w:rsid w:val="005A0366"/>
    <w:rsid w:val="005A30EF"/>
    <w:rsid w:val="005A41DB"/>
    <w:rsid w:val="005A47A0"/>
    <w:rsid w:val="005A481D"/>
    <w:rsid w:val="005A4AB4"/>
    <w:rsid w:val="005A5781"/>
    <w:rsid w:val="005A5A82"/>
    <w:rsid w:val="005B21DB"/>
    <w:rsid w:val="005B4E8B"/>
    <w:rsid w:val="005B6DDE"/>
    <w:rsid w:val="005C3ACF"/>
    <w:rsid w:val="005C3F37"/>
    <w:rsid w:val="005C45C7"/>
    <w:rsid w:val="005C63A1"/>
    <w:rsid w:val="005D1D8E"/>
    <w:rsid w:val="005D324A"/>
    <w:rsid w:val="005D3F22"/>
    <w:rsid w:val="005D7B40"/>
    <w:rsid w:val="005E1AB1"/>
    <w:rsid w:val="005E4923"/>
    <w:rsid w:val="005F07E3"/>
    <w:rsid w:val="005F186D"/>
    <w:rsid w:val="005F1D44"/>
    <w:rsid w:val="005F52A0"/>
    <w:rsid w:val="005F5EA2"/>
    <w:rsid w:val="005F6B52"/>
    <w:rsid w:val="005F755B"/>
    <w:rsid w:val="00604324"/>
    <w:rsid w:val="006046BD"/>
    <w:rsid w:val="0060719E"/>
    <w:rsid w:val="006075AB"/>
    <w:rsid w:val="006076F4"/>
    <w:rsid w:val="006103D3"/>
    <w:rsid w:val="00613165"/>
    <w:rsid w:val="0061439B"/>
    <w:rsid w:val="006150A1"/>
    <w:rsid w:val="00615364"/>
    <w:rsid w:val="00616338"/>
    <w:rsid w:val="006251E3"/>
    <w:rsid w:val="006265F9"/>
    <w:rsid w:val="006306BA"/>
    <w:rsid w:val="00632DA5"/>
    <w:rsid w:val="00635D51"/>
    <w:rsid w:val="00635FF3"/>
    <w:rsid w:val="0064259B"/>
    <w:rsid w:val="0064460D"/>
    <w:rsid w:val="00645659"/>
    <w:rsid w:val="00646800"/>
    <w:rsid w:val="00647F47"/>
    <w:rsid w:val="00650330"/>
    <w:rsid w:val="00653363"/>
    <w:rsid w:val="006544F9"/>
    <w:rsid w:val="00654D7F"/>
    <w:rsid w:val="0065718C"/>
    <w:rsid w:val="00661B5B"/>
    <w:rsid w:val="00662399"/>
    <w:rsid w:val="006628D3"/>
    <w:rsid w:val="006634E3"/>
    <w:rsid w:val="00663EE5"/>
    <w:rsid w:val="006678BE"/>
    <w:rsid w:val="00667E8D"/>
    <w:rsid w:val="0067100C"/>
    <w:rsid w:val="00671A03"/>
    <w:rsid w:val="006730BF"/>
    <w:rsid w:val="00674F45"/>
    <w:rsid w:val="00683049"/>
    <w:rsid w:val="00686286"/>
    <w:rsid w:val="0069065B"/>
    <w:rsid w:val="00691F4B"/>
    <w:rsid w:val="00692675"/>
    <w:rsid w:val="006931F8"/>
    <w:rsid w:val="006935A7"/>
    <w:rsid w:val="0069448A"/>
    <w:rsid w:val="00696D15"/>
    <w:rsid w:val="00697270"/>
    <w:rsid w:val="00697FA1"/>
    <w:rsid w:val="006A073B"/>
    <w:rsid w:val="006A08CD"/>
    <w:rsid w:val="006A0DCC"/>
    <w:rsid w:val="006B0FB9"/>
    <w:rsid w:val="006B1157"/>
    <w:rsid w:val="006B1FD3"/>
    <w:rsid w:val="006B2DBC"/>
    <w:rsid w:val="006B3C48"/>
    <w:rsid w:val="006B3DB3"/>
    <w:rsid w:val="006C0399"/>
    <w:rsid w:val="006C792A"/>
    <w:rsid w:val="006C7C1F"/>
    <w:rsid w:val="006D3853"/>
    <w:rsid w:val="006E0F94"/>
    <w:rsid w:val="006E11EF"/>
    <w:rsid w:val="006E5758"/>
    <w:rsid w:val="006E654E"/>
    <w:rsid w:val="006F0AEA"/>
    <w:rsid w:val="006F22E0"/>
    <w:rsid w:val="006F2F79"/>
    <w:rsid w:val="006F44E2"/>
    <w:rsid w:val="006F5327"/>
    <w:rsid w:val="0070421F"/>
    <w:rsid w:val="00711FD7"/>
    <w:rsid w:val="00717092"/>
    <w:rsid w:val="007206C6"/>
    <w:rsid w:val="00721780"/>
    <w:rsid w:val="0072243A"/>
    <w:rsid w:val="00723902"/>
    <w:rsid w:val="00725D84"/>
    <w:rsid w:val="0072654D"/>
    <w:rsid w:val="00733146"/>
    <w:rsid w:val="00733335"/>
    <w:rsid w:val="0073341C"/>
    <w:rsid w:val="00737C98"/>
    <w:rsid w:val="00744D9F"/>
    <w:rsid w:val="00746CDF"/>
    <w:rsid w:val="00747731"/>
    <w:rsid w:val="00755548"/>
    <w:rsid w:val="00755CF3"/>
    <w:rsid w:val="00757A6C"/>
    <w:rsid w:val="00757EFD"/>
    <w:rsid w:val="007600F2"/>
    <w:rsid w:val="0076485F"/>
    <w:rsid w:val="00764A29"/>
    <w:rsid w:val="00764C38"/>
    <w:rsid w:val="00766A13"/>
    <w:rsid w:val="007707C3"/>
    <w:rsid w:val="007731D6"/>
    <w:rsid w:val="00773C4B"/>
    <w:rsid w:val="0077483D"/>
    <w:rsid w:val="00775FA1"/>
    <w:rsid w:val="00775FD8"/>
    <w:rsid w:val="007807E7"/>
    <w:rsid w:val="0078416E"/>
    <w:rsid w:val="007873B8"/>
    <w:rsid w:val="0079010D"/>
    <w:rsid w:val="00791564"/>
    <w:rsid w:val="00793536"/>
    <w:rsid w:val="00794875"/>
    <w:rsid w:val="007A0C88"/>
    <w:rsid w:val="007A114A"/>
    <w:rsid w:val="007A2600"/>
    <w:rsid w:val="007A27DC"/>
    <w:rsid w:val="007A378B"/>
    <w:rsid w:val="007A4F14"/>
    <w:rsid w:val="007A6130"/>
    <w:rsid w:val="007B1CDD"/>
    <w:rsid w:val="007B32B0"/>
    <w:rsid w:val="007B46F4"/>
    <w:rsid w:val="007B499C"/>
    <w:rsid w:val="007B4AC7"/>
    <w:rsid w:val="007B5332"/>
    <w:rsid w:val="007B6C12"/>
    <w:rsid w:val="007C098B"/>
    <w:rsid w:val="007C0EF4"/>
    <w:rsid w:val="007C3C59"/>
    <w:rsid w:val="007C4CE0"/>
    <w:rsid w:val="007C7BE1"/>
    <w:rsid w:val="007D211D"/>
    <w:rsid w:val="007D2B60"/>
    <w:rsid w:val="007D35BD"/>
    <w:rsid w:val="007D4EAE"/>
    <w:rsid w:val="007E5304"/>
    <w:rsid w:val="007E6FDC"/>
    <w:rsid w:val="007F0CCC"/>
    <w:rsid w:val="007F36A2"/>
    <w:rsid w:val="007F49DB"/>
    <w:rsid w:val="007F4A44"/>
    <w:rsid w:val="007F5409"/>
    <w:rsid w:val="007F7E92"/>
    <w:rsid w:val="00801227"/>
    <w:rsid w:val="00804982"/>
    <w:rsid w:val="00807614"/>
    <w:rsid w:val="00807B16"/>
    <w:rsid w:val="00807DDB"/>
    <w:rsid w:val="008131F1"/>
    <w:rsid w:val="008132B3"/>
    <w:rsid w:val="00815989"/>
    <w:rsid w:val="00820F2F"/>
    <w:rsid w:val="00821D56"/>
    <w:rsid w:val="00822A53"/>
    <w:rsid w:val="00824384"/>
    <w:rsid w:val="00826C5C"/>
    <w:rsid w:val="00830449"/>
    <w:rsid w:val="008310BA"/>
    <w:rsid w:val="00837F8B"/>
    <w:rsid w:val="0084070B"/>
    <w:rsid w:val="00841FD9"/>
    <w:rsid w:val="008429C3"/>
    <w:rsid w:val="00844E45"/>
    <w:rsid w:val="00845BA9"/>
    <w:rsid w:val="00846611"/>
    <w:rsid w:val="00847304"/>
    <w:rsid w:val="0085050A"/>
    <w:rsid w:val="00851155"/>
    <w:rsid w:val="00851BD0"/>
    <w:rsid w:val="00853168"/>
    <w:rsid w:val="00857512"/>
    <w:rsid w:val="00862196"/>
    <w:rsid w:val="00863015"/>
    <w:rsid w:val="0086309A"/>
    <w:rsid w:val="00864D1A"/>
    <w:rsid w:val="00872333"/>
    <w:rsid w:val="008723B0"/>
    <w:rsid w:val="00875298"/>
    <w:rsid w:val="008769D1"/>
    <w:rsid w:val="0087745D"/>
    <w:rsid w:val="00880115"/>
    <w:rsid w:val="0088410D"/>
    <w:rsid w:val="0088438F"/>
    <w:rsid w:val="00885CA5"/>
    <w:rsid w:val="00886C41"/>
    <w:rsid w:val="00887D7B"/>
    <w:rsid w:val="00892374"/>
    <w:rsid w:val="00895B6F"/>
    <w:rsid w:val="008A0BA9"/>
    <w:rsid w:val="008A0E55"/>
    <w:rsid w:val="008A3AE5"/>
    <w:rsid w:val="008A5465"/>
    <w:rsid w:val="008A5AE2"/>
    <w:rsid w:val="008B0F24"/>
    <w:rsid w:val="008B1A6F"/>
    <w:rsid w:val="008B1CC7"/>
    <w:rsid w:val="008B2C69"/>
    <w:rsid w:val="008B54A7"/>
    <w:rsid w:val="008C27C9"/>
    <w:rsid w:val="008C63CE"/>
    <w:rsid w:val="008C64F6"/>
    <w:rsid w:val="008C7208"/>
    <w:rsid w:val="008D356D"/>
    <w:rsid w:val="008E1915"/>
    <w:rsid w:val="008F23E1"/>
    <w:rsid w:val="008F5716"/>
    <w:rsid w:val="008F7272"/>
    <w:rsid w:val="0090402C"/>
    <w:rsid w:val="00904611"/>
    <w:rsid w:val="00905647"/>
    <w:rsid w:val="009153F5"/>
    <w:rsid w:val="009179BA"/>
    <w:rsid w:val="00920999"/>
    <w:rsid w:val="00920D05"/>
    <w:rsid w:val="00922532"/>
    <w:rsid w:val="00925931"/>
    <w:rsid w:val="00927144"/>
    <w:rsid w:val="00931FB5"/>
    <w:rsid w:val="00932C18"/>
    <w:rsid w:val="00934D0D"/>
    <w:rsid w:val="0093653E"/>
    <w:rsid w:val="00942D3E"/>
    <w:rsid w:val="009442D5"/>
    <w:rsid w:val="009446A6"/>
    <w:rsid w:val="00946A9D"/>
    <w:rsid w:val="00952452"/>
    <w:rsid w:val="009547A9"/>
    <w:rsid w:val="00960E93"/>
    <w:rsid w:val="0096319A"/>
    <w:rsid w:val="00967384"/>
    <w:rsid w:val="00967921"/>
    <w:rsid w:val="00967CD7"/>
    <w:rsid w:val="009712D2"/>
    <w:rsid w:val="009719BE"/>
    <w:rsid w:val="0097551E"/>
    <w:rsid w:val="00976166"/>
    <w:rsid w:val="0097749E"/>
    <w:rsid w:val="00985FE0"/>
    <w:rsid w:val="00992EF0"/>
    <w:rsid w:val="00994803"/>
    <w:rsid w:val="00994EC1"/>
    <w:rsid w:val="00995048"/>
    <w:rsid w:val="00995617"/>
    <w:rsid w:val="009A0748"/>
    <w:rsid w:val="009A32DB"/>
    <w:rsid w:val="009A56E3"/>
    <w:rsid w:val="009A5D6F"/>
    <w:rsid w:val="009A5F47"/>
    <w:rsid w:val="009A6301"/>
    <w:rsid w:val="009B0D48"/>
    <w:rsid w:val="009B1E46"/>
    <w:rsid w:val="009B1EF4"/>
    <w:rsid w:val="009B5973"/>
    <w:rsid w:val="009B5A49"/>
    <w:rsid w:val="009B64A9"/>
    <w:rsid w:val="009B7439"/>
    <w:rsid w:val="009C0ED7"/>
    <w:rsid w:val="009C19F1"/>
    <w:rsid w:val="009C30DC"/>
    <w:rsid w:val="009C3A0C"/>
    <w:rsid w:val="009C571A"/>
    <w:rsid w:val="009C6FAD"/>
    <w:rsid w:val="009C76B2"/>
    <w:rsid w:val="009D43CE"/>
    <w:rsid w:val="009D4E5B"/>
    <w:rsid w:val="009D7F88"/>
    <w:rsid w:val="009E3870"/>
    <w:rsid w:val="009E3D7E"/>
    <w:rsid w:val="009E5BD2"/>
    <w:rsid w:val="009E6988"/>
    <w:rsid w:val="009E7B44"/>
    <w:rsid w:val="009F080B"/>
    <w:rsid w:val="009F0CD9"/>
    <w:rsid w:val="009F0F81"/>
    <w:rsid w:val="009F79EC"/>
    <w:rsid w:val="00A00A9C"/>
    <w:rsid w:val="00A02A1A"/>
    <w:rsid w:val="00A07EC6"/>
    <w:rsid w:val="00A1447E"/>
    <w:rsid w:val="00A16A63"/>
    <w:rsid w:val="00A21BBC"/>
    <w:rsid w:val="00A23FD4"/>
    <w:rsid w:val="00A251BC"/>
    <w:rsid w:val="00A3204C"/>
    <w:rsid w:val="00A34F4B"/>
    <w:rsid w:val="00A36C50"/>
    <w:rsid w:val="00A37EA3"/>
    <w:rsid w:val="00A40143"/>
    <w:rsid w:val="00A40605"/>
    <w:rsid w:val="00A426F3"/>
    <w:rsid w:val="00A44863"/>
    <w:rsid w:val="00A478FD"/>
    <w:rsid w:val="00A5298B"/>
    <w:rsid w:val="00A549CD"/>
    <w:rsid w:val="00A55CAE"/>
    <w:rsid w:val="00A570BB"/>
    <w:rsid w:val="00A57597"/>
    <w:rsid w:val="00A6090A"/>
    <w:rsid w:val="00A627A1"/>
    <w:rsid w:val="00A63319"/>
    <w:rsid w:val="00A65A60"/>
    <w:rsid w:val="00A6611F"/>
    <w:rsid w:val="00A667F7"/>
    <w:rsid w:val="00A7335F"/>
    <w:rsid w:val="00A7554C"/>
    <w:rsid w:val="00A76761"/>
    <w:rsid w:val="00A80587"/>
    <w:rsid w:val="00A808C0"/>
    <w:rsid w:val="00A82326"/>
    <w:rsid w:val="00A86C51"/>
    <w:rsid w:val="00A9168E"/>
    <w:rsid w:val="00A917AA"/>
    <w:rsid w:val="00A931BE"/>
    <w:rsid w:val="00A936AF"/>
    <w:rsid w:val="00A970B8"/>
    <w:rsid w:val="00A97FD0"/>
    <w:rsid w:val="00AA3560"/>
    <w:rsid w:val="00AA7A19"/>
    <w:rsid w:val="00AB0AA7"/>
    <w:rsid w:val="00AB2CFB"/>
    <w:rsid w:val="00AB2E36"/>
    <w:rsid w:val="00AB5E2E"/>
    <w:rsid w:val="00AB6175"/>
    <w:rsid w:val="00AB6714"/>
    <w:rsid w:val="00AB6781"/>
    <w:rsid w:val="00AC0F00"/>
    <w:rsid w:val="00AC32AD"/>
    <w:rsid w:val="00AC400C"/>
    <w:rsid w:val="00AD104A"/>
    <w:rsid w:val="00AD50EB"/>
    <w:rsid w:val="00AD5215"/>
    <w:rsid w:val="00AD7F4C"/>
    <w:rsid w:val="00AE00C7"/>
    <w:rsid w:val="00AE24A7"/>
    <w:rsid w:val="00AE283A"/>
    <w:rsid w:val="00AE4BB3"/>
    <w:rsid w:val="00AE5012"/>
    <w:rsid w:val="00AE5B77"/>
    <w:rsid w:val="00AE5C9F"/>
    <w:rsid w:val="00AF1132"/>
    <w:rsid w:val="00AF4CEE"/>
    <w:rsid w:val="00AF77BA"/>
    <w:rsid w:val="00B00B10"/>
    <w:rsid w:val="00B12DDD"/>
    <w:rsid w:val="00B16143"/>
    <w:rsid w:val="00B17F1A"/>
    <w:rsid w:val="00B22DF1"/>
    <w:rsid w:val="00B23617"/>
    <w:rsid w:val="00B24210"/>
    <w:rsid w:val="00B319B2"/>
    <w:rsid w:val="00B33242"/>
    <w:rsid w:val="00B35E79"/>
    <w:rsid w:val="00B371A8"/>
    <w:rsid w:val="00B40F94"/>
    <w:rsid w:val="00B435F6"/>
    <w:rsid w:val="00B442A8"/>
    <w:rsid w:val="00B44C29"/>
    <w:rsid w:val="00B50E79"/>
    <w:rsid w:val="00B5258C"/>
    <w:rsid w:val="00B533D4"/>
    <w:rsid w:val="00B536B0"/>
    <w:rsid w:val="00B5585B"/>
    <w:rsid w:val="00B561ED"/>
    <w:rsid w:val="00B66BB2"/>
    <w:rsid w:val="00B67493"/>
    <w:rsid w:val="00B71508"/>
    <w:rsid w:val="00B73837"/>
    <w:rsid w:val="00B75F65"/>
    <w:rsid w:val="00B83612"/>
    <w:rsid w:val="00B83853"/>
    <w:rsid w:val="00B90A6A"/>
    <w:rsid w:val="00B96E3B"/>
    <w:rsid w:val="00BA0E12"/>
    <w:rsid w:val="00BA3CB4"/>
    <w:rsid w:val="00BA3D95"/>
    <w:rsid w:val="00BA4112"/>
    <w:rsid w:val="00BA4B99"/>
    <w:rsid w:val="00BA54F5"/>
    <w:rsid w:val="00BA58C8"/>
    <w:rsid w:val="00BA618F"/>
    <w:rsid w:val="00BA6820"/>
    <w:rsid w:val="00BA7FDF"/>
    <w:rsid w:val="00BB0F5A"/>
    <w:rsid w:val="00BB4194"/>
    <w:rsid w:val="00BB45BE"/>
    <w:rsid w:val="00BC242D"/>
    <w:rsid w:val="00BC3B7A"/>
    <w:rsid w:val="00BC64AD"/>
    <w:rsid w:val="00BD0C08"/>
    <w:rsid w:val="00BD11DB"/>
    <w:rsid w:val="00BD1A90"/>
    <w:rsid w:val="00BD4D24"/>
    <w:rsid w:val="00BD4DF9"/>
    <w:rsid w:val="00BD68B9"/>
    <w:rsid w:val="00BD7A18"/>
    <w:rsid w:val="00BD7C6B"/>
    <w:rsid w:val="00BE2431"/>
    <w:rsid w:val="00BE2A0E"/>
    <w:rsid w:val="00BF1132"/>
    <w:rsid w:val="00BF191D"/>
    <w:rsid w:val="00BF43E2"/>
    <w:rsid w:val="00BF45F9"/>
    <w:rsid w:val="00BF57B6"/>
    <w:rsid w:val="00BF73F5"/>
    <w:rsid w:val="00BF7C07"/>
    <w:rsid w:val="00C00EAE"/>
    <w:rsid w:val="00C0172A"/>
    <w:rsid w:val="00C03472"/>
    <w:rsid w:val="00C04F42"/>
    <w:rsid w:val="00C0672B"/>
    <w:rsid w:val="00C0700F"/>
    <w:rsid w:val="00C10F86"/>
    <w:rsid w:val="00C10FAD"/>
    <w:rsid w:val="00C134DF"/>
    <w:rsid w:val="00C13790"/>
    <w:rsid w:val="00C16F6F"/>
    <w:rsid w:val="00C173D1"/>
    <w:rsid w:val="00C17859"/>
    <w:rsid w:val="00C23472"/>
    <w:rsid w:val="00C2778E"/>
    <w:rsid w:val="00C3056D"/>
    <w:rsid w:val="00C31918"/>
    <w:rsid w:val="00C32EBB"/>
    <w:rsid w:val="00C365BF"/>
    <w:rsid w:val="00C37BDC"/>
    <w:rsid w:val="00C413B9"/>
    <w:rsid w:val="00C416EF"/>
    <w:rsid w:val="00C41A29"/>
    <w:rsid w:val="00C4232E"/>
    <w:rsid w:val="00C42918"/>
    <w:rsid w:val="00C43099"/>
    <w:rsid w:val="00C4459B"/>
    <w:rsid w:val="00C45F92"/>
    <w:rsid w:val="00C53358"/>
    <w:rsid w:val="00C6500B"/>
    <w:rsid w:val="00C65652"/>
    <w:rsid w:val="00C70167"/>
    <w:rsid w:val="00C71114"/>
    <w:rsid w:val="00C7120B"/>
    <w:rsid w:val="00C717EF"/>
    <w:rsid w:val="00C72C18"/>
    <w:rsid w:val="00C80685"/>
    <w:rsid w:val="00C83F01"/>
    <w:rsid w:val="00C86705"/>
    <w:rsid w:val="00C91F9D"/>
    <w:rsid w:val="00C93524"/>
    <w:rsid w:val="00C935AC"/>
    <w:rsid w:val="00CA0AB4"/>
    <w:rsid w:val="00CA0FE5"/>
    <w:rsid w:val="00CA49F1"/>
    <w:rsid w:val="00CA4EA6"/>
    <w:rsid w:val="00CA67DD"/>
    <w:rsid w:val="00CA6CFD"/>
    <w:rsid w:val="00CB54A9"/>
    <w:rsid w:val="00CB6AAF"/>
    <w:rsid w:val="00CC1F08"/>
    <w:rsid w:val="00CC2FDD"/>
    <w:rsid w:val="00CC5B08"/>
    <w:rsid w:val="00CD4E59"/>
    <w:rsid w:val="00CD62F8"/>
    <w:rsid w:val="00CD6DC9"/>
    <w:rsid w:val="00CD6FA5"/>
    <w:rsid w:val="00CD7395"/>
    <w:rsid w:val="00CE01B9"/>
    <w:rsid w:val="00CE3F37"/>
    <w:rsid w:val="00CE45C5"/>
    <w:rsid w:val="00CE4EFE"/>
    <w:rsid w:val="00CE5848"/>
    <w:rsid w:val="00CF01C4"/>
    <w:rsid w:val="00CF1608"/>
    <w:rsid w:val="00CF181E"/>
    <w:rsid w:val="00CF27B4"/>
    <w:rsid w:val="00CF3AAF"/>
    <w:rsid w:val="00CF66B5"/>
    <w:rsid w:val="00D005CD"/>
    <w:rsid w:val="00D02261"/>
    <w:rsid w:val="00D05467"/>
    <w:rsid w:val="00D05878"/>
    <w:rsid w:val="00D12D61"/>
    <w:rsid w:val="00D141B1"/>
    <w:rsid w:val="00D16391"/>
    <w:rsid w:val="00D16B27"/>
    <w:rsid w:val="00D1725C"/>
    <w:rsid w:val="00D17C1E"/>
    <w:rsid w:val="00D17FAB"/>
    <w:rsid w:val="00D21318"/>
    <w:rsid w:val="00D22353"/>
    <w:rsid w:val="00D2520A"/>
    <w:rsid w:val="00D2564D"/>
    <w:rsid w:val="00D259E0"/>
    <w:rsid w:val="00D2656E"/>
    <w:rsid w:val="00D26ECB"/>
    <w:rsid w:val="00D2731C"/>
    <w:rsid w:val="00D278D0"/>
    <w:rsid w:val="00D27A54"/>
    <w:rsid w:val="00D32505"/>
    <w:rsid w:val="00D35EC4"/>
    <w:rsid w:val="00D35FBF"/>
    <w:rsid w:val="00D40059"/>
    <w:rsid w:val="00D40C02"/>
    <w:rsid w:val="00D41458"/>
    <w:rsid w:val="00D42F73"/>
    <w:rsid w:val="00D50BCC"/>
    <w:rsid w:val="00D542B6"/>
    <w:rsid w:val="00D56C03"/>
    <w:rsid w:val="00D56D3B"/>
    <w:rsid w:val="00D5787C"/>
    <w:rsid w:val="00D60F15"/>
    <w:rsid w:val="00D61160"/>
    <w:rsid w:val="00D615C3"/>
    <w:rsid w:val="00D62EF3"/>
    <w:rsid w:val="00D6696E"/>
    <w:rsid w:val="00D672CE"/>
    <w:rsid w:val="00D67F7B"/>
    <w:rsid w:val="00D707E6"/>
    <w:rsid w:val="00D71395"/>
    <w:rsid w:val="00D71AD4"/>
    <w:rsid w:val="00D75C2F"/>
    <w:rsid w:val="00D762FB"/>
    <w:rsid w:val="00D77FAB"/>
    <w:rsid w:val="00D83625"/>
    <w:rsid w:val="00D84B12"/>
    <w:rsid w:val="00D85ABC"/>
    <w:rsid w:val="00D8737A"/>
    <w:rsid w:val="00D913CE"/>
    <w:rsid w:val="00D91B8B"/>
    <w:rsid w:val="00D92E52"/>
    <w:rsid w:val="00D93EC1"/>
    <w:rsid w:val="00D94FC4"/>
    <w:rsid w:val="00D95F5E"/>
    <w:rsid w:val="00DA08C6"/>
    <w:rsid w:val="00DA3685"/>
    <w:rsid w:val="00DA5999"/>
    <w:rsid w:val="00DA6588"/>
    <w:rsid w:val="00DA6739"/>
    <w:rsid w:val="00DA7032"/>
    <w:rsid w:val="00DB71E9"/>
    <w:rsid w:val="00DB77ED"/>
    <w:rsid w:val="00DC23F7"/>
    <w:rsid w:val="00DC2E55"/>
    <w:rsid w:val="00DC428B"/>
    <w:rsid w:val="00DC6AAC"/>
    <w:rsid w:val="00DD013B"/>
    <w:rsid w:val="00DD1132"/>
    <w:rsid w:val="00DD1D1C"/>
    <w:rsid w:val="00DD3A6A"/>
    <w:rsid w:val="00DD53F3"/>
    <w:rsid w:val="00DD5B39"/>
    <w:rsid w:val="00DD5CD7"/>
    <w:rsid w:val="00DD7C25"/>
    <w:rsid w:val="00DE0241"/>
    <w:rsid w:val="00DE4420"/>
    <w:rsid w:val="00DE6C31"/>
    <w:rsid w:val="00DE6F93"/>
    <w:rsid w:val="00DE73EC"/>
    <w:rsid w:val="00DF0607"/>
    <w:rsid w:val="00DF14F9"/>
    <w:rsid w:val="00DF1C4C"/>
    <w:rsid w:val="00DF2F70"/>
    <w:rsid w:val="00DF3324"/>
    <w:rsid w:val="00DF3599"/>
    <w:rsid w:val="00DF3E41"/>
    <w:rsid w:val="00E00722"/>
    <w:rsid w:val="00E0317D"/>
    <w:rsid w:val="00E058CE"/>
    <w:rsid w:val="00E12319"/>
    <w:rsid w:val="00E1468C"/>
    <w:rsid w:val="00E14E6F"/>
    <w:rsid w:val="00E2037C"/>
    <w:rsid w:val="00E218DA"/>
    <w:rsid w:val="00E23E2A"/>
    <w:rsid w:val="00E26900"/>
    <w:rsid w:val="00E277E9"/>
    <w:rsid w:val="00E30888"/>
    <w:rsid w:val="00E31ED2"/>
    <w:rsid w:val="00E33035"/>
    <w:rsid w:val="00E35B2B"/>
    <w:rsid w:val="00E36BFA"/>
    <w:rsid w:val="00E412A5"/>
    <w:rsid w:val="00E41343"/>
    <w:rsid w:val="00E4300F"/>
    <w:rsid w:val="00E436B5"/>
    <w:rsid w:val="00E47120"/>
    <w:rsid w:val="00E475C3"/>
    <w:rsid w:val="00E47FFD"/>
    <w:rsid w:val="00E56987"/>
    <w:rsid w:val="00E56B8C"/>
    <w:rsid w:val="00E57B4B"/>
    <w:rsid w:val="00E60CF3"/>
    <w:rsid w:val="00E61C0A"/>
    <w:rsid w:val="00E62F58"/>
    <w:rsid w:val="00E65E71"/>
    <w:rsid w:val="00E72661"/>
    <w:rsid w:val="00E72AA3"/>
    <w:rsid w:val="00E76D35"/>
    <w:rsid w:val="00E7731B"/>
    <w:rsid w:val="00E80CA5"/>
    <w:rsid w:val="00E80E09"/>
    <w:rsid w:val="00E81FD9"/>
    <w:rsid w:val="00E85C20"/>
    <w:rsid w:val="00E87CB0"/>
    <w:rsid w:val="00E902F8"/>
    <w:rsid w:val="00E93923"/>
    <w:rsid w:val="00E94F55"/>
    <w:rsid w:val="00E95BB3"/>
    <w:rsid w:val="00EA0740"/>
    <w:rsid w:val="00EA4911"/>
    <w:rsid w:val="00EA4A90"/>
    <w:rsid w:val="00EA543D"/>
    <w:rsid w:val="00EA6ED2"/>
    <w:rsid w:val="00EA7950"/>
    <w:rsid w:val="00EB00F3"/>
    <w:rsid w:val="00EB0E89"/>
    <w:rsid w:val="00EB17E7"/>
    <w:rsid w:val="00EB3956"/>
    <w:rsid w:val="00EB550C"/>
    <w:rsid w:val="00EB5BA3"/>
    <w:rsid w:val="00EC1533"/>
    <w:rsid w:val="00EC22D5"/>
    <w:rsid w:val="00EC33CF"/>
    <w:rsid w:val="00ED0928"/>
    <w:rsid w:val="00ED2826"/>
    <w:rsid w:val="00ED5B58"/>
    <w:rsid w:val="00EE021E"/>
    <w:rsid w:val="00EE770A"/>
    <w:rsid w:val="00EF12AB"/>
    <w:rsid w:val="00EF2A27"/>
    <w:rsid w:val="00EF4404"/>
    <w:rsid w:val="00EF653D"/>
    <w:rsid w:val="00F005D6"/>
    <w:rsid w:val="00F15564"/>
    <w:rsid w:val="00F15C56"/>
    <w:rsid w:val="00F17841"/>
    <w:rsid w:val="00F20374"/>
    <w:rsid w:val="00F24B8B"/>
    <w:rsid w:val="00F255DB"/>
    <w:rsid w:val="00F273D8"/>
    <w:rsid w:val="00F31D92"/>
    <w:rsid w:val="00F3401A"/>
    <w:rsid w:val="00F34FAE"/>
    <w:rsid w:val="00F359D7"/>
    <w:rsid w:val="00F422FC"/>
    <w:rsid w:val="00F471CC"/>
    <w:rsid w:val="00F51D52"/>
    <w:rsid w:val="00F55E85"/>
    <w:rsid w:val="00F64092"/>
    <w:rsid w:val="00F67421"/>
    <w:rsid w:val="00F7180A"/>
    <w:rsid w:val="00F76A2C"/>
    <w:rsid w:val="00F81241"/>
    <w:rsid w:val="00F8267E"/>
    <w:rsid w:val="00F846D6"/>
    <w:rsid w:val="00F85619"/>
    <w:rsid w:val="00F92F2B"/>
    <w:rsid w:val="00F933A6"/>
    <w:rsid w:val="00F94902"/>
    <w:rsid w:val="00F9521C"/>
    <w:rsid w:val="00F953A6"/>
    <w:rsid w:val="00F96649"/>
    <w:rsid w:val="00F97464"/>
    <w:rsid w:val="00F97551"/>
    <w:rsid w:val="00FA15F7"/>
    <w:rsid w:val="00FA26A1"/>
    <w:rsid w:val="00FA34CE"/>
    <w:rsid w:val="00FA37D8"/>
    <w:rsid w:val="00FA64CC"/>
    <w:rsid w:val="00FA72D2"/>
    <w:rsid w:val="00FB06E0"/>
    <w:rsid w:val="00FC0FE3"/>
    <w:rsid w:val="00FC53C9"/>
    <w:rsid w:val="00FC6A98"/>
    <w:rsid w:val="00FC77D2"/>
    <w:rsid w:val="00FC78FA"/>
    <w:rsid w:val="00FD0227"/>
    <w:rsid w:val="00FD2975"/>
    <w:rsid w:val="00FD33EB"/>
    <w:rsid w:val="00FD67AF"/>
    <w:rsid w:val="00FE1D92"/>
    <w:rsid w:val="00FE2F0C"/>
    <w:rsid w:val="00FF0A61"/>
    <w:rsid w:val="00FF23F1"/>
    <w:rsid w:val="00FF357A"/>
    <w:rsid w:val="00FF4F8C"/>
    <w:rsid w:val="00FF563A"/>
    <w:rsid w:val="00FF57C5"/>
    <w:rsid w:val="0108170E"/>
    <w:rsid w:val="010827C0"/>
    <w:rsid w:val="01103A5B"/>
    <w:rsid w:val="0111275D"/>
    <w:rsid w:val="012210CA"/>
    <w:rsid w:val="01230B37"/>
    <w:rsid w:val="0126635C"/>
    <w:rsid w:val="012A37A3"/>
    <w:rsid w:val="01362359"/>
    <w:rsid w:val="013736AC"/>
    <w:rsid w:val="01396BA7"/>
    <w:rsid w:val="01397B41"/>
    <w:rsid w:val="013E7148"/>
    <w:rsid w:val="013F0E27"/>
    <w:rsid w:val="01445C1E"/>
    <w:rsid w:val="014470CC"/>
    <w:rsid w:val="01467F5A"/>
    <w:rsid w:val="01483505"/>
    <w:rsid w:val="014B23AD"/>
    <w:rsid w:val="015813F2"/>
    <w:rsid w:val="015D0C64"/>
    <w:rsid w:val="016A626E"/>
    <w:rsid w:val="01703947"/>
    <w:rsid w:val="0172779C"/>
    <w:rsid w:val="017B3BC9"/>
    <w:rsid w:val="017C2A88"/>
    <w:rsid w:val="017E6843"/>
    <w:rsid w:val="01814321"/>
    <w:rsid w:val="01830FA3"/>
    <w:rsid w:val="019B17C3"/>
    <w:rsid w:val="01A01989"/>
    <w:rsid w:val="01A5333A"/>
    <w:rsid w:val="01A860C4"/>
    <w:rsid w:val="01BB4D07"/>
    <w:rsid w:val="01CB2414"/>
    <w:rsid w:val="01CD6570"/>
    <w:rsid w:val="01CD7286"/>
    <w:rsid w:val="01DC5081"/>
    <w:rsid w:val="01E47CC8"/>
    <w:rsid w:val="01EB5ADD"/>
    <w:rsid w:val="01EE0E6C"/>
    <w:rsid w:val="01F21089"/>
    <w:rsid w:val="01F26F49"/>
    <w:rsid w:val="01FA7BD2"/>
    <w:rsid w:val="02005A5D"/>
    <w:rsid w:val="020442D9"/>
    <w:rsid w:val="02047A29"/>
    <w:rsid w:val="020F0404"/>
    <w:rsid w:val="020F2CF5"/>
    <w:rsid w:val="02153974"/>
    <w:rsid w:val="022F4330"/>
    <w:rsid w:val="023E79C5"/>
    <w:rsid w:val="024140D9"/>
    <w:rsid w:val="025169C1"/>
    <w:rsid w:val="02527927"/>
    <w:rsid w:val="02697B42"/>
    <w:rsid w:val="026A1FF9"/>
    <w:rsid w:val="026B06C9"/>
    <w:rsid w:val="02712B54"/>
    <w:rsid w:val="027D1395"/>
    <w:rsid w:val="028D7E28"/>
    <w:rsid w:val="029B6C52"/>
    <w:rsid w:val="02A4547A"/>
    <w:rsid w:val="02AB1533"/>
    <w:rsid w:val="02AC3D8E"/>
    <w:rsid w:val="02B03130"/>
    <w:rsid w:val="02B04B66"/>
    <w:rsid w:val="02BD503B"/>
    <w:rsid w:val="02C70274"/>
    <w:rsid w:val="02C7599A"/>
    <w:rsid w:val="02C92906"/>
    <w:rsid w:val="02D134B6"/>
    <w:rsid w:val="02DA4630"/>
    <w:rsid w:val="02DE7436"/>
    <w:rsid w:val="02E274B9"/>
    <w:rsid w:val="02E36007"/>
    <w:rsid w:val="02E73425"/>
    <w:rsid w:val="02FC2AC5"/>
    <w:rsid w:val="03057A10"/>
    <w:rsid w:val="031A537E"/>
    <w:rsid w:val="03201C09"/>
    <w:rsid w:val="032827A7"/>
    <w:rsid w:val="032C2593"/>
    <w:rsid w:val="033D3840"/>
    <w:rsid w:val="03464657"/>
    <w:rsid w:val="03466AF6"/>
    <w:rsid w:val="03477BC1"/>
    <w:rsid w:val="034E5456"/>
    <w:rsid w:val="034F3A3B"/>
    <w:rsid w:val="034F7436"/>
    <w:rsid w:val="035277A1"/>
    <w:rsid w:val="03566806"/>
    <w:rsid w:val="0357613E"/>
    <w:rsid w:val="0358629E"/>
    <w:rsid w:val="036968C2"/>
    <w:rsid w:val="036A59B4"/>
    <w:rsid w:val="036B298B"/>
    <w:rsid w:val="036B5049"/>
    <w:rsid w:val="036F64E0"/>
    <w:rsid w:val="03711579"/>
    <w:rsid w:val="0378697A"/>
    <w:rsid w:val="037D34AE"/>
    <w:rsid w:val="037F2994"/>
    <w:rsid w:val="0380095B"/>
    <w:rsid w:val="038B5842"/>
    <w:rsid w:val="038E134F"/>
    <w:rsid w:val="03904403"/>
    <w:rsid w:val="03950D7E"/>
    <w:rsid w:val="03983D64"/>
    <w:rsid w:val="039B5D78"/>
    <w:rsid w:val="039F29BE"/>
    <w:rsid w:val="03A02C6D"/>
    <w:rsid w:val="03AB3745"/>
    <w:rsid w:val="03C31C7A"/>
    <w:rsid w:val="03C362F4"/>
    <w:rsid w:val="03C85529"/>
    <w:rsid w:val="03CB64FD"/>
    <w:rsid w:val="03D00591"/>
    <w:rsid w:val="03D673C2"/>
    <w:rsid w:val="03D67C37"/>
    <w:rsid w:val="03DC5498"/>
    <w:rsid w:val="03E4708D"/>
    <w:rsid w:val="03E63B4B"/>
    <w:rsid w:val="03E8525E"/>
    <w:rsid w:val="03F17812"/>
    <w:rsid w:val="03F854F5"/>
    <w:rsid w:val="03FA04C6"/>
    <w:rsid w:val="03FD0E56"/>
    <w:rsid w:val="04007100"/>
    <w:rsid w:val="04055427"/>
    <w:rsid w:val="040A361F"/>
    <w:rsid w:val="040D12B7"/>
    <w:rsid w:val="040D7CE3"/>
    <w:rsid w:val="040F0D9C"/>
    <w:rsid w:val="040F4AC0"/>
    <w:rsid w:val="040F7327"/>
    <w:rsid w:val="04114853"/>
    <w:rsid w:val="04126FE9"/>
    <w:rsid w:val="041565C8"/>
    <w:rsid w:val="04226DAB"/>
    <w:rsid w:val="0424423D"/>
    <w:rsid w:val="042D6F8C"/>
    <w:rsid w:val="042E69E2"/>
    <w:rsid w:val="042E73E1"/>
    <w:rsid w:val="043234F7"/>
    <w:rsid w:val="044167A1"/>
    <w:rsid w:val="044A55D6"/>
    <w:rsid w:val="04565CA8"/>
    <w:rsid w:val="045C7ED2"/>
    <w:rsid w:val="045D3AD7"/>
    <w:rsid w:val="04627BA5"/>
    <w:rsid w:val="04693575"/>
    <w:rsid w:val="046A3BF8"/>
    <w:rsid w:val="047D0CF5"/>
    <w:rsid w:val="047E5365"/>
    <w:rsid w:val="048063D8"/>
    <w:rsid w:val="04862C9E"/>
    <w:rsid w:val="04863C2E"/>
    <w:rsid w:val="048B11D5"/>
    <w:rsid w:val="04906854"/>
    <w:rsid w:val="04926B0E"/>
    <w:rsid w:val="04A4570E"/>
    <w:rsid w:val="04A87EC7"/>
    <w:rsid w:val="04B03BDF"/>
    <w:rsid w:val="04BC6054"/>
    <w:rsid w:val="04BD5730"/>
    <w:rsid w:val="04BE0707"/>
    <w:rsid w:val="04C05732"/>
    <w:rsid w:val="04C2595E"/>
    <w:rsid w:val="04C45DA0"/>
    <w:rsid w:val="04C93D70"/>
    <w:rsid w:val="04CA171B"/>
    <w:rsid w:val="04CB2978"/>
    <w:rsid w:val="04D334E0"/>
    <w:rsid w:val="04DB1A0B"/>
    <w:rsid w:val="04F03E18"/>
    <w:rsid w:val="04F4373D"/>
    <w:rsid w:val="04F574FF"/>
    <w:rsid w:val="04F9366C"/>
    <w:rsid w:val="04FD4A65"/>
    <w:rsid w:val="050110AA"/>
    <w:rsid w:val="050C1189"/>
    <w:rsid w:val="050F592B"/>
    <w:rsid w:val="051209F5"/>
    <w:rsid w:val="0524732A"/>
    <w:rsid w:val="05260D38"/>
    <w:rsid w:val="052A41BD"/>
    <w:rsid w:val="052E2908"/>
    <w:rsid w:val="05312B96"/>
    <w:rsid w:val="0532176E"/>
    <w:rsid w:val="05370552"/>
    <w:rsid w:val="05370621"/>
    <w:rsid w:val="0539326C"/>
    <w:rsid w:val="0541679B"/>
    <w:rsid w:val="05516791"/>
    <w:rsid w:val="055520CF"/>
    <w:rsid w:val="05557328"/>
    <w:rsid w:val="05562099"/>
    <w:rsid w:val="055836D3"/>
    <w:rsid w:val="055855E6"/>
    <w:rsid w:val="056427DE"/>
    <w:rsid w:val="056529FD"/>
    <w:rsid w:val="05691E86"/>
    <w:rsid w:val="05761D25"/>
    <w:rsid w:val="05771088"/>
    <w:rsid w:val="05785FF7"/>
    <w:rsid w:val="05861116"/>
    <w:rsid w:val="05867546"/>
    <w:rsid w:val="058B3417"/>
    <w:rsid w:val="05932A23"/>
    <w:rsid w:val="05963824"/>
    <w:rsid w:val="05986D82"/>
    <w:rsid w:val="059E1181"/>
    <w:rsid w:val="05A02257"/>
    <w:rsid w:val="05AB0436"/>
    <w:rsid w:val="05B07431"/>
    <w:rsid w:val="05B15D93"/>
    <w:rsid w:val="05B3358F"/>
    <w:rsid w:val="05B53CBE"/>
    <w:rsid w:val="05B841BA"/>
    <w:rsid w:val="05BB0FC3"/>
    <w:rsid w:val="05BD6AD1"/>
    <w:rsid w:val="05BD7800"/>
    <w:rsid w:val="05C13D98"/>
    <w:rsid w:val="05CB768B"/>
    <w:rsid w:val="05D01949"/>
    <w:rsid w:val="05D1769D"/>
    <w:rsid w:val="05D22B22"/>
    <w:rsid w:val="05D416C6"/>
    <w:rsid w:val="05D75F76"/>
    <w:rsid w:val="05E04B6B"/>
    <w:rsid w:val="05E35B2B"/>
    <w:rsid w:val="05E714D1"/>
    <w:rsid w:val="05ED4701"/>
    <w:rsid w:val="05F42024"/>
    <w:rsid w:val="05FA668A"/>
    <w:rsid w:val="05FC67BE"/>
    <w:rsid w:val="060113D8"/>
    <w:rsid w:val="06036C37"/>
    <w:rsid w:val="060976FA"/>
    <w:rsid w:val="060A595E"/>
    <w:rsid w:val="060B19F2"/>
    <w:rsid w:val="060F06B5"/>
    <w:rsid w:val="060F65AB"/>
    <w:rsid w:val="061E1157"/>
    <w:rsid w:val="06294B13"/>
    <w:rsid w:val="062C1A4C"/>
    <w:rsid w:val="063122A7"/>
    <w:rsid w:val="0631737F"/>
    <w:rsid w:val="06362213"/>
    <w:rsid w:val="0644257C"/>
    <w:rsid w:val="06532730"/>
    <w:rsid w:val="06575178"/>
    <w:rsid w:val="06580F61"/>
    <w:rsid w:val="065A0E17"/>
    <w:rsid w:val="065E6EFD"/>
    <w:rsid w:val="0668611F"/>
    <w:rsid w:val="06704C8C"/>
    <w:rsid w:val="06767276"/>
    <w:rsid w:val="0676772A"/>
    <w:rsid w:val="068A1238"/>
    <w:rsid w:val="069E3064"/>
    <w:rsid w:val="06A3686C"/>
    <w:rsid w:val="06A97AC4"/>
    <w:rsid w:val="06B869C0"/>
    <w:rsid w:val="06DD50B4"/>
    <w:rsid w:val="06DE6BB5"/>
    <w:rsid w:val="06E81C17"/>
    <w:rsid w:val="06EE4CC8"/>
    <w:rsid w:val="06F30A5D"/>
    <w:rsid w:val="06F37A65"/>
    <w:rsid w:val="06F5135D"/>
    <w:rsid w:val="06F90AC8"/>
    <w:rsid w:val="06FE3B1F"/>
    <w:rsid w:val="06FE4B67"/>
    <w:rsid w:val="06FF0A1B"/>
    <w:rsid w:val="06FF1C8F"/>
    <w:rsid w:val="07086885"/>
    <w:rsid w:val="070A6BEC"/>
    <w:rsid w:val="071E27AA"/>
    <w:rsid w:val="071E5ABA"/>
    <w:rsid w:val="071F67ED"/>
    <w:rsid w:val="072E5679"/>
    <w:rsid w:val="073714E8"/>
    <w:rsid w:val="0737691D"/>
    <w:rsid w:val="07387CD9"/>
    <w:rsid w:val="073A1531"/>
    <w:rsid w:val="073C1495"/>
    <w:rsid w:val="07493FA3"/>
    <w:rsid w:val="074A4A31"/>
    <w:rsid w:val="074C1DBE"/>
    <w:rsid w:val="074D6078"/>
    <w:rsid w:val="074E1870"/>
    <w:rsid w:val="074F607F"/>
    <w:rsid w:val="075157A8"/>
    <w:rsid w:val="07577CEB"/>
    <w:rsid w:val="076721F3"/>
    <w:rsid w:val="076928D1"/>
    <w:rsid w:val="076E145F"/>
    <w:rsid w:val="07711EC6"/>
    <w:rsid w:val="07751542"/>
    <w:rsid w:val="077A709F"/>
    <w:rsid w:val="077B27F6"/>
    <w:rsid w:val="07943EF6"/>
    <w:rsid w:val="079629E7"/>
    <w:rsid w:val="07A04B6B"/>
    <w:rsid w:val="07A2497D"/>
    <w:rsid w:val="07A82264"/>
    <w:rsid w:val="07BD4817"/>
    <w:rsid w:val="07BE1C99"/>
    <w:rsid w:val="07C136C9"/>
    <w:rsid w:val="07C372F2"/>
    <w:rsid w:val="07C602A8"/>
    <w:rsid w:val="07CA4F07"/>
    <w:rsid w:val="07CD2898"/>
    <w:rsid w:val="07D36405"/>
    <w:rsid w:val="07DA65BC"/>
    <w:rsid w:val="07EF77B5"/>
    <w:rsid w:val="07F05DD3"/>
    <w:rsid w:val="07FE2164"/>
    <w:rsid w:val="080249D4"/>
    <w:rsid w:val="0808704D"/>
    <w:rsid w:val="08124394"/>
    <w:rsid w:val="08141694"/>
    <w:rsid w:val="08193F70"/>
    <w:rsid w:val="081B3F59"/>
    <w:rsid w:val="081D3F06"/>
    <w:rsid w:val="08200B33"/>
    <w:rsid w:val="08265CCE"/>
    <w:rsid w:val="082B6D16"/>
    <w:rsid w:val="08350337"/>
    <w:rsid w:val="08370399"/>
    <w:rsid w:val="08397B3D"/>
    <w:rsid w:val="083A7F93"/>
    <w:rsid w:val="083D46EE"/>
    <w:rsid w:val="08441E7B"/>
    <w:rsid w:val="08465F61"/>
    <w:rsid w:val="08466756"/>
    <w:rsid w:val="084A6746"/>
    <w:rsid w:val="085F2688"/>
    <w:rsid w:val="08674FE2"/>
    <w:rsid w:val="086D6F11"/>
    <w:rsid w:val="086D794D"/>
    <w:rsid w:val="0876633B"/>
    <w:rsid w:val="08791D1A"/>
    <w:rsid w:val="087A34EB"/>
    <w:rsid w:val="087E1DF8"/>
    <w:rsid w:val="08820F4D"/>
    <w:rsid w:val="08853445"/>
    <w:rsid w:val="088B2649"/>
    <w:rsid w:val="088C25EA"/>
    <w:rsid w:val="08921AA3"/>
    <w:rsid w:val="08933C78"/>
    <w:rsid w:val="089B0311"/>
    <w:rsid w:val="08A07392"/>
    <w:rsid w:val="08A35DFE"/>
    <w:rsid w:val="08B172D7"/>
    <w:rsid w:val="08B32105"/>
    <w:rsid w:val="08B35874"/>
    <w:rsid w:val="08B36C12"/>
    <w:rsid w:val="08B974ED"/>
    <w:rsid w:val="08BC4B52"/>
    <w:rsid w:val="08BF1F75"/>
    <w:rsid w:val="08C111AF"/>
    <w:rsid w:val="08E56F29"/>
    <w:rsid w:val="08E94133"/>
    <w:rsid w:val="08EF2393"/>
    <w:rsid w:val="08EF430D"/>
    <w:rsid w:val="08F0642A"/>
    <w:rsid w:val="08F21EF7"/>
    <w:rsid w:val="08F82FC0"/>
    <w:rsid w:val="090777F4"/>
    <w:rsid w:val="09093D97"/>
    <w:rsid w:val="09094649"/>
    <w:rsid w:val="09183BEB"/>
    <w:rsid w:val="092344DF"/>
    <w:rsid w:val="0926563E"/>
    <w:rsid w:val="09277CF9"/>
    <w:rsid w:val="092C24A1"/>
    <w:rsid w:val="093216AE"/>
    <w:rsid w:val="09341E46"/>
    <w:rsid w:val="094473B6"/>
    <w:rsid w:val="095006D7"/>
    <w:rsid w:val="09527DFA"/>
    <w:rsid w:val="095A753B"/>
    <w:rsid w:val="095C30C0"/>
    <w:rsid w:val="09602090"/>
    <w:rsid w:val="096A0C9C"/>
    <w:rsid w:val="097A678F"/>
    <w:rsid w:val="097E7065"/>
    <w:rsid w:val="098279DD"/>
    <w:rsid w:val="09875D98"/>
    <w:rsid w:val="098C0F1B"/>
    <w:rsid w:val="09956E05"/>
    <w:rsid w:val="09991A67"/>
    <w:rsid w:val="099B56BA"/>
    <w:rsid w:val="099C263F"/>
    <w:rsid w:val="099E00AB"/>
    <w:rsid w:val="09A57ED3"/>
    <w:rsid w:val="09A92925"/>
    <w:rsid w:val="09AF3C02"/>
    <w:rsid w:val="09C326B0"/>
    <w:rsid w:val="09D04E3B"/>
    <w:rsid w:val="09D47F5F"/>
    <w:rsid w:val="09D90C95"/>
    <w:rsid w:val="09DF2A35"/>
    <w:rsid w:val="09E41863"/>
    <w:rsid w:val="09F06CB1"/>
    <w:rsid w:val="09F415BE"/>
    <w:rsid w:val="09F970B3"/>
    <w:rsid w:val="09FA00FC"/>
    <w:rsid w:val="0A045A27"/>
    <w:rsid w:val="0A086F74"/>
    <w:rsid w:val="0A0E1366"/>
    <w:rsid w:val="0A0F524B"/>
    <w:rsid w:val="0A1128AD"/>
    <w:rsid w:val="0A151CF0"/>
    <w:rsid w:val="0A1C4516"/>
    <w:rsid w:val="0A1C5FC1"/>
    <w:rsid w:val="0A3473A8"/>
    <w:rsid w:val="0A3A67CB"/>
    <w:rsid w:val="0A3B4DDD"/>
    <w:rsid w:val="0A3C0203"/>
    <w:rsid w:val="0A3C58D3"/>
    <w:rsid w:val="0A410AF1"/>
    <w:rsid w:val="0A4528BD"/>
    <w:rsid w:val="0A497F0B"/>
    <w:rsid w:val="0A4F1956"/>
    <w:rsid w:val="0A507BEB"/>
    <w:rsid w:val="0A64142C"/>
    <w:rsid w:val="0A676FE5"/>
    <w:rsid w:val="0A6842D0"/>
    <w:rsid w:val="0A6A5E52"/>
    <w:rsid w:val="0A6A5F24"/>
    <w:rsid w:val="0A71028C"/>
    <w:rsid w:val="0A7E23BB"/>
    <w:rsid w:val="0A7F510D"/>
    <w:rsid w:val="0A8304D3"/>
    <w:rsid w:val="0A8B29D6"/>
    <w:rsid w:val="0A8B4CD7"/>
    <w:rsid w:val="0A9579BF"/>
    <w:rsid w:val="0A997226"/>
    <w:rsid w:val="0A9E48D7"/>
    <w:rsid w:val="0AA84413"/>
    <w:rsid w:val="0AAA125D"/>
    <w:rsid w:val="0AB02243"/>
    <w:rsid w:val="0AB403C8"/>
    <w:rsid w:val="0ABC73C8"/>
    <w:rsid w:val="0ABE465E"/>
    <w:rsid w:val="0AC01D58"/>
    <w:rsid w:val="0AC21BE1"/>
    <w:rsid w:val="0ACA3CA3"/>
    <w:rsid w:val="0ACA62F3"/>
    <w:rsid w:val="0ACF4D47"/>
    <w:rsid w:val="0AD032A0"/>
    <w:rsid w:val="0AD17B2A"/>
    <w:rsid w:val="0ADF613D"/>
    <w:rsid w:val="0AE20B86"/>
    <w:rsid w:val="0AEC2270"/>
    <w:rsid w:val="0AEC6837"/>
    <w:rsid w:val="0AF7411F"/>
    <w:rsid w:val="0AFE202B"/>
    <w:rsid w:val="0B0433C6"/>
    <w:rsid w:val="0B0B60DE"/>
    <w:rsid w:val="0B0E0644"/>
    <w:rsid w:val="0B0E2C79"/>
    <w:rsid w:val="0B0E66A1"/>
    <w:rsid w:val="0B0F0E3A"/>
    <w:rsid w:val="0B15622C"/>
    <w:rsid w:val="0B157A84"/>
    <w:rsid w:val="0B166990"/>
    <w:rsid w:val="0B167F31"/>
    <w:rsid w:val="0B214E4F"/>
    <w:rsid w:val="0B23216C"/>
    <w:rsid w:val="0B245847"/>
    <w:rsid w:val="0B291B48"/>
    <w:rsid w:val="0B304B23"/>
    <w:rsid w:val="0B383AE5"/>
    <w:rsid w:val="0B3B51B3"/>
    <w:rsid w:val="0B433D99"/>
    <w:rsid w:val="0B4B0455"/>
    <w:rsid w:val="0B4F4343"/>
    <w:rsid w:val="0B546B44"/>
    <w:rsid w:val="0B577841"/>
    <w:rsid w:val="0B626447"/>
    <w:rsid w:val="0B6344A5"/>
    <w:rsid w:val="0B6847B7"/>
    <w:rsid w:val="0B6C2CDB"/>
    <w:rsid w:val="0B706985"/>
    <w:rsid w:val="0B775F57"/>
    <w:rsid w:val="0B7C7985"/>
    <w:rsid w:val="0B856F45"/>
    <w:rsid w:val="0B9277F7"/>
    <w:rsid w:val="0B934F69"/>
    <w:rsid w:val="0B9A6086"/>
    <w:rsid w:val="0B9F0A38"/>
    <w:rsid w:val="0B9F4265"/>
    <w:rsid w:val="0BB02108"/>
    <w:rsid w:val="0BB12AC9"/>
    <w:rsid w:val="0BBB2F49"/>
    <w:rsid w:val="0BC63CE4"/>
    <w:rsid w:val="0BCB2534"/>
    <w:rsid w:val="0BD7224C"/>
    <w:rsid w:val="0BD9593F"/>
    <w:rsid w:val="0BE650FF"/>
    <w:rsid w:val="0BE7183C"/>
    <w:rsid w:val="0BE76CC4"/>
    <w:rsid w:val="0BE91A83"/>
    <w:rsid w:val="0BEA0C8F"/>
    <w:rsid w:val="0BEF5985"/>
    <w:rsid w:val="0BF967F6"/>
    <w:rsid w:val="0BFE745C"/>
    <w:rsid w:val="0C031946"/>
    <w:rsid w:val="0C036666"/>
    <w:rsid w:val="0C062DBC"/>
    <w:rsid w:val="0C080E32"/>
    <w:rsid w:val="0C0C38D3"/>
    <w:rsid w:val="0C0C3E4E"/>
    <w:rsid w:val="0C0E7BE9"/>
    <w:rsid w:val="0C0F54A2"/>
    <w:rsid w:val="0C100982"/>
    <w:rsid w:val="0C1B032F"/>
    <w:rsid w:val="0C276CC2"/>
    <w:rsid w:val="0C2A1E2C"/>
    <w:rsid w:val="0C2B15A3"/>
    <w:rsid w:val="0C2E469F"/>
    <w:rsid w:val="0C2F7A91"/>
    <w:rsid w:val="0C337BBC"/>
    <w:rsid w:val="0C34161B"/>
    <w:rsid w:val="0C3B63C5"/>
    <w:rsid w:val="0C3E79DE"/>
    <w:rsid w:val="0C421378"/>
    <w:rsid w:val="0C447554"/>
    <w:rsid w:val="0C4B7F78"/>
    <w:rsid w:val="0C4C61B2"/>
    <w:rsid w:val="0C4E04B6"/>
    <w:rsid w:val="0C540512"/>
    <w:rsid w:val="0C5D1510"/>
    <w:rsid w:val="0C7010E0"/>
    <w:rsid w:val="0C703F61"/>
    <w:rsid w:val="0C754529"/>
    <w:rsid w:val="0C773EC9"/>
    <w:rsid w:val="0C7A2781"/>
    <w:rsid w:val="0C7D0C53"/>
    <w:rsid w:val="0C8214E4"/>
    <w:rsid w:val="0C8D4935"/>
    <w:rsid w:val="0C9D370D"/>
    <w:rsid w:val="0CAB41EC"/>
    <w:rsid w:val="0CB16402"/>
    <w:rsid w:val="0CB564BC"/>
    <w:rsid w:val="0CB631AD"/>
    <w:rsid w:val="0CB7697B"/>
    <w:rsid w:val="0CB92C64"/>
    <w:rsid w:val="0CBB43C7"/>
    <w:rsid w:val="0CBE6927"/>
    <w:rsid w:val="0CBF3D20"/>
    <w:rsid w:val="0CBF5FB1"/>
    <w:rsid w:val="0CC004A1"/>
    <w:rsid w:val="0CCF4ADA"/>
    <w:rsid w:val="0CDF151F"/>
    <w:rsid w:val="0CE81BDE"/>
    <w:rsid w:val="0CEE795A"/>
    <w:rsid w:val="0CEF52E2"/>
    <w:rsid w:val="0CF22996"/>
    <w:rsid w:val="0CF4295D"/>
    <w:rsid w:val="0CF47EB9"/>
    <w:rsid w:val="0CF52820"/>
    <w:rsid w:val="0CF80C0E"/>
    <w:rsid w:val="0CFD158A"/>
    <w:rsid w:val="0D092A22"/>
    <w:rsid w:val="0D112243"/>
    <w:rsid w:val="0D173436"/>
    <w:rsid w:val="0D1C3DA9"/>
    <w:rsid w:val="0D2E10C9"/>
    <w:rsid w:val="0D370CA8"/>
    <w:rsid w:val="0D436100"/>
    <w:rsid w:val="0D46391E"/>
    <w:rsid w:val="0D4B3EC4"/>
    <w:rsid w:val="0D6012A0"/>
    <w:rsid w:val="0D606AAB"/>
    <w:rsid w:val="0D611A78"/>
    <w:rsid w:val="0D721E09"/>
    <w:rsid w:val="0D7B56EB"/>
    <w:rsid w:val="0D7D4F81"/>
    <w:rsid w:val="0D7D6C66"/>
    <w:rsid w:val="0D8251E8"/>
    <w:rsid w:val="0D8B5FFE"/>
    <w:rsid w:val="0D931668"/>
    <w:rsid w:val="0D9608EB"/>
    <w:rsid w:val="0D971226"/>
    <w:rsid w:val="0D976DB6"/>
    <w:rsid w:val="0D995DDE"/>
    <w:rsid w:val="0D9D414E"/>
    <w:rsid w:val="0DA33715"/>
    <w:rsid w:val="0DA65742"/>
    <w:rsid w:val="0DA801FB"/>
    <w:rsid w:val="0DAE2F24"/>
    <w:rsid w:val="0DB53CD0"/>
    <w:rsid w:val="0DB7296A"/>
    <w:rsid w:val="0DB92C44"/>
    <w:rsid w:val="0DBB34E7"/>
    <w:rsid w:val="0DBB568E"/>
    <w:rsid w:val="0DD27657"/>
    <w:rsid w:val="0DDC542A"/>
    <w:rsid w:val="0DEB0F0B"/>
    <w:rsid w:val="0DF07B09"/>
    <w:rsid w:val="0DF66E7D"/>
    <w:rsid w:val="0E017AD5"/>
    <w:rsid w:val="0E020070"/>
    <w:rsid w:val="0E0204A0"/>
    <w:rsid w:val="0E0667E3"/>
    <w:rsid w:val="0E1704E7"/>
    <w:rsid w:val="0E1B6D2C"/>
    <w:rsid w:val="0E1F1C39"/>
    <w:rsid w:val="0E251447"/>
    <w:rsid w:val="0E29584C"/>
    <w:rsid w:val="0E2A4A23"/>
    <w:rsid w:val="0E312D44"/>
    <w:rsid w:val="0E37210F"/>
    <w:rsid w:val="0E374F2C"/>
    <w:rsid w:val="0E4F1C12"/>
    <w:rsid w:val="0E5C7877"/>
    <w:rsid w:val="0E5D5323"/>
    <w:rsid w:val="0E5F558E"/>
    <w:rsid w:val="0E616935"/>
    <w:rsid w:val="0E661FD7"/>
    <w:rsid w:val="0E674D17"/>
    <w:rsid w:val="0E6B438E"/>
    <w:rsid w:val="0E700642"/>
    <w:rsid w:val="0E727424"/>
    <w:rsid w:val="0E752F1D"/>
    <w:rsid w:val="0E801247"/>
    <w:rsid w:val="0E88422E"/>
    <w:rsid w:val="0E8867B8"/>
    <w:rsid w:val="0E8941D9"/>
    <w:rsid w:val="0E976DBB"/>
    <w:rsid w:val="0E9C759E"/>
    <w:rsid w:val="0EA942BC"/>
    <w:rsid w:val="0EBC3E53"/>
    <w:rsid w:val="0EBC53F5"/>
    <w:rsid w:val="0EC476B9"/>
    <w:rsid w:val="0EC518A4"/>
    <w:rsid w:val="0EC75C8C"/>
    <w:rsid w:val="0EC91357"/>
    <w:rsid w:val="0ECD1E1B"/>
    <w:rsid w:val="0ECF0487"/>
    <w:rsid w:val="0ECF511B"/>
    <w:rsid w:val="0ED971AC"/>
    <w:rsid w:val="0EDA4B60"/>
    <w:rsid w:val="0EE16913"/>
    <w:rsid w:val="0EE202AA"/>
    <w:rsid w:val="0EE20B43"/>
    <w:rsid w:val="0EFA0501"/>
    <w:rsid w:val="0EFC50A0"/>
    <w:rsid w:val="0F081FCD"/>
    <w:rsid w:val="0F0C03EB"/>
    <w:rsid w:val="0F1371E8"/>
    <w:rsid w:val="0F1550FE"/>
    <w:rsid w:val="0F1D4A0A"/>
    <w:rsid w:val="0F2537C5"/>
    <w:rsid w:val="0F2A4DB3"/>
    <w:rsid w:val="0F337EAA"/>
    <w:rsid w:val="0F34212E"/>
    <w:rsid w:val="0F4061C2"/>
    <w:rsid w:val="0F415999"/>
    <w:rsid w:val="0F434A3C"/>
    <w:rsid w:val="0F4A50E8"/>
    <w:rsid w:val="0F4E2043"/>
    <w:rsid w:val="0F555A10"/>
    <w:rsid w:val="0F5E1B23"/>
    <w:rsid w:val="0F6B6F9A"/>
    <w:rsid w:val="0F704352"/>
    <w:rsid w:val="0F711E78"/>
    <w:rsid w:val="0F764D8B"/>
    <w:rsid w:val="0F783E1B"/>
    <w:rsid w:val="0F80656E"/>
    <w:rsid w:val="0F853375"/>
    <w:rsid w:val="0F89573E"/>
    <w:rsid w:val="0F8A643B"/>
    <w:rsid w:val="0F8A7DB3"/>
    <w:rsid w:val="0F8C09D6"/>
    <w:rsid w:val="0F920367"/>
    <w:rsid w:val="0FB47367"/>
    <w:rsid w:val="0FBC274D"/>
    <w:rsid w:val="0FC61F72"/>
    <w:rsid w:val="0FC65173"/>
    <w:rsid w:val="0FCE4CC1"/>
    <w:rsid w:val="0FD0302B"/>
    <w:rsid w:val="0FD72721"/>
    <w:rsid w:val="0FDC072D"/>
    <w:rsid w:val="0FDF42DA"/>
    <w:rsid w:val="0FF5107A"/>
    <w:rsid w:val="0FFC0012"/>
    <w:rsid w:val="0FFC0F8A"/>
    <w:rsid w:val="0FFC7FBF"/>
    <w:rsid w:val="0FFD6817"/>
    <w:rsid w:val="10026268"/>
    <w:rsid w:val="10095670"/>
    <w:rsid w:val="100C63D7"/>
    <w:rsid w:val="100D36B2"/>
    <w:rsid w:val="10103853"/>
    <w:rsid w:val="10114213"/>
    <w:rsid w:val="10192947"/>
    <w:rsid w:val="101E045E"/>
    <w:rsid w:val="10350342"/>
    <w:rsid w:val="1039746C"/>
    <w:rsid w:val="103B764E"/>
    <w:rsid w:val="103C1314"/>
    <w:rsid w:val="103D279C"/>
    <w:rsid w:val="103F361E"/>
    <w:rsid w:val="103F3E61"/>
    <w:rsid w:val="10475CE0"/>
    <w:rsid w:val="10483235"/>
    <w:rsid w:val="104906D9"/>
    <w:rsid w:val="104D3113"/>
    <w:rsid w:val="10532B99"/>
    <w:rsid w:val="10597D88"/>
    <w:rsid w:val="105C240C"/>
    <w:rsid w:val="106910E6"/>
    <w:rsid w:val="10751AA1"/>
    <w:rsid w:val="107C140E"/>
    <w:rsid w:val="108E5176"/>
    <w:rsid w:val="10921622"/>
    <w:rsid w:val="10A073A4"/>
    <w:rsid w:val="10AC3BFB"/>
    <w:rsid w:val="10AE6A89"/>
    <w:rsid w:val="10BF1FD0"/>
    <w:rsid w:val="10C16515"/>
    <w:rsid w:val="10CC32CF"/>
    <w:rsid w:val="10CD6DC8"/>
    <w:rsid w:val="10D61DF9"/>
    <w:rsid w:val="10DB09FB"/>
    <w:rsid w:val="10DC3C9D"/>
    <w:rsid w:val="10DE412E"/>
    <w:rsid w:val="10E02678"/>
    <w:rsid w:val="10E11E2D"/>
    <w:rsid w:val="10F51814"/>
    <w:rsid w:val="10F81D22"/>
    <w:rsid w:val="10F91F07"/>
    <w:rsid w:val="111E30E2"/>
    <w:rsid w:val="111F1D26"/>
    <w:rsid w:val="11256A89"/>
    <w:rsid w:val="11273DEE"/>
    <w:rsid w:val="112A0531"/>
    <w:rsid w:val="112A74A9"/>
    <w:rsid w:val="112F64EA"/>
    <w:rsid w:val="11315648"/>
    <w:rsid w:val="11342FA5"/>
    <w:rsid w:val="113C146F"/>
    <w:rsid w:val="11636127"/>
    <w:rsid w:val="11646DA7"/>
    <w:rsid w:val="11680197"/>
    <w:rsid w:val="116E3B25"/>
    <w:rsid w:val="11751E73"/>
    <w:rsid w:val="117814B1"/>
    <w:rsid w:val="118A7649"/>
    <w:rsid w:val="118A7B66"/>
    <w:rsid w:val="118B1008"/>
    <w:rsid w:val="1191610E"/>
    <w:rsid w:val="11A70205"/>
    <w:rsid w:val="11A92DAF"/>
    <w:rsid w:val="11AA4BD6"/>
    <w:rsid w:val="11AF7FBF"/>
    <w:rsid w:val="11B24053"/>
    <w:rsid w:val="11B53078"/>
    <w:rsid w:val="11B86D81"/>
    <w:rsid w:val="11BE6858"/>
    <w:rsid w:val="11C15309"/>
    <w:rsid w:val="11C67FB5"/>
    <w:rsid w:val="11CD792B"/>
    <w:rsid w:val="11CE166A"/>
    <w:rsid w:val="11D37BC3"/>
    <w:rsid w:val="11E25C77"/>
    <w:rsid w:val="11E77549"/>
    <w:rsid w:val="11E77D52"/>
    <w:rsid w:val="11EB3B79"/>
    <w:rsid w:val="11F7707E"/>
    <w:rsid w:val="11F87930"/>
    <w:rsid w:val="1200375F"/>
    <w:rsid w:val="12016842"/>
    <w:rsid w:val="12023A08"/>
    <w:rsid w:val="122142D4"/>
    <w:rsid w:val="12236E37"/>
    <w:rsid w:val="122A3A20"/>
    <w:rsid w:val="12351777"/>
    <w:rsid w:val="123979C1"/>
    <w:rsid w:val="124906DC"/>
    <w:rsid w:val="124A10C9"/>
    <w:rsid w:val="12515CCB"/>
    <w:rsid w:val="12520F58"/>
    <w:rsid w:val="125B4710"/>
    <w:rsid w:val="125D6E9A"/>
    <w:rsid w:val="1272018B"/>
    <w:rsid w:val="127213C2"/>
    <w:rsid w:val="127E6D55"/>
    <w:rsid w:val="1290447F"/>
    <w:rsid w:val="129773AB"/>
    <w:rsid w:val="12990038"/>
    <w:rsid w:val="12A60982"/>
    <w:rsid w:val="12A65C68"/>
    <w:rsid w:val="12AA6B65"/>
    <w:rsid w:val="12AC3E1F"/>
    <w:rsid w:val="12AC4482"/>
    <w:rsid w:val="12AC7140"/>
    <w:rsid w:val="12BE0625"/>
    <w:rsid w:val="12C30DD6"/>
    <w:rsid w:val="12C471B7"/>
    <w:rsid w:val="12C51B8B"/>
    <w:rsid w:val="12C82C1A"/>
    <w:rsid w:val="12CE0EE4"/>
    <w:rsid w:val="12D10FB3"/>
    <w:rsid w:val="12D44DC6"/>
    <w:rsid w:val="12D70EFA"/>
    <w:rsid w:val="12DE3A53"/>
    <w:rsid w:val="12DE4594"/>
    <w:rsid w:val="12DE47AC"/>
    <w:rsid w:val="12E46B45"/>
    <w:rsid w:val="12ED22CC"/>
    <w:rsid w:val="12F25F81"/>
    <w:rsid w:val="12F57C00"/>
    <w:rsid w:val="130027D4"/>
    <w:rsid w:val="1307687B"/>
    <w:rsid w:val="130F4CCD"/>
    <w:rsid w:val="13125C9C"/>
    <w:rsid w:val="13130AEB"/>
    <w:rsid w:val="1313792A"/>
    <w:rsid w:val="131A6A8A"/>
    <w:rsid w:val="131B37DE"/>
    <w:rsid w:val="13215C28"/>
    <w:rsid w:val="132D69BE"/>
    <w:rsid w:val="132E12A7"/>
    <w:rsid w:val="13325331"/>
    <w:rsid w:val="1334321E"/>
    <w:rsid w:val="13343E2F"/>
    <w:rsid w:val="13402860"/>
    <w:rsid w:val="13457260"/>
    <w:rsid w:val="13483400"/>
    <w:rsid w:val="134E21F4"/>
    <w:rsid w:val="134F3DF7"/>
    <w:rsid w:val="1357377F"/>
    <w:rsid w:val="13580599"/>
    <w:rsid w:val="135967D2"/>
    <w:rsid w:val="13664D1F"/>
    <w:rsid w:val="1367781A"/>
    <w:rsid w:val="13691C9D"/>
    <w:rsid w:val="136E76C5"/>
    <w:rsid w:val="137223ED"/>
    <w:rsid w:val="13757755"/>
    <w:rsid w:val="13764746"/>
    <w:rsid w:val="13790FB7"/>
    <w:rsid w:val="13797974"/>
    <w:rsid w:val="138D4798"/>
    <w:rsid w:val="138F72D7"/>
    <w:rsid w:val="13934DB3"/>
    <w:rsid w:val="139662EE"/>
    <w:rsid w:val="13967F01"/>
    <w:rsid w:val="139B4AC2"/>
    <w:rsid w:val="139D2D78"/>
    <w:rsid w:val="13A43D84"/>
    <w:rsid w:val="13B603AD"/>
    <w:rsid w:val="13BD4927"/>
    <w:rsid w:val="13C15E69"/>
    <w:rsid w:val="13C22ED3"/>
    <w:rsid w:val="13C324FB"/>
    <w:rsid w:val="13CC17EF"/>
    <w:rsid w:val="13CC33DC"/>
    <w:rsid w:val="13E42C77"/>
    <w:rsid w:val="13EA4298"/>
    <w:rsid w:val="13EF7D76"/>
    <w:rsid w:val="13F246BD"/>
    <w:rsid w:val="14032900"/>
    <w:rsid w:val="140A1EF1"/>
    <w:rsid w:val="140C2493"/>
    <w:rsid w:val="141310E9"/>
    <w:rsid w:val="141A43E9"/>
    <w:rsid w:val="141E2D29"/>
    <w:rsid w:val="143B66A6"/>
    <w:rsid w:val="143C2F33"/>
    <w:rsid w:val="14401C95"/>
    <w:rsid w:val="144320AF"/>
    <w:rsid w:val="14530AF2"/>
    <w:rsid w:val="146266AD"/>
    <w:rsid w:val="14634881"/>
    <w:rsid w:val="14643D5A"/>
    <w:rsid w:val="14661A9A"/>
    <w:rsid w:val="1473641D"/>
    <w:rsid w:val="14741A9C"/>
    <w:rsid w:val="147C4EF2"/>
    <w:rsid w:val="1481035B"/>
    <w:rsid w:val="1487538B"/>
    <w:rsid w:val="14885F3E"/>
    <w:rsid w:val="148F1768"/>
    <w:rsid w:val="149624E0"/>
    <w:rsid w:val="14A62D15"/>
    <w:rsid w:val="14A665E1"/>
    <w:rsid w:val="14AA309F"/>
    <w:rsid w:val="14AB3920"/>
    <w:rsid w:val="14AC4ED4"/>
    <w:rsid w:val="14B12548"/>
    <w:rsid w:val="14B14A39"/>
    <w:rsid w:val="14B34E7A"/>
    <w:rsid w:val="14B4025A"/>
    <w:rsid w:val="14B431B3"/>
    <w:rsid w:val="14BD7E03"/>
    <w:rsid w:val="14C222F9"/>
    <w:rsid w:val="14C46FB8"/>
    <w:rsid w:val="14CD2F6A"/>
    <w:rsid w:val="14D45DB1"/>
    <w:rsid w:val="14D57835"/>
    <w:rsid w:val="14DD34BC"/>
    <w:rsid w:val="14DE0523"/>
    <w:rsid w:val="14E411A6"/>
    <w:rsid w:val="14F04055"/>
    <w:rsid w:val="14F07393"/>
    <w:rsid w:val="15012339"/>
    <w:rsid w:val="1501768E"/>
    <w:rsid w:val="150209F8"/>
    <w:rsid w:val="150838FA"/>
    <w:rsid w:val="152273CB"/>
    <w:rsid w:val="15262356"/>
    <w:rsid w:val="15290EEE"/>
    <w:rsid w:val="152B5368"/>
    <w:rsid w:val="152D6A64"/>
    <w:rsid w:val="1530142C"/>
    <w:rsid w:val="15306DA9"/>
    <w:rsid w:val="15340CDE"/>
    <w:rsid w:val="15350F49"/>
    <w:rsid w:val="153C406E"/>
    <w:rsid w:val="153E1189"/>
    <w:rsid w:val="153F3146"/>
    <w:rsid w:val="15464124"/>
    <w:rsid w:val="1547005C"/>
    <w:rsid w:val="15486BC4"/>
    <w:rsid w:val="1557209C"/>
    <w:rsid w:val="1557682C"/>
    <w:rsid w:val="1567032A"/>
    <w:rsid w:val="15685FB0"/>
    <w:rsid w:val="15691459"/>
    <w:rsid w:val="157D1678"/>
    <w:rsid w:val="157E77FE"/>
    <w:rsid w:val="1584048D"/>
    <w:rsid w:val="1585667E"/>
    <w:rsid w:val="158947DD"/>
    <w:rsid w:val="158D0DEE"/>
    <w:rsid w:val="158E6E06"/>
    <w:rsid w:val="159E3A1F"/>
    <w:rsid w:val="159F7BBD"/>
    <w:rsid w:val="15A54226"/>
    <w:rsid w:val="15A646FF"/>
    <w:rsid w:val="15B163F0"/>
    <w:rsid w:val="15B93C3F"/>
    <w:rsid w:val="15C32F12"/>
    <w:rsid w:val="15C64EA9"/>
    <w:rsid w:val="15D12049"/>
    <w:rsid w:val="15D16ED1"/>
    <w:rsid w:val="15D6367A"/>
    <w:rsid w:val="15D908F5"/>
    <w:rsid w:val="15DD4C0E"/>
    <w:rsid w:val="15E505B5"/>
    <w:rsid w:val="15E870C0"/>
    <w:rsid w:val="15F060AF"/>
    <w:rsid w:val="15F21627"/>
    <w:rsid w:val="15F34982"/>
    <w:rsid w:val="15F81E49"/>
    <w:rsid w:val="15FB09D7"/>
    <w:rsid w:val="15FB5968"/>
    <w:rsid w:val="15FE0860"/>
    <w:rsid w:val="16053019"/>
    <w:rsid w:val="16054C75"/>
    <w:rsid w:val="16074984"/>
    <w:rsid w:val="162402DC"/>
    <w:rsid w:val="162F750E"/>
    <w:rsid w:val="163208A6"/>
    <w:rsid w:val="163635C0"/>
    <w:rsid w:val="163656AA"/>
    <w:rsid w:val="16395586"/>
    <w:rsid w:val="163E48F7"/>
    <w:rsid w:val="163F2047"/>
    <w:rsid w:val="16463D4E"/>
    <w:rsid w:val="164A1544"/>
    <w:rsid w:val="164B3232"/>
    <w:rsid w:val="16587EAF"/>
    <w:rsid w:val="165B6519"/>
    <w:rsid w:val="165F188C"/>
    <w:rsid w:val="166608DC"/>
    <w:rsid w:val="166B1698"/>
    <w:rsid w:val="166C55D8"/>
    <w:rsid w:val="16775323"/>
    <w:rsid w:val="167D3071"/>
    <w:rsid w:val="167F5C24"/>
    <w:rsid w:val="168F5F11"/>
    <w:rsid w:val="16AE1C43"/>
    <w:rsid w:val="16AE750E"/>
    <w:rsid w:val="16B30D08"/>
    <w:rsid w:val="16BE427C"/>
    <w:rsid w:val="16C217E7"/>
    <w:rsid w:val="16C47344"/>
    <w:rsid w:val="16C931C4"/>
    <w:rsid w:val="16CA5F5E"/>
    <w:rsid w:val="16CF1514"/>
    <w:rsid w:val="16CF19E9"/>
    <w:rsid w:val="16CF442C"/>
    <w:rsid w:val="16D171A4"/>
    <w:rsid w:val="16D336BC"/>
    <w:rsid w:val="16D73DB8"/>
    <w:rsid w:val="16E132CC"/>
    <w:rsid w:val="16E2071F"/>
    <w:rsid w:val="16EB3F87"/>
    <w:rsid w:val="16ED6FFA"/>
    <w:rsid w:val="17062591"/>
    <w:rsid w:val="17110C25"/>
    <w:rsid w:val="17131589"/>
    <w:rsid w:val="17156CE2"/>
    <w:rsid w:val="171D2C9F"/>
    <w:rsid w:val="171D3B63"/>
    <w:rsid w:val="17222C80"/>
    <w:rsid w:val="1733465A"/>
    <w:rsid w:val="173C0B0C"/>
    <w:rsid w:val="17445B70"/>
    <w:rsid w:val="17466049"/>
    <w:rsid w:val="174820F4"/>
    <w:rsid w:val="174835A1"/>
    <w:rsid w:val="174D0E01"/>
    <w:rsid w:val="174F5236"/>
    <w:rsid w:val="175165BB"/>
    <w:rsid w:val="17577B07"/>
    <w:rsid w:val="175C0A12"/>
    <w:rsid w:val="17720EC7"/>
    <w:rsid w:val="177306F9"/>
    <w:rsid w:val="17767A9B"/>
    <w:rsid w:val="177C592B"/>
    <w:rsid w:val="178246CA"/>
    <w:rsid w:val="178432EA"/>
    <w:rsid w:val="178F1415"/>
    <w:rsid w:val="179124FC"/>
    <w:rsid w:val="179413EF"/>
    <w:rsid w:val="179942CD"/>
    <w:rsid w:val="179C7919"/>
    <w:rsid w:val="179D191E"/>
    <w:rsid w:val="179F2BD6"/>
    <w:rsid w:val="17AA7D4B"/>
    <w:rsid w:val="17AE1A1F"/>
    <w:rsid w:val="17B97A16"/>
    <w:rsid w:val="17BB257A"/>
    <w:rsid w:val="17BE4A41"/>
    <w:rsid w:val="17C20018"/>
    <w:rsid w:val="17CA2331"/>
    <w:rsid w:val="17CD77E2"/>
    <w:rsid w:val="17CF4418"/>
    <w:rsid w:val="17D3344E"/>
    <w:rsid w:val="17D72891"/>
    <w:rsid w:val="17DF3F14"/>
    <w:rsid w:val="17E220F6"/>
    <w:rsid w:val="17F265E1"/>
    <w:rsid w:val="17F93F10"/>
    <w:rsid w:val="1804696E"/>
    <w:rsid w:val="180741DC"/>
    <w:rsid w:val="180A3BCA"/>
    <w:rsid w:val="180C0CEF"/>
    <w:rsid w:val="180F21B4"/>
    <w:rsid w:val="1820443C"/>
    <w:rsid w:val="1825703C"/>
    <w:rsid w:val="18284D45"/>
    <w:rsid w:val="182B3A0F"/>
    <w:rsid w:val="18362EB8"/>
    <w:rsid w:val="1837142A"/>
    <w:rsid w:val="183809B1"/>
    <w:rsid w:val="183D200E"/>
    <w:rsid w:val="18437E85"/>
    <w:rsid w:val="18497125"/>
    <w:rsid w:val="185703BB"/>
    <w:rsid w:val="1868087A"/>
    <w:rsid w:val="187756D7"/>
    <w:rsid w:val="187D3CBF"/>
    <w:rsid w:val="18804ABB"/>
    <w:rsid w:val="18841D79"/>
    <w:rsid w:val="188662B2"/>
    <w:rsid w:val="188F6838"/>
    <w:rsid w:val="18997870"/>
    <w:rsid w:val="18A93D8E"/>
    <w:rsid w:val="18B02C37"/>
    <w:rsid w:val="18B251A0"/>
    <w:rsid w:val="18B46FE5"/>
    <w:rsid w:val="18BF6945"/>
    <w:rsid w:val="18C35DFA"/>
    <w:rsid w:val="18C63235"/>
    <w:rsid w:val="18C9164B"/>
    <w:rsid w:val="18CA3377"/>
    <w:rsid w:val="18CB5F1E"/>
    <w:rsid w:val="18CC510D"/>
    <w:rsid w:val="18DC65B5"/>
    <w:rsid w:val="18DD7E67"/>
    <w:rsid w:val="18DE43CF"/>
    <w:rsid w:val="18E4443C"/>
    <w:rsid w:val="18E52558"/>
    <w:rsid w:val="18F211A1"/>
    <w:rsid w:val="18F73702"/>
    <w:rsid w:val="18F73908"/>
    <w:rsid w:val="18FB5E14"/>
    <w:rsid w:val="190176CB"/>
    <w:rsid w:val="19046620"/>
    <w:rsid w:val="190961D6"/>
    <w:rsid w:val="190C6D0C"/>
    <w:rsid w:val="190E1A25"/>
    <w:rsid w:val="190F51AE"/>
    <w:rsid w:val="19221A57"/>
    <w:rsid w:val="19295319"/>
    <w:rsid w:val="192D5375"/>
    <w:rsid w:val="19322003"/>
    <w:rsid w:val="19372C25"/>
    <w:rsid w:val="193C7734"/>
    <w:rsid w:val="19436B2B"/>
    <w:rsid w:val="194B3DB4"/>
    <w:rsid w:val="195175BE"/>
    <w:rsid w:val="19521A0A"/>
    <w:rsid w:val="195F3DD1"/>
    <w:rsid w:val="196022B8"/>
    <w:rsid w:val="19631C74"/>
    <w:rsid w:val="196607A2"/>
    <w:rsid w:val="19800F35"/>
    <w:rsid w:val="19830F7E"/>
    <w:rsid w:val="19895E6C"/>
    <w:rsid w:val="19946BCA"/>
    <w:rsid w:val="19951EEF"/>
    <w:rsid w:val="199A13B2"/>
    <w:rsid w:val="199C1D46"/>
    <w:rsid w:val="199D7741"/>
    <w:rsid w:val="199E5B1A"/>
    <w:rsid w:val="19A16292"/>
    <w:rsid w:val="19A17FEF"/>
    <w:rsid w:val="19A77E8A"/>
    <w:rsid w:val="19B5522A"/>
    <w:rsid w:val="19B62334"/>
    <w:rsid w:val="19B66FBF"/>
    <w:rsid w:val="19C73671"/>
    <w:rsid w:val="19C96B72"/>
    <w:rsid w:val="19CB3161"/>
    <w:rsid w:val="19CD08FB"/>
    <w:rsid w:val="19CE0E5D"/>
    <w:rsid w:val="19CF150A"/>
    <w:rsid w:val="19D2232E"/>
    <w:rsid w:val="19D26ED1"/>
    <w:rsid w:val="19D75568"/>
    <w:rsid w:val="19D872CB"/>
    <w:rsid w:val="19DC34AB"/>
    <w:rsid w:val="19EA522C"/>
    <w:rsid w:val="19EF3A59"/>
    <w:rsid w:val="19F01F84"/>
    <w:rsid w:val="19F57617"/>
    <w:rsid w:val="19FD7483"/>
    <w:rsid w:val="19FF1CA0"/>
    <w:rsid w:val="1A021999"/>
    <w:rsid w:val="1A057459"/>
    <w:rsid w:val="1A0D4EFB"/>
    <w:rsid w:val="1A13760C"/>
    <w:rsid w:val="1A1405F5"/>
    <w:rsid w:val="1A1B135F"/>
    <w:rsid w:val="1A214D89"/>
    <w:rsid w:val="1A23610C"/>
    <w:rsid w:val="1A2A2004"/>
    <w:rsid w:val="1A3A53D0"/>
    <w:rsid w:val="1A3C658A"/>
    <w:rsid w:val="1A42527C"/>
    <w:rsid w:val="1A5109AA"/>
    <w:rsid w:val="1A523378"/>
    <w:rsid w:val="1A56505C"/>
    <w:rsid w:val="1A5879E7"/>
    <w:rsid w:val="1A596E00"/>
    <w:rsid w:val="1A5C4F80"/>
    <w:rsid w:val="1A6168C9"/>
    <w:rsid w:val="1A624807"/>
    <w:rsid w:val="1A627C6E"/>
    <w:rsid w:val="1A644AB4"/>
    <w:rsid w:val="1A682C06"/>
    <w:rsid w:val="1A7D7AE7"/>
    <w:rsid w:val="1A8867D4"/>
    <w:rsid w:val="1A89124B"/>
    <w:rsid w:val="1A895CEA"/>
    <w:rsid w:val="1A8D681A"/>
    <w:rsid w:val="1A8F1A12"/>
    <w:rsid w:val="1A9817FC"/>
    <w:rsid w:val="1AA27ADD"/>
    <w:rsid w:val="1AAC0748"/>
    <w:rsid w:val="1AB118C5"/>
    <w:rsid w:val="1AB1221C"/>
    <w:rsid w:val="1AB6039A"/>
    <w:rsid w:val="1ABD06B5"/>
    <w:rsid w:val="1ABE27D0"/>
    <w:rsid w:val="1AC5314F"/>
    <w:rsid w:val="1AC62689"/>
    <w:rsid w:val="1AD42B52"/>
    <w:rsid w:val="1AD67974"/>
    <w:rsid w:val="1AE426B1"/>
    <w:rsid w:val="1AE91AD7"/>
    <w:rsid w:val="1AF13404"/>
    <w:rsid w:val="1AF511F0"/>
    <w:rsid w:val="1AF846F6"/>
    <w:rsid w:val="1AF877CB"/>
    <w:rsid w:val="1AF935F1"/>
    <w:rsid w:val="1B0636DD"/>
    <w:rsid w:val="1B1A2F3D"/>
    <w:rsid w:val="1B3409FF"/>
    <w:rsid w:val="1B3623B8"/>
    <w:rsid w:val="1B477E53"/>
    <w:rsid w:val="1B490F56"/>
    <w:rsid w:val="1B5468D6"/>
    <w:rsid w:val="1B56787D"/>
    <w:rsid w:val="1B591D75"/>
    <w:rsid w:val="1B5A7605"/>
    <w:rsid w:val="1B5B3523"/>
    <w:rsid w:val="1B5C3138"/>
    <w:rsid w:val="1B623484"/>
    <w:rsid w:val="1B694942"/>
    <w:rsid w:val="1B6C2310"/>
    <w:rsid w:val="1B703C6A"/>
    <w:rsid w:val="1B716E2E"/>
    <w:rsid w:val="1B780BBD"/>
    <w:rsid w:val="1B783FB8"/>
    <w:rsid w:val="1B7B06B6"/>
    <w:rsid w:val="1B83094A"/>
    <w:rsid w:val="1B887320"/>
    <w:rsid w:val="1B8C623B"/>
    <w:rsid w:val="1B986EF6"/>
    <w:rsid w:val="1B9C2608"/>
    <w:rsid w:val="1BA5482D"/>
    <w:rsid w:val="1BA95155"/>
    <w:rsid w:val="1BA9740F"/>
    <w:rsid w:val="1BAC0709"/>
    <w:rsid w:val="1BAC4CB9"/>
    <w:rsid w:val="1BAE1C3D"/>
    <w:rsid w:val="1BB12068"/>
    <w:rsid w:val="1BB530F2"/>
    <w:rsid w:val="1BBC529E"/>
    <w:rsid w:val="1BCB50DD"/>
    <w:rsid w:val="1BD067A4"/>
    <w:rsid w:val="1BD0754C"/>
    <w:rsid w:val="1BD469EA"/>
    <w:rsid w:val="1BD51A78"/>
    <w:rsid w:val="1BD52AAC"/>
    <w:rsid w:val="1BD66E45"/>
    <w:rsid w:val="1BDB4871"/>
    <w:rsid w:val="1BE206CB"/>
    <w:rsid w:val="1BE52DA7"/>
    <w:rsid w:val="1BE61CB1"/>
    <w:rsid w:val="1BE83583"/>
    <w:rsid w:val="1BEF4B45"/>
    <w:rsid w:val="1BF14AA7"/>
    <w:rsid w:val="1BF71747"/>
    <w:rsid w:val="1BF84B81"/>
    <w:rsid w:val="1C087845"/>
    <w:rsid w:val="1C0950E9"/>
    <w:rsid w:val="1C136A25"/>
    <w:rsid w:val="1C1807A4"/>
    <w:rsid w:val="1C190836"/>
    <w:rsid w:val="1C197388"/>
    <w:rsid w:val="1C1B3646"/>
    <w:rsid w:val="1C216FCE"/>
    <w:rsid w:val="1C2577D3"/>
    <w:rsid w:val="1C281398"/>
    <w:rsid w:val="1C2C394E"/>
    <w:rsid w:val="1C2F4EFD"/>
    <w:rsid w:val="1C333B89"/>
    <w:rsid w:val="1C3C1A18"/>
    <w:rsid w:val="1C45614C"/>
    <w:rsid w:val="1C470368"/>
    <w:rsid w:val="1C4F193D"/>
    <w:rsid w:val="1C4F51F6"/>
    <w:rsid w:val="1C5B3932"/>
    <w:rsid w:val="1C5D2F6A"/>
    <w:rsid w:val="1C5F6152"/>
    <w:rsid w:val="1C65319F"/>
    <w:rsid w:val="1C691E06"/>
    <w:rsid w:val="1C6A0722"/>
    <w:rsid w:val="1C6F0B4B"/>
    <w:rsid w:val="1C7D1454"/>
    <w:rsid w:val="1C8A190B"/>
    <w:rsid w:val="1C93215D"/>
    <w:rsid w:val="1C992FE0"/>
    <w:rsid w:val="1C997903"/>
    <w:rsid w:val="1CA81A87"/>
    <w:rsid w:val="1CAD7957"/>
    <w:rsid w:val="1CAD7F88"/>
    <w:rsid w:val="1CB62AD6"/>
    <w:rsid w:val="1CBA6014"/>
    <w:rsid w:val="1CC003DF"/>
    <w:rsid w:val="1CC60109"/>
    <w:rsid w:val="1CC82923"/>
    <w:rsid w:val="1CC8699F"/>
    <w:rsid w:val="1CCC7F5A"/>
    <w:rsid w:val="1CD66E48"/>
    <w:rsid w:val="1CD756A6"/>
    <w:rsid w:val="1CDA2E5C"/>
    <w:rsid w:val="1CE10666"/>
    <w:rsid w:val="1CF07BCB"/>
    <w:rsid w:val="1CF530D8"/>
    <w:rsid w:val="1CF577C6"/>
    <w:rsid w:val="1CF95991"/>
    <w:rsid w:val="1CFD48A9"/>
    <w:rsid w:val="1D0026AC"/>
    <w:rsid w:val="1D036806"/>
    <w:rsid w:val="1D095DDB"/>
    <w:rsid w:val="1D0A5A66"/>
    <w:rsid w:val="1D110F17"/>
    <w:rsid w:val="1D120FF7"/>
    <w:rsid w:val="1D122DFF"/>
    <w:rsid w:val="1D191FE3"/>
    <w:rsid w:val="1D1A582C"/>
    <w:rsid w:val="1D1E6866"/>
    <w:rsid w:val="1D21705C"/>
    <w:rsid w:val="1D244D77"/>
    <w:rsid w:val="1D292FC1"/>
    <w:rsid w:val="1D2C271E"/>
    <w:rsid w:val="1D2E0CEE"/>
    <w:rsid w:val="1D2E228A"/>
    <w:rsid w:val="1D312E80"/>
    <w:rsid w:val="1D341471"/>
    <w:rsid w:val="1D3A10CF"/>
    <w:rsid w:val="1D42135E"/>
    <w:rsid w:val="1D4754F0"/>
    <w:rsid w:val="1D5160C1"/>
    <w:rsid w:val="1D5B5B1A"/>
    <w:rsid w:val="1D5E4811"/>
    <w:rsid w:val="1D5F6D88"/>
    <w:rsid w:val="1D670752"/>
    <w:rsid w:val="1D696270"/>
    <w:rsid w:val="1D6B5DF5"/>
    <w:rsid w:val="1D6F23F4"/>
    <w:rsid w:val="1D724D93"/>
    <w:rsid w:val="1D771A86"/>
    <w:rsid w:val="1D7B44D2"/>
    <w:rsid w:val="1D850DBD"/>
    <w:rsid w:val="1D9A0C5C"/>
    <w:rsid w:val="1D9C1247"/>
    <w:rsid w:val="1D9F6210"/>
    <w:rsid w:val="1DA42DAB"/>
    <w:rsid w:val="1DA85518"/>
    <w:rsid w:val="1DB86D58"/>
    <w:rsid w:val="1DBC7442"/>
    <w:rsid w:val="1DCB002D"/>
    <w:rsid w:val="1DCC53C3"/>
    <w:rsid w:val="1DCE0A2D"/>
    <w:rsid w:val="1DE651E8"/>
    <w:rsid w:val="1DEB1F13"/>
    <w:rsid w:val="1DEC3260"/>
    <w:rsid w:val="1DF1286F"/>
    <w:rsid w:val="1DF7192A"/>
    <w:rsid w:val="1DF731CB"/>
    <w:rsid w:val="1DFD62E9"/>
    <w:rsid w:val="1DFF21B5"/>
    <w:rsid w:val="1E0237AB"/>
    <w:rsid w:val="1E056024"/>
    <w:rsid w:val="1E0A3188"/>
    <w:rsid w:val="1E194423"/>
    <w:rsid w:val="1E1A799E"/>
    <w:rsid w:val="1E1C28B9"/>
    <w:rsid w:val="1E28404A"/>
    <w:rsid w:val="1E2D5604"/>
    <w:rsid w:val="1E312262"/>
    <w:rsid w:val="1E323912"/>
    <w:rsid w:val="1E390219"/>
    <w:rsid w:val="1E443010"/>
    <w:rsid w:val="1E50043A"/>
    <w:rsid w:val="1E5E699F"/>
    <w:rsid w:val="1E64597F"/>
    <w:rsid w:val="1E664A92"/>
    <w:rsid w:val="1E670F32"/>
    <w:rsid w:val="1E7B121B"/>
    <w:rsid w:val="1E7E4307"/>
    <w:rsid w:val="1E8267F2"/>
    <w:rsid w:val="1E8D1E82"/>
    <w:rsid w:val="1E916FB7"/>
    <w:rsid w:val="1EB027F2"/>
    <w:rsid w:val="1EB34F6B"/>
    <w:rsid w:val="1EB63626"/>
    <w:rsid w:val="1EBF47C3"/>
    <w:rsid w:val="1EC34772"/>
    <w:rsid w:val="1ECF3D42"/>
    <w:rsid w:val="1ED507C3"/>
    <w:rsid w:val="1ED72631"/>
    <w:rsid w:val="1EDA60BB"/>
    <w:rsid w:val="1EE33F7A"/>
    <w:rsid w:val="1EF03DAA"/>
    <w:rsid w:val="1EF52779"/>
    <w:rsid w:val="1EF877A7"/>
    <w:rsid w:val="1EF96D81"/>
    <w:rsid w:val="1EFA4BBA"/>
    <w:rsid w:val="1EFE1DC7"/>
    <w:rsid w:val="1F0B67AF"/>
    <w:rsid w:val="1F0D62C5"/>
    <w:rsid w:val="1F111550"/>
    <w:rsid w:val="1F11281C"/>
    <w:rsid w:val="1F1C3E52"/>
    <w:rsid w:val="1F1E6EAE"/>
    <w:rsid w:val="1F2118E1"/>
    <w:rsid w:val="1F230B48"/>
    <w:rsid w:val="1F294C8F"/>
    <w:rsid w:val="1F346BD8"/>
    <w:rsid w:val="1F36093D"/>
    <w:rsid w:val="1F377424"/>
    <w:rsid w:val="1F394C9A"/>
    <w:rsid w:val="1F3D1214"/>
    <w:rsid w:val="1F4057F9"/>
    <w:rsid w:val="1F41780E"/>
    <w:rsid w:val="1F474124"/>
    <w:rsid w:val="1F48332F"/>
    <w:rsid w:val="1F4F2587"/>
    <w:rsid w:val="1F50472E"/>
    <w:rsid w:val="1F5178E5"/>
    <w:rsid w:val="1F551532"/>
    <w:rsid w:val="1F635DF6"/>
    <w:rsid w:val="1F6720AA"/>
    <w:rsid w:val="1F7907D5"/>
    <w:rsid w:val="1F7A6174"/>
    <w:rsid w:val="1F7C2ED5"/>
    <w:rsid w:val="1F810648"/>
    <w:rsid w:val="1F8320D2"/>
    <w:rsid w:val="1F853D80"/>
    <w:rsid w:val="1F861DA1"/>
    <w:rsid w:val="1F8B7463"/>
    <w:rsid w:val="1F8D3576"/>
    <w:rsid w:val="1F8D7608"/>
    <w:rsid w:val="1F8E6A0C"/>
    <w:rsid w:val="1F910AF0"/>
    <w:rsid w:val="1F91362A"/>
    <w:rsid w:val="1F924DF2"/>
    <w:rsid w:val="1FA47FDA"/>
    <w:rsid w:val="1FA762DC"/>
    <w:rsid w:val="1FB555D7"/>
    <w:rsid w:val="1FB92D1E"/>
    <w:rsid w:val="1FB95143"/>
    <w:rsid w:val="1FBB333B"/>
    <w:rsid w:val="1FBE2EFE"/>
    <w:rsid w:val="1FC960CF"/>
    <w:rsid w:val="1FCC6A02"/>
    <w:rsid w:val="1FCE7B52"/>
    <w:rsid w:val="1FDD4785"/>
    <w:rsid w:val="1FE0340B"/>
    <w:rsid w:val="1FE2503C"/>
    <w:rsid w:val="1FE64255"/>
    <w:rsid w:val="1FE65F6B"/>
    <w:rsid w:val="1FE73F17"/>
    <w:rsid w:val="1FE92EF6"/>
    <w:rsid w:val="1FEA000B"/>
    <w:rsid w:val="1FEC4E7D"/>
    <w:rsid w:val="1FF42C72"/>
    <w:rsid w:val="1FFD2B5F"/>
    <w:rsid w:val="1FFF2901"/>
    <w:rsid w:val="20010117"/>
    <w:rsid w:val="200F655D"/>
    <w:rsid w:val="20176BB1"/>
    <w:rsid w:val="20184B77"/>
    <w:rsid w:val="201C05B6"/>
    <w:rsid w:val="201D1A5C"/>
    <w:rsid w:val="20236934"/>
    <w:rsid w:val="202A5419"/>
    <w:rsid w:val="202B552D"/>
    <w:rsid w:val="202F501B"/>
    <w:rsid w:val="20306741"/>
    <w:rsid w:val="203211B0"/>
    <w:rsid w:val="203B0DDA"/>
    <w:rsid w:val="203B3064"/>
    <w:rsid w:val="20446B61"/>
    <w:rsid w:val="204607B7"/>
    <w:rsid w:val="204918E8"/>
    <w:rsid w:val="20492A50"/>
    <w:rsid w:val="204F568D"/>
    <w:rsid w:val="205041B8"/>
    <w:rsid w:val="20543042"/>
    <w:rsid w:val="20593F44"/>
    <w:rsid w:val="205C41D3"/>
    <w:rsid w:val="206F4E87"/>
    <w:rsid w:val="2074201A"/>
    <w:rsid w:val="20745252"/>
    <w:rsid w:val="208A6535"/>
    <w:rsid w:val="208A7A56"/>
    <w:rsid w:val="208D4B0B"/>
    <w:rsid w:val="208E6D83"/>
    <w:rsid w:val="209D6B49"/>
    <w:rsid w:val="20AC4794"/>
    <w:rsid w:val="20B24368"/>
    <w:rsid w:val="20B34EB9"/>
    <w:rsid w:val="20B51624"/>
    <w:rsid w:val="20BB3A15"/>
    <w:rsid w:val="20BD2A5E"/>
    <w:rsid w:val="20BD3DF9"/>
    <w:rsid w:val="20C20B35"/>
    <w:rsid w:val="20D23728"/>
    <w:rsid w:val="20D84EF8"/>
    <w:rsid w:val="20DD6927"/>
    <w:rsid w:val="20DF2E5D"/>
    <w:rsid w:val="20DF3162"/>
    <w:rsid w:val="20DF47A0"/>
    <w:rsid w:val="20E54B99"/>
    <w:rsid w:val="20E73FD9"/>
    <w:rsid w:val="20EE5EE0"/>
    <w:rsid w:val="20F45154"/>
    <w:rsid w:val="20F53270"/>
    <w:rsid w:val="20FF4335"/>
    <w:rsid w:val="210564B2"/>
    <w:rsid w:val="210656FF"/>
    <w:rsid w:val="210A15A9"/>
    <w:rsid w:val="210E5084"/>
    <w:rsid w:val="21143929"/>
    <w:rsid w:val="211B6FF0"/>
    <w:rsid w:val="211D3577"/>
    <w:rsid w:val="211D760C"/>
    <w:rsid w:val="21227A55"/>
    <w:rsid w:val="212E138C"/>
    <w:rsid w:val="213072DD"/>
    <w:rsid w:val="213672BE"/>
    <w:rsid w:val="213F416B"/>
    <w:rsid w:val="213F5457"/>
    <w:rsid w:val="213F6A6E"/>
    <w:rsid w:val="21410861"/>
    <w:rsid w:val="21425865"/>
    <w:rsid w:val="21650F6F"/>
    <w:rsid w:val="216F2264"/>
    <w:rsid w:val="216F47E7"/>
    <w:rsid w:val="21702D7B"/>
    <w:rsid w:val="217F6932"/>
    <w:rsid w:val="2182763B"/>
    <w:rsid w:val="218B56A7"/>
    <w:rsid w:val="219404D5"/>
    <w:rsid w:val="21991995"/>
    <w:rsid w:val="219A68AE"/>
    <w:rsid w:val="21A13CD1"/>
    <w:rsid w:val="21A36F3A"/>
    <w:rsid w:val="21A44BB4"/>
    <w:rsid w:val="21AA725E"/>
    <w:rsid w:val="21AD6373"/>
    <w:rsid w:val="21BB5152"/>
    <w:rsid w:val="21CB1144"/>
    <w:rsid w:val="21DF0475"/>
    <w:rsid w:val="21E471EE"/>
    <w:rsid w:val="21FA1F69"/>
    <w:rsid w:val="21FF73CD"/>
    <w:rsid w:val="22055E3B"/>
    <w:rsid w:val="220C6A5F"/>
    <w:rsid w:val="221729E7"/>
    <w:rsid w:val="221C32DF"/>
    <w:rsid w:val="221E2692"/>
    <w:rsid w:val="221F513C"/>
    <w:rsid w:val="222A62B9"/>
    <w:rsid w:val="222B5FE7"/>
    <w:rsid w:val="222D23CA"/>
    <w:rsid w:val="223221A4"/>
    <w:rsid w:val="223236E9"/>
    <w:rsid w:val="223E5DF8"/>
    <w:rsid w:val="22400895"/>
    <w:rsid w:val="224109C6"/>
    <w:rsid w:val="22442ADA"/>
    <w:rsid w:val="2244468E"/>
    <w:rsid w:val="224A6003"/>
    <w:rsid w:val="224D5F58"/>
    <w:rsid w:val="22547346"/>
    <w:rsid w:val="22585553"/>
    <w:rsid w:val="225A28EB"/>
    <w:rsid w:val="225D3691"/>
    <w:rsid w:val="22606631"/>
    <w:rsid w:val="226959E6"/>
    <w:rsid w:val="226D0031"/>
    <w:rsid w:val="22836700"/>
    <w:rsid w:val="22897012"/>
    <w:rsid w:val="228A32C0"/>
    <w:rsid w:val="229571C6"/>
    <w:rsid w:val="229D4990"/>
    <w:rsid w:val="22A026C5"/>
    <w:rsid w:val="22B10AB2"/>
    <w:rsid w:val="22B25733"/>
    <w:rsid w:val="22BA68E8"/>
    <w:rsid w:val="22BC7433"/>
    <w:rsid w:val="22BF76B1"/>
    <w:rsid w:val="22C27755"/>
    <w:rsid w:val="22CC09B5"/>
    <w:rsid w:val="22DB7E9E"/>
    <w:rsid w:val="22EF4FD1"/>
    <w:rsid w:val="22F17F2A"/>
    <w:rsid w:val="22F50EBC"/>
    <w:rsid w:val="230011C1"/>
    <w:rsid w:val="23005819"/>
    <w:rsid w:val="230402D6"/>
    <w:rsid w:val="23072821"/>
    <w:rsid w:val="230869B2"/>
    <w:rsid w:val="230B4279"/>
    <w:rsid w:val="230D5F8C"/>
    <w:rsid w:val="23120496"/>
    <w:rsid w:val="2312775B"/>
    <w:rsid w:val="231F70B7"/>
    <w:rsid w:val="232516F9"/>
    <w:rsid w:val="232E42A4"/>
    <w:rsid w:val="2331173B"/>
    <w:rsid w:val="23313E47"/>
    <w:rsid w:val="23315DC1"/>
    <w:rsid w:val="233848A3"/>
    <w:rsid w:val="234260E5"/>
    <w:rsid w:val="2343105D"/>
    <w:rsid w:val="2344350C"/>
    <w:rsid w:val="234A43A6"/>
    <w:rsid w:val="23585C03"/>
    <w:rsid w:val="236514B1"/>
    <w:rsid w:val="236A1D7F"/>
    <w:rsid w:val="236D5CCE"/>
    <w:rsid w:val="23714F64"/>
    <w:rsid w:val="238C6521"/>
    <w:rsid w:val="239D7BC5"/>
    <w:rsid w:val="23A1770C"/>
    <w:rsid w:val="23A368AC"/>
    <w:rsid w:val="23A427F3"/>
    <w:rsid w:val="23A44FFA"/>
    <w:rsid w:val="23B81B81"/>
    <w:rsid w:val="23BB0F23"/>
    <w:rsid w:val="23CB0D6E"/>
    <w:rsid w:val="23D02FDA"/>
    <w:rsid w:val="23D705F5"/>
    <w:rsid w:val="23DA23BA"/>
    <w:rsid w:val="23E2277C"/>
    <w:rsid w:val="23E46A74"/>
    <w:rsid w:val="23F90754"/>
    <w:rsid w:val="23FB06E6"/>
    <w:rsid w:val="240115C5"/>
    <w:rsid w:val="24013373"/>
    <w:rsid w:val="24114810"/>
    <w:rsid w:val="241743F1"/>
    <w:rsid w:val="24250E06"/>
    <w:rsid w:val="24252E31"/>
    <w:rsid w:val="242B51F8"/>
    <w:rsid w:val="242C4856"/>
    <w:rsid w:val="242E57FF"/>
    <w:rsid w:val="24322E35"/>
    <w:rsid w:val="2432649A"/>
    <w:rsid w:val="24333E83"/>
    <w:rsid w:val="243652F3"/>
    <w:rsid w:val="24490EC1"/>
    <w:rsid w:val="244A1AA2"/>
    <w:rsid w:val="244F0582"/>
    <w:rsid w:val="24515195"/>
    <w:rsid w:val="24526769"/>
    <w:rsid w:val="24534DD8"/>
    <w:rsid w:val="24554955"/>
    <w:rsid w:val="245563DD"/>
    <w:rsid w:val="24680C3C"/>
    <w:rsid w:val="246C6C4B"/>
    <w:rsid w:val="24714C9A"/>
    <w:rsid w:val="247B1CB5"/>
    <w:rsid w:val="247B5E2D"/>
    <w:rsid w:val="248856F4"/>
    <w:rsid w:val="248D143B"/>
    <w:rsid w:val="24926596"/>
    <w:rsid w:val="249514F8"/>
    <w:rsid w:val="249D306F"/>
    <w:rsid w:val="24A46A48"/>
    <w:rsid w:val="24A83748"/>
    <w:rsid w:val="24A95E8F"/>
    <w:rsid w:val="24B11E43"/>
    <w:rsid w:val="24B87594"/>
    <w:rsid w:val="24BE59E7"/>
    <w:rsid w:val="24C26CDB"/>
    <w:rsid w:val="24C43B4C"/>
    <w:rsid w:val="24C811AB"/>
    <w:rsid w:val="24D551DC"/>
    <w:rsid w:val="24D727E2"/>
    <w:rsid w:val="24E62F97"/>
    <w:rsid w:val="24E9651B"/>
    <w:rsid w:val="24EE4690"/>
    <w:rsid w:val="24EF4C3F"/>
    <w:rsid w:val="24F30C4C"/>
    <w:rsid w:val="24FC047F"/>
    <w:rsid w:val="24FC5070"/>
    <w:rsid w:val="25005CE1"/>
    <w:rsid w:val="25032C91"/>
    <w:rsid w:val="25033AED"/>
    <w:rsid w:val="2505128A"/>
    <w:rsid w:val="25067286"/>
    <w:rsid w:val="251C6521"/>
    <w:rsid w:val="252D2AE4"/>
    <w:rsid w:val="25335992"/>
    <w:rsid w:val="253B4E5F"/>
    <w:rsid w:val="253C4FD3"/>
    <w:rsid w:val="253E2333"/>
    <w:rsid w:val="254439AA"/>
    <w:rsid w:val="254672A4"/>
    <w:rsid w:val="254776A4"/>
    <w:rsid w:val="25484E46"/>
    <w:rsid w:val="25486DA1"/>
    <w:rsid w:val="254B5C5C"/>
    <w:rsid w:val="254D233D"/>
    <w:rsid w:val="25566684"/>
    <w:rsid w:val="25575D40"/>
    <w:rsid w:val="25584B8B"/>
    <w:rsid w:val="255E45BA"/>
    <w:rsid w:val="256569A2"/>
    <w:rsid w:val="25874118"/>
    <w:rsid w:val="2587570D"/>
    <w:rsid w:val="25881CA6"/>
    <w:rsid w:val="25884298"/>
    <w:rsid w:val="258D37D9"/>
    <w:rsid w:val="258F707E"/>
    <w:rsid w:val="2596152F"/>
    <w:rsid w:val="25997985"/>
    <w:rsid w:val="259A47CD"/>
    <w:rsid w:val="259C5E1A"/>
    <w:rsid w:val="25A34E5A"/>
    <w:rsid w:val="25B11735"/>
    <w:rsid w:val="25CB0C1D"/>
    <w:rsid w:val="25D6049D"/>
    <w:rsid w:val="25DB764E"/>
    <w:rsid w:val="25E220C6"/>
    <w:rsid w:val="25E375AF"/>
    <w:rsid w:val="25E96C25"/>
    <w:rsid w:val="25EE79C1"/>
    <w:rsid w:val="25FC6FF6"/>
    <w:rsid w:val="25FD73D5"/>
    <w:rsid w:val="25FE3D91"/>
    <w:rsid w:val="26042FA5"/>
    <w:rsid w:val="26056061"/>
    <w:rsid w:val="26082690"/>
    <w:rsid w:val="26117F24"/>
    <w:rsid w:val="261213AA"/>
    <w:rsid w:val="26207547"/>
    <w:rsid w:val="26226A23"/>
    <w:rsid w:val="26257ACA"/>
    <w:rsid w:val="26263254"/>
    <w:rsid w:val="26266034"/>
    <w:rsid w:val="262A3370"/>
    <w:rsid w:val="262A3AE6"/>
    <w:rsid w:val="262B3178"/>
    <w:rsid w:val="262D07AD"/>
    <w:rsid w:val="26305B03"/>
    <w:rsid w:val="263128C1"/>
    <w:rsid w:val="263604D9"/>
    <w:rsid w:val="26475016"/>
    <w:rsid w:val="265704D1"/>
    <w:rsid w:val="26571970"/>
    <w:rsid w:val="265747A8"/>
    <w:rsid w:val="26583EB4"/>
    <w:rsid w:val="2660186D"/>
    <w:rsid w:val="26690B67"/>
    <w:rsid w:val="26696DC7"/>
    <w:rsid w:val="266E6158"/>
    <w:rsid w:val="266E7630"/>
    <w:rsid w:val="26736606"/>
    <w:rsid w:val="26737AA2"/>
    <w:rsid w:val="26812549"/>
    <w:rsid w:val="268D6836"/>
    <w:rsid w:val="268E47F5"/>
    <w:rsid w:val="269A05D2"/>
    <w:rsid w:val="269C5414"/>
    <w:rsid w:val="26A40C20"/>
    <w:rsid w:val="26C0313D"/>
    <w:rsid w:val="26C51CDF"/>
    <w:rsid w:val="26C70077"/>
    <w:rsid w:val="26C82E89"/>
    <w:rsid w:val="26CD17C8"/>
    <w:rsid w:val="26CF56A6"/>
    <w:rsid w:val="26D634D0"/>
    <w:rsid w:val="26E652EB"/>
    <w:rsid w:val="26E9103D"/>
    <w:rsid w:val="26E96660"/>
    <w:rsid w:val="26F07F18"/>
    <w:rsid w:val="26F45FE7"/>
    <w:rsid w:val="26FC4771"/>
    <w:rsid w:val="26FC6074"/>
    <w:rsid w:val="26FE5803"/>
    <w:rsid w:val="27040B46"/>
    <w:rsid w:val="270E552C"/>
    <w:rsid w:val="27105166"/>
    <w:rsid w:val="27124D0C"/>
    <w:rsid w:val="271522FF"/>
    <w:rsid w:val="2715471B"/>
    <w:rsid w:val="27193C48"/>
    <w:rsid w:val="271C1F74"/>
    <w:rsid w:val="272019F5"/>
    <w:rsid w:val="27244407"/>
    <w:rsid w:val="2725220C"/>
    <w:rsid w:val="272E2AEA"/>
    <w:rsid w:val="27323771"/>
    <w:rsid w:val="27330B74"/>
    <w:rsid w:val="27350F49"/>
    <w:rsid w:val="27357D48"/>
    <w:rsid w:val="27373F0A"/>
    <w:rsid w:val="27377627"/>
    <w:rsid w:val="273C2B1E"/>
    <w:rsid w:val="273D0ED6"/>
    <w:rsid w:val="273E0355"/>
    <w:rsid w:val="27436788"/>
    <w:rsid w:val="27445EF7"/>
    <w:rsid w:val="27456A64"/>
    <w:rsid w:val="274B05E8"/>
    <w:rsid w:val="274C05FB"/>
    <w:rsid w:val="2754576C"/>
    <w:rsid w:val="27565AF9"/>
    <w:rsid w:val="27587B5D"/>
    <w:rsid w:val="275E10D6"/>
    <w:rsid w:val="27611B29"/>
    <w:rsid w:val="27612461"/>
    <w:rsid w:val="276A51C5"/>
    <w:rsid w:val="276B2786"/>
    <w:rsid w:val="276C31FC"/>
    <w:rsid w:val="277339AE"/>
    <w:rsid w:val="277911CF"/>
    <w:rsid w:val="27832C28"/>
    <w:rsid w:val="27880DBB"/>
    <w:rsid w:val="27895015"/>
    <w:rsid w:val="278D5DA0"/>
    <w:rsid w:val="278F3998"/>
    <w:rsid w:val="27922987"/>
    <w:rsid w:val="27936A2D"/>
    <w:rsid w:val="2798788A"/>
    <w:rsid w:val="27A423D8"/>
    <w:rsid w:val="27A433DB"/>
    <w:rsid w:val="27B0068F"/>
    <w:rsid w:val="27B66989"/>
    <w:rsid w:val="27BC067E"/>
    <w:rsid w:val="27BE293F"/>
    <w:rsid w:val="27BF10EF"/>
    <w:rsid w:val="27C65E37"/>
    <w:rsid w:val="27CD7898"/>
    <w:rsid w:val="27CE7A10"/>
    <w:rsid w:val="27D2080C"/>
    <w:rsid w:val="27D23AC2"/>
    <w:rsid w:val="27D31585"/>
    <w:rsid w:val="27D41C77"/>
    <w:rsid w:val="27D464B5"/>
    <w:rsid w:val="27D96E4F"/>
    <w:rsid w:val="27DE17C5"/>
    <w:rsid w:val="27EC5FF6"/>
    <w:rsid w:val="27F531EF"/>
    <w:rsid w:val="27F73C55"/>
    <w:rsid w:val="280B74D8"/>
    <w:rsid w:val="280F4AF4"/>
    <w:rsid w:val="2813408B"/>
    <w:rsid w:val="282C0D6E"/>
    <w:rsid w:val="28384AAF"/>
    <w:rsid w:val="283B5434"/>
    <w:rsid w:val="283E4B96"/>
    <w:rsid w:val="283F7D80"/>
    <w:rsid w:val="2842656C"/>
    <w:rsid w:val="28491F7C"/>
    <w:rsid w:val="284D4413"/>
    <w:rsid w:val="284E7676"/>
    <w:rsid w:val="28540516"/>
    <w:rsid w:val="28544257"/>
    <w:rsid w:val="285A41C7"/>
    <w:rsid w:val="285C19DD"/>
    <w:rsid w:val="285D7235"/>
    <w:rsid w:val="28626F4D"/>
    <w:rsid w:val="2863584F"/>
    <w:rsid w:val="28655E1A"/>
    <w:rsid w:val="28725D84"/>
    <w:rsid w:val="287738A0"/>
    <w:rsid w:val="287A1F7A"/>
    <w:rsid w:val="28820056"/>
    <w:rsid w:val="28820B48"/>
    <w:rsid w:val="28835F77"/>
    <w:rsid w:val="288A7389"/>
    <w:rsid w:val="288A7BE8"/>
    <w:rsid w:val="288F19C9"/>
    <w:rsid w:val="28905EC8"/>
    <w:rsid w:val="28911E74"/>
    <w:rsid w:val="28930095"/>
    <w:rsid w:val="2896462C"/>
    <w:rsid w:val="28A569C3"/>
    <w:rsid w:val="28AE688E"/>
    <w:rsid w:val="28B01192"/>
    <w:rsid w:val="28B35196"/>
    <w:rsid w:val="28BA0B52"/>
    <w:rsid w:val="28C379A8"/>
    <w:rsid w:val="28C6195C"/>
    <w:rsid w:val="28CD6BCB"/>
    <w:rsid w:val="28CE188A"/>
    <w:rsid w:val="28CF57EE"/>
    <w:rsid w:val="28D32ADB"/>
    <w:rsid w:val="28D65EC8"/>
    <w:rsid w:val="28D91250"/>
    <w:rsid w:val="28DB1CEF"/>
    <w:rsid w:val="28DC18F6"/>
    <w:rsid w:val="28DE0B9D"/>
    <w:rsid w:val="28E56B09"/>
    <w:rsid w:val="28E604E5"/>
    <w:rsid w:val="28E742A2"/>
    <w:rsid w:val="28F5589F"/>
    <w:rsid w:val="290441E6"/>
    <w:rsid w:val="2905512D"/>
    <w:rsid w:val="29057F22"/>
    <w:rsid w:val="290964A0"/>
    <w:rsid w:val="29096874"/>
    <w:rsid w:val="290F02E0"/>
    <w:rsid w:val="2913640E"/>
    <w:rsid w:val="291C7DFF"/>
    <w:rsid w:val="291D375C"/>
    <w:rsid w:val="2921252D"/>
    <w:rsid w:val="292179E3"/>
    <w:rsid w:val="29244990"/>
    <w:rsid w:val="29267249"/>
    <w:rsid w:val="292B3F6E"/>
    <w:rsid w:val="292C1416"/>
    <w:rsid w:val="293854E3"/>
    <w:rsid w:val="293E5E69"/>
    <w:rsid w:val="294657DD"/>
    <w:rsid w:val="29534256"/>
    <w:rsid w:val="29537986"/>
    <w:rsid w:val="29546355"/>
    <w:rsid w:val="295D27FA"/>
    <w:rsid w:val="29615961"/>
    <w:rsid w:val="29654292"/>
    <w:rsid w:val="29660294"/>
    <w:rsid w:val="296A1FA5"/>
    <w:rsid w:val="29823A9F"/>
    <w:rsid w:val="298422B0"/>
    <w:rsid w:val="29881ACE"/>
    <w:rsid w:val="298D6650"/>
    <w:rsid w:val="298E65C6"/>
    <w:rsid w:val="2992375B"/>
    <w:rsid w:val="29942FB4"/>
    <w:rsid w:val="299969B4"/>
    <w:rsid w:val="299D6079"/>
    <w:rsid w:val="29A972AA"/>
    <w:rsid w:val="29AC5BC9"/>
    <w:rsid w:val="29AE12F2"/>
    <w:rsid w:val="29C2492F"/>
    <w:rsid w:val="29C6065C"/>
    <w:rsid w:val="29DA575D"/>
    <w:rsid w:val="29DD3CC6"/>
    <w:rsid w:val="29E109BD"/>
    <w:rsid w:val="29E10C04"/>
    <w:rsid w:val="29E410D2"/>
    <w:rsid w:val="29E41578"/>
    <w:rsid w:val="29E82175"/>
    <w:rsid w:val="29EA080C"/>
    <w:rsid w:val="29F34B9E"/>
    <w:rsid w:val="29F4388D"/>
    <w:rsid w:val="2A006C16"/>
    <w:rsid w:val="2A054342"/>
    <w:rsid w:val="2A084A61"/>
    <w:rsid w:val="2A097B3B"/>
    <w:rsid w:val="2A0F408F"/>
    <w:rsid w:val="2A116923"/>
    <w:rsid w:val="2A13188B"/>
    <w:rsid w:val="2A166CF9"/>
    <w:rsid w:val="2A182400"/>
    <w:rsid w:val="2A1E0433"/>
    <w:rsid w:val="2A266E06"/>
    <w:rsid w:val="2A2B2B4F"/>
    <w:rsid w:val="2A327CAA"/>
    <w:rsid w:val="2A376883"/>
    <w:rsid w:val="2A3960D2"/>
    <w:rsid w:val="2A3D43AB"/>
    <w:rsid w:val="2A465DFD"/>
    <w:rsid w:val="2A4A608F"/>
    <w:rsid w:val="2A4E1045"/>
    <w:rsid w:val="2A5E032C"/>
    <w:rsid w:val="2A5E151F"/>
    <w:rsid w:val="2A5F3C56"/>
    <w:rsid w:val="2A60129C"/>
    <w:rsid w:val="2A6E4094"/>
    <w:rsid w:val="2A727805"/>
    <w:rsid w:val="2A764D31"/>
    <w:rsid w:val="2A770899"/>
    <w:rsid w:val="2A795D00"/>
    <w:rsid w:val="2A7E1F17"/>
    <w:rsid w:val="2A806176"/>
    <w:rsid w:val="2A8832EE"/>
    <w:rsid w:val="2A8D3D6A"/>
    <w:rsid w:val="2A8F6D34"/>
    <w:rsid w:val="2A944950"/>
    <w:rsid w:val="2A961B65"/>
    <w:rsid w:val="2A983E54"/>
    <w:rsid w:val="2A987289"/>
    <w:rsid w:val="2A9939BB"/>
    <w:rsid w:val="2A995F97"/>
    <w:rsid w:val="2A9B3D76"/>
    <w:rsid w:val="2A9B6FF4"/>
    <w:rsid w:val="2A9D7C0A"/>
    <w:rsid w:val="2AA17913"/>
    <w:rsid w:val="2AA54CE3"/>
    <w:rsid w:val="2AA678FF"/>
    <w:rsid w:val="2AB040C9"/>
    <w:rsid w:val="2AB64CD8"/>
    <w:rsid w:val="2ABA461C"/>
    <w:rsid w:val="2AC5195C"/>
    <w:rsid w:val="2AC55219"/>
    <w:rsid w:val="2AC72AF1"/>
    <w:rsid w:val="2AD31F33"/>
    <w:rsid w:val="2AE122C2"/>
    <w:rsid w:val="2AE841BF"/>
    <w:rsid w:val="2AEA702D"/>
    <w:rsid w:val="2AED3A69"/>
    <w:rsid w:val="2AFF5CDF"/>
    <w:rsid w:val="2B006E4E"/>
    <w:rsid w:val="2B021DE9"/>
    <w:rsid w:val="2B036D30"/>
    <w:rsid w:val="2B082A46"/>
    <w:rsid w:val="2B0C6135"/>
    <w:rsid w:val="2B1C0195"/>
    <w:rsid w:val="2B200583"/>
    <w:rsid w:val="2B257921"/>
    <w:rsid w:val="2B30238C"/>
    <w:rsid w:val="2B3821F2"/>
    <w:rsid w:val="2B522FC0"/>
    <w:rsid w:val="2B5478F0"/>
    <w:rsid w:val="2B550763"/>
    <w:rsid w:val="2B560F68"/>
    <w:rsid w:val="2B595192"/>
    <w:rsid w:val="2B630426"/>
    <w:rsid w:val="2B72417E"/>
    <w:rsid w:val="2B7755C0"/>
    <w:rsid w:val="2B775B96"/>
    <w:rsid w:val="2B792014"/>
    <w:rsid w:val="2B7A7297"/>
    <w:rsid w:val="2B7F7280"/>
    <w:rsid w:val="2B806C7B"/>
    <w:rsid w:val="2B823FBB"/>
    <w:rsid w:val="2B87118D"/>
    <w:rsid w:val="2B8953C7"/>
    <w:rsid w:val="2B8E1D18"/>
    <w:rsid w:val="2B927C25"/>
    <w:rsid w:val="2B98179D"/>
    <w:rsid w:val="2B9B6732"/>
    <w:rsid w:val="2B9C610B"/>
    <w:rsid w:val="2BA00225"/>
    <w:rsid w:val="2BA4735E"/>
    <w:rsid w:val="2BA73620"/>
    <w:rsid w:val="2BA82214"/>
    <w:rsid w:val="2BA908CA"/>
    <w:rsid w:val="2BAC29D2"/>
    <w:rsid w:val="2BB606A0"/>
    <w:rsid w:val="2BB9649A"/>
    <w:rsid w:val="2BBA189A"/>
    <w:rsid w:val="2BBD160B"/>
    <w:rsid w:val="2BBF2BB5"/>
    <w:rsid w:val="2BCC78B8"/>
    <w:rsid w:val="2BCD6537"/>
    <w:rsid w:val="2BD074D8"/>
    <w:rsid w:val="2BD14E5F"/>
    <w:rsid w:val="2BD210A0"/>
    <w:rsid w:val="2BD277BC"/>
    <w:rsid w:val="2BDC0C70"/>
    <w:rsid w:val="2BDC4DE9"/>
    <w:rsid w:val="2BF12027"/>
    <w:rsid w:val="2BF830C2"/>
    <w:rsid w:val="2C0456A4"/>
    <w:rsid w:val="2C09584E"/>
    <w:rsid w:val="2C0D7C81"/>
    <w:rsid w:val="2C150266"/>
    <w:rsid w:val="2C2A13BB"/>
    <w:rsid w:val="2C2C2C53"/>
    <w:rsid w:val="2C2C74EF"/>
    <w:rsid w:val="2C375B9B"/>
    <w:rsid w:val="2C3C4229"/>
    <w:rsid w:val="2C3C7532"/>
    <w:rsid w:val="2C3E43B2"/>
    <w:rsid w:val="2C3F712F"/>
    <w:rsid w:val="2C406061"/>
    <w:rsid w:val="2C42277B"/>
    <w:rsid w:val="2C524043"/>
    <w:rsid w:val="2C580048"/>
    <w:rsid w:val="2C5925E0"/>
    <w:rsid w:val="2C606F92"/>
    <w:rsid w:val="2C640C94"/>
    <w:rsid w:val="2C675CD7"/>
    <w:rsid w:val="2C6A36B5"/>
    <w:rsid w:val="2C7227A0"/>
    <w:rsid w:val="2C806417"/>
    <w:rsid w:val="2C884CBE"/>
    <w:rsid w:val="2C891970"/>
    <w:rsid w:val="2C910E77"/>
    <w:rsid w:val="2C9C2A84"/>
    <w:rsid w:val="2C9D54DD"/>
    <w:rsid w:val="2C9F1FC0"/>
    <w:rsid w:val="2CAA4E7E"/>
    <w:rsid w:val="2CAC5605"/>
    <w:rsid w:val="2CAF1581"/>
    <w:rsid w:val="2CB07730"/>
    <w:rsid w:val="2CB5669A"/>
    <w:rsid w:val="2CB80D2A"/>
    <w:rsid w:val="2CBB56D6"/>
    <w:rsid w:val="2CBE324A"/>
    <w:rsid w:val="2CCB4C44"/>
    <w:rsid w:val="2CCD11AB"/>
    <w:rsid w:val="2CD13280"/>
    <w:rsid w:val="2CD22C77"/>
    <w:rsid w:val="2CD94E8D"/>
    <w:rsid w:val="2CE04FCB"/>
    <w:rsid w:val="2CE07A53"/>
    <w:rsid w:val="2CE63642"/>
    <w:rsid w:val="2CE775CE"/>
    <w:rsid w:val="2CE83797"/>
    <w:rsid w:val="2CF01304"/>
    <w:rsid w:val="2CF80295"/>
    <w:rsid w:val="2CF9287E"/>
    <w:rsid w:val="2CFD63A0"/>
    <w:rsid w:val="2CFE435C"/>
    <w:rsid w:val="2D01772A"/>
    <w:rsid w:val="2D030556"/>
    <w:rsid w:val="2D0446E5"/>
    <w:rsid w:val="2D062BC0"/>
    <w:rsid w:val="2D09580F"/>
    <w:rsid w:val="2D0B597B"/>
    <w:rsid w:val="2D1A7316"/>
    <w:rsid w:val="2D215692"/>
    <w:rsid w:val="2D231E9C"/>
    <w:rsid w:val="2D270153"/>
    <w:rsid w:val="2D2A2325"/>
    <w:rsid w:val="2D2C7AC0"/>
    <w:rsid w:val="2D2F5E76"/>
    <w:rsid w:val="2D386825"/>
    <w:rsid w:val="2D406BBF"/>
    <w:rsid w:val="2D4C221C"/>
    <w:rsid w:val="2D4E2A87"/>
    <w:rsid w:val="2D595F06"/>
    <w:rsid w:val="2D597284"/>
    <w:rsid w:val="2D617D90"/>
    <w:rsid w:val="2D6276E5"/>
    <w:rsid w:val="2D64058A"/>
    <w:rsid w:val="2D642687"/>
    <w:rsid w:val="2D66134C"/>
    <w:rsid w:val="2D67329A"/>
    <w:rsid w:val="2D6936F6"/>
    <w:rsid w:val="2D713318"/>
    <w:rsid w:val="2D7405D1"/>
    <w:rsid w:val="2D776759"/>
    <w:rsid w:val="2D7F01E9"/>
    <w:rsid w:val="2D7F1D78"/>
    <w:rsid w:val="2D8665A6"/>
    <w:rsid w:val="2D8C20F1"/>
    <w:rsid w:val="2D947EE1"/>
    <w:rsid w:val="2D9B2DB5"/>
    <w:rsid w:val="2DA869E6"/>
    <w:rsid w:val="2DB56D05"/>
    <w:rsid w:val="2DB60768"/>
    <w:rsid w:val="2DBF6B03"/>
    <w:rsid w:val="2DC067FC"/>
    <w:rsid w:val="2DC14E20"/>
    <w:rsid w:val="2DC32638"/>
    <w:rsid w:val="2DC57A67"/>
    <w:rsid w:val="2DC6188E"/>
    <w:rsid w:val="2DCE737F"/>
    <w:rsid w:val="2DD24742"/>
    <w:rsid w:val="2DD54C28"/>
    <w:rsid w:val="2DD825CE"/>
    <w:rsid w:val="2DF07E10"/>
    <w:rsid w:val="2DF14A3F"/>
    <w:rsid w:val="2DF3686D"/>
    <w:rsid w:val="2DF47030"/>
    <w:rsid w:val="2DF77041"/>
    <w:rsid w:val="2E02305A"/>
    <w:rsid w:val="2E06236E"/>
    <w:rsid w:val="2E23294C"/>
    <w:rsid w:val="2E235899"/>
    <w:rsid w:val="2E242A72"/>
    <w:rsid w:val="2E266161"/>
    <w:rsid w:val="2E324745"/>
    <w:rsid w:val="2E346348"/>
    <w:rsid w:val="2E37222B"/>
    <w:rsid w:val="2E414EC2"/>
    <w:rsid w:val="2E435AAB"/>
    <w:rsid w:val="2E46124D"/>
    <w:rsid w:val="2E51499E"/>
    <w:rsid w:val="2E5906F5"/>
    <w:rsid w:val="2E611F21"/>
    <w:rsid w:val="2E621278"/>
    <w:rsid w:val="2E642FA8"/>
    <w:rsid w:val="2E646D14"/>
    <w:rsid w:val="2E6B1EF3"/>
    <w:rsid w:val="2E6F0EBF"/>
    <w:rsid w:val="2E711FE2"/>
    <w:rsid w:val="2E81219F"/>
    <w:rsid w:val="2E874AC6"/>
    <w:rsid w:val="2E8A767F"/>
    <w:rsid w:val="2E9731AE"/>
    <w:rsid w:val="2EA0391D"/>
    <w:rsid w:val="2EAC35DD"/>
    <w:rsid w:val="2EAC7BF7"/>
    <w:rsid w:val="2EAE647C"/>
    <w:rsid w:val="2EAF0A26"/>
    <w:rsid w:val="2EB22D5C"/>
    <w:rsid w:val="2EBA18D1"/>
    <w:rsid w:val="2EBC5032"/>
    <w:rsid w:val="2EC14865"/>
    <w:rsid w:val="2EC333BA"/>
    <w:rsid w:val="2EC568BF"/>
    <w:rsid w:val="2EE31133"/>
    <w:rsid w:val="2EE8585E"/>
    <w:rsid w:val="2EF24948"/>
    <w:rsid w:val="2EF65286"/>
    <w:rsid w:val="2EF8112C"/>
    <w:rsid w:val="2EF8325B"/>
    <w:rsid w:val="2EFD75B9"/>
    <w:rsid w:val="2F0C12E7"/>
    <w:rsid w:val="2F140D6A"/>
    <w:rsid w:val="2F171B8D"/>
    <w:rsid w:val="2F173D90"/>
    <w:rsid w:val="2F20284B"/>
    <w:rsid w:val="2F2A366B"/>
    <w:rsid w:val="2F32034E"/>
    <w:rsid w:val="2F3401D9"/>
    <w:rsid w:val="2F3729CD"/>
    <w:rsid w:val="2F4610ED"/>
    <w:rsid w:val="2F47649A"/>
    <w:rsid w:val="2F490E72"/>
    <w:rsid w:val="2F4A2CF8"/>
    <w:rsid w:val="2F5069BD"/>
    <w:rsid w:val="2F530087"/>
    <w:rsid w:val="2F5B289A"/>
    <w:rsid w:val="2F5C2A3F"/>
    <w:rsid w:val="2F7D7753"/>
    <w:rsid w:val="2F7F1C4B"/>
    <w:rsid w:val="2F860267"/>
    <w:rsid w:val="2F8F12EC"/>
    <w:rsid w:val="2F983B61"/>
    <w:rsid w:val="2F9875A0"/>
    <w:rsid w:val="2F990755"/>
    <w:rsid w:val="2F9E07CF"/>
    <w:rsid w:val="2FA67362"/>
    <w:rsid w:val="2FAD4EF1"/>
    <w:rsid w:val="2FB24C3F"/>
    <w:rsid w:val="2FB63645"/>
    <w:rsid w:val="2FB904DB"/>
    <w:rsid w:val="2FBA6DA7"/>
    <w:rsid w:val="2FBE58C6"/>
    <w:rsid w:val="2FC516F9"/>
    <w:rsid w:val="2FC61FA8"/>
    <w:rsid w:val="2FCC0339"/>
    <w:rsid w:val="2FCD59B7"/>
    <w:rsid w:val="2FD1078F"/>
    <w:rsid w:val="2FD1428E"/>
    <w:rsid w:val="2FE41741"/>
    <w:rsid w:val="2FE463A7"/>
    <w:rsid w:val="2FED29FE"/>
    <w:rsid w:val="2FEF5FCC"/>
    <w:rsid w:val="2FF25609"/>
    <w:rsid w:val="2FF75775"/>
    <w:rsid w:val="2FFC6D9D"/>
    <w:rsid w:val="2FFC751F"/>
    <w:rsid w:val="300645AE"/>
    <w:rsid w:val="300C7E5C"/>
    <w:rsid w:val="301660A5"/>
    <w:rsid w:val="30166A00"/>
    <w:rsid w:val="301C6DBC"/>
    <w:rsid w:val="3022739D"/>
    <w:rsid w:val="302D58FC"/>
    <w:rsid w:val="3032071E"/>
    <w:rsid w:val="3036187B"/>
    <w:rsid w:val="30390F50"/>
    <w:rsid w:val="30455B8D"/>
    <w:rsid w:val="304D0C9B"/>
    <w:rsid w:val="304F5466"/>
    <w:rsid w:val="30513834"/>
    <w:rsid w:val="305247BD"/>
    <w:rsid w:val="30542A9A"/>
    <w:rsid w:val="305824A5"/>
    <w:rsid w:val="305D06A4"/>
    <w:rsid w:val="306131E1"/>
    <w:rsid w:val="30670DB2"/>
    <w:rsid w:val="3067258E"/>
    <w:rsid w:val="30685A07"/>
    <w:rsid w:val="3069221D"/>
    <w:rsid w:val="306D0527"/>
    <w:rsid w:val="3075498C"/>
    <w:rsid w:val="307775B4"/>
    <w:rsid w:val="307D1616"/>
    <w:rsid w:val="30845618"/>
    <w:rsid w:val="308913EC"/>
    <w:rsid w:val="308F2175"/>
    <w:rsid w:val="30965162"/>
    <w:rsid w:val="30973E7C"/>
    <w:rsid w:val="309770C1"/>
    <w:rsid w:val="30977539"/>
    <w:rsid w:val="30982F8C"/>
    <w:rsid w:val="309E5048"/>
    <w:rsid w:val="30AA279D"/>
    <w:rsid w:val="30AA4785"/>
    <w:rsid w:val="30B0406A"/>
    <w:rsid w:val="30B046C3"/>
    <w:rsid w:val="30BA5B41"/>
    <w:rsid w:val="30C34B72"/>
    <w:rsid w:val="30C63480"/>
    <w:rsid w:val="30C87F7F"/>
    <w:rsid w:val="30CC2140"/>
    <w:rsid w:val="30CF5BFB"/>
    <w:rsid w:val="30D31034"/>
    <w:rsid w:val="30D4158F"/>
    <w:rsid w:val="30D7446C"/>
    <w:rsid w:val="30DD4CE4"/>
    <w:rsid w:val="30EC76C7"/>
    <w:rsid w:val="30F73E82"/>
    <w:rsid w:val="30F93362"/>
    <w:rsid w:val="31022DB3"/>
    <w:rsid w:val="31024968"/>
    <w:rsid w:val="31041232"/>
    <w:rsid w:val="310B4535"/>
    <w:rsid w:val="311213FF"/>
    <w:rsid w:val="311624F2"/>
    <w:rsid w:val="31234993"/>
    <w:rsid w:val="31282987"/>
    <w:rsid w:val="312A3EFB"/>
    <w:rsid w:val="313422ED"/>
    <w:rsid w:val="313528AE"/>
    <w:rsid w:val="313A5D86"/>
    <w:rsid w:val="31441790"/>
    <w:rsid w:val="315E00DE"/>
    <w:rsid w:val="3161682C"/>
    <w:rsid w:val="316238A2"/>
    <w:rsid w:val="31635067"/>
    <w:rsid w:val="316628A8"/>
    <w:rsid w:val="318207D4"/>
    <w:rsid w:val="318F3AE7"/>
    <w:rsid w:val="31952B29"/>
    <w:rsid w:val="3197342A"/>
    <w:rsid w:val="319760AD"/>
    <w:rsid w:val="31A60EFA"/>
    <w:rsid w:val="31A9393A"/>
    <w:rsid w:val="31AE0E9F"/>
    <w:rsid w:val="31B53C1E"/>
    <w:rsid w:val="31B67755"/>
    <w:rsid w:val="31B77DC7"/>
    <w:rsid w:val="31BD3B20"/>
    <w:rsid w:val="31C144C0"/>
    <w:rsid w:val="31C26C43"/>
    <w:rsid w:val="31C53EB2"/>
    <w:rsid w:val="31C84229"/>
    <w:rsid w:val="31CB60AA"/>
    <w:rsid w:val="31D17DE2"/>
    <w:rsid w:val="31E52B5B"/>
    <w:rsid w:val="31E86C7D"/>
    <w:rsid w:val="31E908CF"/>
    <w:rsid w:val="31E9382B"/>
    <w:rsid w:val="31EA494F"/>
    <w:rsid w:val="31EB1F49"/>
    <w:rsid w:val="31F225C5"/>
    <w:rsid w:val="31F22E66"/>
    <w:rsid w:val="31F25830"/>
    <w:rsid w:val="31F40DDF"/>
    <w:rsid w:val="31F71631"/>
    <w:rsid w:val="31FB1B43"/>
    <w:rsid w:val="3200347C"/>
    <w:rsid w:val="32035BA4"/>
    <w:rsid w:val="321533C9"/>
    <w:rsid w:val="321B58AA"/>
    <w:rsid w:val="32286C25"/>
    <w:rsid w:val="322909A3"/>
    <w:rsid w:val="32302A1F"/>
    <w:rsid w:val="32345994"/>
    <w:rsid w:val="3235348F"/>
    <w:rsid w:val="323D20EF"/>
    <w:rsid w:val="323D6590"/>
    <w:rsid w:val="324D1998"/>
    <w:rsid w:val="32537571"/>
    <w:rsid w:val="32541EC7"/>
    <w:rsid w:val="325427F0"/>
    <w:rsid w:val="32547A11"/>
    <w:rsid w:val="32592468"/>
    <w:rsid w:val="325B3380"/>
    <w:rsid w:val="326029F3"/>
    <w:rsid w:val="32641B14"/>
    <w:rsid w:val="32726880"/>
    <w:rsid w:val="327C5BE2"/>
    <w:rsid w:val="32831F92"/>
    <w:rsid w:val="32880BDF"/>
    <w:rsid w:val="32886CA1"/>
    <w:rsid w:val="328A7A25"/>
    <w:rsid w:val="329426C3"/>
    <w:rsid w:val="32B1065A"/>
    <w:rsid w:val="32B305DC"/>
    <w:rsid w:val="32B5324B"/>
    <w:rsid w:val="32B86BAF"/>
    <w:rsid w:val="32D060C6"/>
    <w:rsid w:val="32D806A9"/>
    <w:rsid w:val="32DA1C23"/>
    <w:rsid w:val="32DA7B81"/>
    <w:rsid w:val="32EC1987"/>
    <w:rsid w:val="32F3138B"/>
    <w:rsid w:val="32FF47A8"/>
    <w:rsid w:val="33005075"/>
    <w:rsid w:val="33011520"/>
    <w:rsid w:val="330428CD"/>
    <w:rsid w:val="33202722"/>
    <w:rsid w:val="332311AE"/>
    <w:rsid w:val="332D2BAB"/>
    <w:rsid w:val="332E5EB8"/>
    <w:rsid w:val="33337E13"/>
    <w:rsid w:val="3336631F"/>
    <w:rsid w:val="334019F3"/>
    <w:rsid w:val="33404A80"/>
    <w:rsid w:val="3340546D"/>
    <w:rsid w:val="334070CE"/>
    <w:rsid w:val="334B1B0E"/>
    <w:rsid w:val="33587FBC"/>
    <w:rsid w:val="33601643"/>
    <w:rsid w:val="33674F91"/>
    <w:rsid w:val="33721EC3"/>
    <w:rsid w:val="33732BDE"/>
    <w:rsid w:val="3376039D"/>
    <w:rsid w:val="3378017E"/>
    <w:rsid w:val="33782405"/>
    <w:rsid w:val="33786EAA"/>
    <w:rsid w:val="33876CEB"/>
    <w:rsid w:val="33892A33"/>
    <w:rsid w:val="338C479F"/>
    <w:rsid w:val="33A233EB"/>
    <w:rsid w:val="33A31AC7"/>
    <w:rsid w:val="33A3324D"/>
    <w:rsid w:val="33B4149E"/>
    <w:rsid w:val="33BA6953"/>
    <w:rsid w:val="33BC6E52"/>
    <w:rsid w:val="33BF260E"/>
    <w:rsid w:val="33C0466A"/>
    <w:rsid w:val="33C208CD"/>
    <w:rsid w:val="33C92A4B"/>
    <w:rsid w:val="33CB49DD"/>
    <w:rsid w:val="33CD6A3C"/>
    <w:rsid w:val="33D163BC"/>
    <w:rsid w:val="33E670F2"/>
    <w:rsid w:val="33E87B2E"/>
    <w:rsid w:val="33EC5B2C"/>
    <w:rsid w:val="33F54817"/>
    <w:rsid w:val="34025664"/>
    <w:rsid w:val="34030EB5"/>
    <w:rsid w:val="340A5CD2"/>
    <w:rsid w:val="340C03BD"/>
    <w:rsid w:val="341369A1"/>
    <w:rsid w:val="341E4DF5"/>
    <w:rsid w:val="342F3D0F"/>
    <w:rsid w:val="343406AF"/>
    <w:rsid w:val="343466C3"/>
    <w:rsid w:val="344248B4"/>
    <w:rsid w:val="344709DF"/>
    <w:rsid w:val="344B43A5"/>
    <w:rsid w:val="344D3C22"/>
    <w:rsid w:val="345219FE"/>
    <w:rsid w:val="3455717E"/>
    <w:rsid w:val="3458216E"/>
    <w:rsid w:val="346077B7"/>
    <w:rsid w:val="346F1CA7"/>
    <w:rsid w:val="346F64E2"/>
    <w:rsid w:val="3473070E"/>
    <w:rsid w:val="34785A1C"/>
    <w:rsid w:val="347E7B42"/>
    <w:rsid w:val="348246D3"/>
    <w:rsid w:val="34837151"/>
    <w:rsid w:val="348C44BF"/>
    <w:rsid w:val="348C7FC0"/>
    <w:rsid w:val="348E5B90"/>
    <w:rsid w:val="34911F78"/>
    <w:rsid w:val="34943AF1"/>
    <w:rsid w:val="34987F91"/>
    <w:rsid w:val="34A84774"/>
    <w:rsid w:val="34B34E8B"/>
    <w:rsid w:val="34B53719"/>
    <w:rsid w:val="34B56BE2"/>
    <w:rsid w:val="34B92F8F"/>
    <w:rsid w:val="34BB3B4A"/>
    <w:rsid w:val="34BD02F4"/>
    <w:rsid w:val="34BD7781"/>
    <w:rsid w:val="34C21CFC"/>
    <w:rsid w:val="34CD4AB6"/>
    <w:rsid w:val="34CE3899"/>
    <w:rsid w:val="34CF3D1E"/>
    <w:rsid w:val="34D4009C"/>
    <w:rsid w:val="34D87389"/>
    <w:rsid w:val="34E1511D"/>
    <w:rsid w:val="34E43AD0"/>
    <w:rsid w:val="34E63DE3"/>
    <w:rsid w:val="34EB2B32"/>
    <w:rsid w:val="34F4516F"/>
    <w:rsid w:val="34FD56FC"/>
    <w:rsid w:val="35001C1E"/>
    <w:rsid w:val="350141FD"/>
    <w:rsid w:val="350213CB"/>
    <w:rsid w:val="3509072E"/>
    <w:rsid w:val="350C20E5"/>
    <w:rsid w:val="350E629F"/>
    <w:rsid w:val="350E7605"/>
    <w:rsid w:val="35133809"/>
    <w:rsid w:val="35143AAB"/>
    <w:rsid w:val="351B3A0C"/>
    <w:rsid w:val="351C2A2C"/>
    <w:rsid w:val="352A226A"/>
    <w:rsid w:val="352D4BEC"/>
    <w:rsid w:val="352D6EC9"/>
    <w:rsid w:val="35321D59"/>
    <w:rsid w:val="35396886"/>
    <w:rsid w:val="353B0E03"/>
    <w:rsid w:val="35402FCB"/>
    <w:rsid w:val="35405C71"/>
    <w:rsid w:val="35445725"/>
    <w:rsid w:val="354B19B5"/>
    <w:rsid w:val="354C78E3"/>
    <w:rsid w:val="35596C73"/>
    <w:rsid w:val="35605C72"/>
    <w:rsid w:val="35617660"/>
    <w:rsid w:val="35656D83"/>
    <w:rsid w:val="357022D8"/>
    <w:rsid w:val="357046F6"/>
    <w:rsid w:val="357D3F07"/>
    <w:rsid w:val="3580140B"/>
    <w:rsid w:val="35825E05"/>
    <w:rsid w:val="35842D5B"/>
    <w:rsid w:val="35851035"/>
    <w:rsid w:val="358C2EC2"/>
    <w:rsid w:val="35A13095"/>
    <w:rsid w:val="35A316F1"/>
    <w:rsid w:val="35A43E44"/>
    <w:rsid w:val="35A63D7A"/>
    <w:rsid w:val="35A67DCB"/>
    <w:rsid w:val="35AB2B9D"/>
    <w:rsid w:val="35AD4557"/>
    <w:rsid w:val="35B11BFE"/>
    <w:rsid w:val="35B20191"/>
    <w:rsid w:val="35B340E9"/>
    <w:rsid w:val="35C1030F"/>
    <w:rsid w:val="35C276E9"/>
    <w:rsid w:val="35C3001C"/>
    <w:rsid w:val="35C31A40"/>
    <w:rsid w:val="35CA4616"/>
    <w:rsid w:val="35D92FBD"/>
    <w:rsid w:val="35DB4F9E"/>
    <w:rsid w:val="35F23413"/>
    <w:rsid w:val="35F37FDF"/>
    <w:rsid w:val="35F80EF6"/>
    <w:rsid w:val="35FC6581"/>
    <w:rsid w:val="3604562C"/>
    <w:rsid w:val="36093847"/>
    <w:rsid w:val="3614786C"/>
    <w:rsid w:val="36176A26"/>
    <w:rsid w:val="36186B7F"/>
    <w:rsid w:val="361B6E21"/>
    <w:rsid w:val="361E6698"/>
    <w:rsid w:val="3622069D"/>
    <w:rsid w:val="362353C9"/>
    <w:rsid w:val="36281795"/>
    <w:rsid w:val="362A676B"/>
    <w:rsid w:val="362C21C7"/>
    <w:rsid w:val="362E0B58"/>
    <w:rsid w:val="363371CE"/>
    <w:rsid w:val="363478F3"/>
    <w:rsid w:val="36413181"/>
    <w:rsid w:val="36430154"/>
    <w:rsid w:val="36446322"/>
    <w:rsid w:val="364A6768"/>
    <w:rsid w:val="365B26BE"/>
    <w:rsid w:val="365C6262"/>
    <w:rsid w:val="36601E1A"/>
    <w:rsid w:val="3668085F"/>
    <w:rsid w:val="36692134"/>
    <w:rsid w:val="366D064D"/>
    <w:rsid w:val="367C6E23"/>
    <w:rsid w:val="368E2DAC"/>
    <w:rsid w:val="36916B76"/>
    <w:rsid w:val="36952F2E"/>
    <w:rsid w:val="369B188F"/>
    <w:rsid w:val="369D6F2B"/>
    <w:rsid w:val="369E6F5B"/>
    <w:rsid w:val="36A14FA8"/>
    <w:rsid w:val="36A80D44"/>
    <w:rsid w:val="36B15492"/>
    <w:rsid w:val="36B63F76"/>
    <w:rsid w:val="36B648FA"/>
    <w:rsid w:val="36BD09EB"/>
    <w:rsid w:val="36C1186E"/>
    <w:rsid w:val="36C4377B"/>
    <w:rsid w:val="36CE209B"/>
    <w:rsid w:val="36CF5956"/>
    <w:rsid w:val="36D53D29"/>
    <w:rsid w:val="36E54337"/>
    <w:rsid w:val="36E552B6"/>
    <w:rsid w:val="36E73AC9"/>
    <w:rsid w:val="36EA6EDD"/>
    <w:rsid w:val="36EB27A6"/>
    <w:rsid w:val="36EB6D06"/>
    <w:rsid w:val="36ED36B3"/>
    <w:rsid w:val="36F24ACE"/>
    <w:rsid w:val="36F62A4D"/>
    <w:rsid w:val="36F932E5"/>
    <w:rsid w:val="36F95E87"/>
    <w:rsid w:val="36FA3712"/>
    <w:rsid w:val="37036214"/>
    <w:rsid w:val="370B1EEB"/>
    <w:rsid w:val="3710439A"/>
    <w:rsid w:val="37121DA5"/>
    <w:rsid w:val="371510DC"/>
    <w:rsid w:val="37213410"/>
    <w:rsid w:val="372C1F28"/>
    <w:rsid w:val="37324B4B"/>
    <w:rsid w:val="37334490"/>
    <w:rsid w:val="3737303B"/>
    <w:rsid w:val="373D070E"/>
    <w:rsid w:val="374671C6"/>
    <w:rsid w:val="37481929"/>
    <w:rsid w:val="374A6261"/>
    <w:rsid w:val="37506307"/>
    <w:rsid w:val="37543A1A"/>
    <w:rsid w:val="375921CE"/>
    <w:rsid w:val="375B14B2"/>
    <w:rsid w:val="375B4E9D"/>
    <w:rsid w:val="37690BB4"/>
    <w:rsid w:val="37721343"/>
    <w:rsid w:val="3779613F"/>
    <w:rsid w:val="37837A22"/>
    <w:rsid w:val="37860386"/>
    <w:rsid w:val="3793368D"/>
    <w:rsid w:val="37970CA2"/>
    <w:rsid w:val="37980E16"/>
    <w:rsid w:val="379D2B04"/>
    <w:rsid w:val="379E7831"/>
    <w:rsid w:val="37A42F05"/>
    <w:rsid w:val="37AE30E4"/>
    <w:rsid w:val="37B008F2"/>
    <w:rsid w:val="37B23BB7"/>
    <w:rsid w:val="37BA4B9E"/>
    <w:rsid w:val="37C24907"/>
    <w:rsid w:val="37D92325"/>
    <w:rsid w:val="37DA1B9F"/>
    <w:rsid w:val="37DD0E36"/>
    <w:rsid w:val="37E035AD"/>
    <w:rsid w:val="37E24544"/>
    <w:rsid w:val="37E823F3"/>
    <w:rsid w:val="37F80821"/>
    <w:rsid w:val="380753E8"/>
    <w:rsid w:val="380E7477"/>
    <w:rsid w:val="38143B19"/>
    <w:rsid w:val="381576F7"/>
    <w:rsid w:val="381B2FA8"/>
    <w:rsid w:val="381C4AA2"/>
    <w:rsid w:val="381D2816"/>
    <w:rsid w:val="38205318"/>
    <w:rsid w:val="38210EBF"/>
    <w:rsid w:val="38216C41"/>
    <w:rsid w:val="38222111"/>
    <w:rsid w:val="38342A94"/>
    <w:rsid w:val="383627A4"/>
    <w:rsid w:val="38487925"/>
    <w:rsid w:val="384F5D6F"/>
    <w:rsid w:val="38527E34"/>
    <w:rsid w:val="385852C8"/>
    <w:rsid w:val="385C7841"/>
    <w:rsid w:val="38685216"/>
    <w:rsid w:val="386F32B1"/>
    <w:rsid w:val="387A3BD6"/>
    <w:rsid w:val="388D5D1D"/>
    <w:rsid w:val="38985118"/>
    <w:rsid w:val="38994A72"/>
    <w:rsid w:val="38997BC6"/>
    <w:rsid w:val="389B749B"/>
    <w:rsid w:val="38AA7171"/>
    <w:rsid w:val="38AC4481"/>
    <w:rsid w:val="38AF5165"/>
    <w:rsid w:val="38B1066F"/>
    <w:rsid w:val="38B316EC"/>
    <w:rsid w:val="38B33AE5"/>
    <w:rsid w:val="38C0087B"/>
    <w:rsid w:val="38C60035"/>
    <w:rsid w:val="38C60799"/>
    <w:rsid w:val="38C6398A"/>
    <w:rsid w:val="38CB19F5"/>
    <w:rsid w:val="38CC7763"/>
    <w:rsid w:val="38D32E71"/>
    <w:rsid w:val="38E210EA"/>
    <w:rsid w:val="38ED1561"/>
    <w:rsid w:val="38EE45D4"/>
    <w:rsid w:val="38F11608"/>
    <w:rsid w:val="39073E2D"/>
    <w:rsid w:val="39081F86"/>
    <w:rsid w:val="390B28DB"/>
    <w:rsid w:val="390C7E70"/>
    <w:rsid w:val="390D512B"/>
    <w:rsid w:val="390E1C72"/>
    <w:rsid w:val="39150C32"/>
    <w:rsid w:val="39205BF2"/>
    <w:rsid w:val="392223AD"/>
    <w:rsid w:val="39273424"/>
    <w:rsid w:val="3937246E"/>
    <w:rsid w:val="393A7C88"/>
    <w:rsid w:val="39435B0A"/>
    <w:rsid w:val="394B008A"/>
    <w:rsid w:val="39510A4E"/>
    <w:rsid w:val="3957662A"/>
    <w:rsid w:val="395821C1"/>
    <w:rsid w:val="395B6981"/>
    <w:rsid w:val="396425A0"/>
    <w:rsid w:val="396864FB"/>
    <w:rsid w:val="396A584D"/>
    <w:rsid w:val="396D169D"/>
    <w:rsid w:val="396D6910"/>
    <w:rsid w:val="396E0BE9"/>
    <w:rsid w:val="396F75A6"/>
    <w:rsid w:val="3979311F"/>
    <w:rsid w:val="39836D85"/>
    <w:rsid w:val="39881A08"/>
    <w:rsid w:val="398F36B2"/>
    <w:rsid w:val="3997257A"/>
    <w:rsid w:val="3997524C"/>
    <w:rsid w:val="39983D66"/>
    <w:rsid w:val="399E0D4B"/>
    <w:rsid w:val="39B22BED"/>
    <w:rsid w:val="39D07CB6"/>
    <w:rsid w:val="39E2530F"/>
    <w:rsid w:val="39E3397E"/>
    <w:rsid w:val="39FD46B3"/>
    <w:rsid w:val="3A084A54"/>
    <w:rsid w:val="3A0C1276"/>
    <w:rsid w:val="3A0C6764"/>
    <w:rsid w:val="3A0C7680"/>
    <w:rsid w:val="3A150C39"/>
    <w:rsid w:val="3A1C7A4F"/>
    <w:rsid w:val="3A33141C"/>
    <w:rsid w:val="3A376CA4"/>
    <w:rsid w:val="3A4131A7"/>
    <w:rsid w:val="3A4E58A1"/>
    <w:rsid w:val="3A64224B"/>
    <w:rsid w:val="3A694A16"/>
    <w:rsid w:val="3A6C031D"/>
    <w:rsid w:val="3A6E3ACE"/>
    <w:rsid w:val="3A7E5B37"/>
    <w:rsid w:val="3A854879"/>
    <w:rsid w:val="3A86117D"/>
    <w:rsid w:val="3A8762C7"/>
    <w:rsid w:val="3A894B20"/>
    <w:rsid w:val="3A8E1DC5"/>
    <w:rsid w:val="3A8E7448"/>
    <w:rsid w:val="3A8F3D45"/>
    <w:rsid w:val="3AA22B0F"/>
    <w:rsid w:val="3AA33BE7"/>
    <w:rsid w:val="3AAC500A"/>
    <w:rsid w:val="3ABD40B4"/>
    <w:rsid w:val="3AC853FE"/>
    <w:rsid w:val="3ADD335D"/>
    <w:rsid w:val="3AE87FF7"/>
    <w:rsid w:val="3AFF77E4"/>
    <w:rsid w:val="3B0045F2"/>
    <w:rsid w:val="3B06613B"/>
    <w:rsid w:val="3B081A2D"/>
    <w:rsid w:val="3B09198A"/>
    <w:rsid w:val="3B0A65D0"/>
    <w:rsid w:val="3B145AB1"/>
    <w:rsid w:val="3B1A06F6"/>
    <w:rsid w:val="3B1D0B14"/>
    <w:rsid w:val="3B201D9A"/>
    <w:rsid w:val="3B214065"/>
    <w:rsid w:val="3B274A2D"/>
    <w:rsid w:val="3B2A35C2"/>
    <w:rsid w:val="3B2C52B4"/>
    <w:rsid w:val="3B31529E"/>
    <w:rsid w:val="3B34525D"/>
    <w:rsid w:val="3B345EFD"/>
    <w:rsid w:val="3B356485"/>
    <w:rsid w:val="3B3A4C24"/>
    <w:rsid w:val="3B4527BA"/>
    <w:rsid w:val="3B48142D"/>
    <w:rsid w:val="3B4B2D10"/>
    <w:rsid w:val="3B4D436A"/>
    <w:rsid w:val="3B5126CD"/>
    <w:rsid w:val="3B5C2164"/>
    <w:rsid w:val="3B665C90"/>
    <w:rsid w:val="3B6726CB"/>
    <w:rsid w:val="3B73034C"/>
    <w:rsid w:val="3B740F72"/>
    <w:rsid w:val="3B794B15"/>
    <w:rsid w:val="3B7C7545"/>
    <w:rsid w:val="3B7D3096"/>
    <w:rsid w:val="3B850B65"/>
    <w:rsid w:val="3B922A97"/>
    <w:rsid w:val="3B9437A0"/>
    <w:rsid w:val="3B9C0B0E"/>
    <w:rsid w:val="3B9D48D8"/>
    <w:rsid w:val="3BA30298"/>
    <w:rsid w:val="3BA54088"/>
    <w:rsid w:val="3BA9152A"/>
    <w:rsid w:val="3BAE2D4D"/>
    <w:rsid w:val="3BB14587"/>
    <w:rsid w:val="3BBF615D"/>
    <w:rsid w:val="3BC905A8"/>
    <w:rsid w:val="3BCB67C6"/>
    <w:rsid w:val="3BCE5053"/>
    <w:rsid w:val="3BD473BC"/>
    <w:rsid w:val="3BE25AB8"/>
    <w:rsid w:val="3BE26D23"/>
    <w:rsid w:val="3BE606BC"/>
    <w:rsid w:val="3BEB35D7"/>
    <w:rsid w:val="3BEB3F6D"/>
    <w:rsid w:val="3BF16ADB"/>
    <w:rsid w:val="3BF44C6E"/>
    <w:rsid w:val="3BF83440"/>
    <w:rsid w:val="3BFB62BE"/>
    <w:rsid w:val="3C071286"/>
    <w:rsid w:val="3C0D60D2"/>
    <w:rsid w:val="3C0F6ACB"/>
    <w:rsid w:val="3C12566B"/>
    <w:rsid w:val="3C1A5DA4"/>
    <w:rsid w:val="3C376100"/>
    <w:rsid w:val="3C407E5F"/>
    <w:rsid w:val="3C4C6B56"/>
    <w:rsid w:val="3C4E5618"/>
    <w:rsid w:val="3C504EEB"/>
    <w:rsid w:val="3C5C50FB"/>
    <w:rsid w:val="3C5D6058"/>
    <w:rsid w:val="3C6247EB"/>
    <w:rsid w:val="3C6D7A8B"/>
    <w:rsid w:val="3C7004EA"/>
    <w:rsid w:val="3C7034C7"/>
    <w:rsid w:val="3C7108E1"/>
    <w:rsid w:val="3C75029F"/>
    <w:rsid w:val="3C77125C"/>
    <w:rsid w:val="3C771FCD"/>
    <w:rsid w:val="3C7B1D6D"/>
    <w:rsid w:val="3C7F7D6A"/>
    <w:rsid w:val="3C8B5A78"/>
    <w:rsid w:val="3C8C4F0F"/>
    <w:rsid w:val="3C933FD6"/>
    <w:rsid w:val="3C945435"/>
    <w:rsid w:val="3C9B1866"/>
    <w:rsid w:val="3C9C5BBC"/>
    <w:rsid w:val="3C9E475F"/>
    <w:rsid w:val="3CA0775C"/>
    <w:rsid w:val="3CAB718C"/>
    <w:rsid w:val="3CC0735F"/>
    <w:rsid w:val="3CC1609E"/>
    <w:rsid w:val="3CC863F6"/>
    <w:rsid w:val="3CD07443"/>
    <w:rsid w:val="3CD875EF"/>
    <w:rsid w:val="3CDA6535"/>
    <w:rsid w:val="3CE44BD1"/>
    <w:rsid w:val="3CE6684C"/>
    <w:rsid w:val="3CF35B51"/>
    <w:rsid w:val="3CFA2F6D"/>
    <w:rsid w:val="3CFE161B"/>
    <w:rsid w:val="3D074972"/>
    <w:rsid w:val="3D0B7DDB"/>
    <w:rsid w:val="3D1167A5"/>
    <w:rsid w:val="3D153FB2"/>
    <w:rsid w:val="3D202DEA"/>
    <w:rsid w:val="3D2505F9"/>
    <w:rsid w:val="3D281519"/>
    <w:rsid w:val="3D307739"/>
    <w:rsid w:val="3D33006C"/>
    <w:rsid w:val="3D3D7AE6"/>
    <w:rsid w:val="3D4563FC"/>
    <w:rsid w:val="3D4833B9"/>
    <w:rsid w:val="3D4A73A0"/>
    <w:rsid w:val="3D553D12"/>
    <w:rsid w:val="3D596DC7"/>
    <w:rsid w:val="3D5B2C6E"/>
    <w:rsid w:val="3D624894"/>
    <w:rsid w:val="3D6E1614"/>
    <w:rsid w:val="3D6E16F2"/>
    <w:rsid w:val="3D700B92"/>
    <w:rsid w:val="3D7801B7"/>
    <w:rsid w:val="3D796D08"/>
    <w:rsid w:val="3D864D09"/>
    <w:rsid w:val="3D9B7E26"/>
    <w:rsid w:val="3DA12B32"/>
    <w:rsid w:val="3DA22C76"/>
    <w:rsid w:val="3DA3334E"/>
    <w:rsid w:val="3DA55EF8"/>
    <w:rsid w:val="3DAD4809"/>
    <w:rsid w:val="3DB41E89"/>
    <w:rsid w:val="3DB6132B"/>
    <w:rsid w:val="3DB619C1"/>
    <w:rsid w:val="3DBB1847"/>
    <w:rsid w:val="3DBB40A2"/>
    <w:rsid w:val="3DBB6CBA"/>
    <w:rsid w:val="3DC72A7B"/>
    <w:rsid w:val="3DC81149"/>
    <w:rsid w:val="3DCC70CF"/>
    <w:rsid w:val="3DCE7B50"/>
    <w:rsid w:val="3DD00C02"/>
    <w:rsid w:val="3DD027CE"/>
    <w:rsid w:val="3DDA6B04"/>
    <w:rsid w:val="3DDA7FCC"/>
    <w:rsid w:val="3DDD0B25"/>
    <w:rsid w:val="3DDD4503"/>
    <w:rsid w:val="3DE4406C"/>
    <w:rsid w:val="3DEB04AE"/>
    <w:rsid w:val="3DEB18EB"/>
    <w:rsid w:val="3DF149DB"/>
    <w:rsid w:val="3DF763EF"/>
    <w:rsid w:val="3DFD0810"/>
    <w:rsid w:val="3E010643"/>
    <w:rsid w:val="3E0C7A75"/>
    <w:rsid w:val="3E0E75F6"/>
    <w:rsid w:val="3E0F79F9"/>
    <w:rsid w:val="3E175BB1"/>
    <w:rsid w:val="3E1F1CBC"/>
    <w:rsid w:val="3E24573B"/>
    <w:rsid w:val="3E2940EB"/>
    <w:rsid w:val="3E2B218A"/>
    <w:rsid w:val="3E2C0B72"/>
    <w:rsid w:val="3E3E269A"/>
    <w:rsid w:val="3E4A7989"/>
    <w:rsid w:val="3E50677D"/>
    <w:rsid w:val="3E5369DE"/>
    <w:rsid w:val="3E596F07"/>
    <w:rsid w:val="3E5A6AF8"/>
    <w:rsid w:val="3E5F1092"/>
    <w:rsid w:val="3E6C1442"/>
    <w:rsid w:val="3E6D3337"/>
    <w:rsid w:val="3E6E293C"/>
    <w:rsid w:val="3E6E40E8"/>
    <w:rsid w:val="3E7114D2"/>
    <w:rsid w:val="3E83618B"/>
    <w:rsid w:val="3E853EF3"/>
    <w:rsid w:val="3E867120"/>
    <w:rsid w:val="3E8867A3"/>
    <w:rsid w:val="3E8F5799"/>
    <w:rsid w:val="3E9041D6"/>
    <w:rsid w:val="3E915950"/>
    <w:rsid w:val="3E9171EE"/>
    <w:rsid w:val="3E950732"/>
    <w:rsid w:val="3E9606F3"/>
    <w:rsid w:val="3E973EE7"/>
    <w:rsid w:val="3E994036"/>
    <w:rsid w:val="3E9A732E"/>
    <w:rsid w:val="3E9E3D4D"/>
    <w:rsid w:val="3EA1241B"/>
    <w:rsid w:val="3EA50AA2"/>
    <w:rsid w:val="3EA61BCE"/>
    <w:rsid w:val="3EB005D1"/>
    <w:rsid w:val="3EB103EB"/>
    <w:rsid w:val="3EB15164"/>
    <w:rsid w:val="3EB330D4"/>
    <w:rsid w:val="3EBC617E"/>
    <w:rsid w:val="3EBE6228"/>
    <w:rsid w:val="3ED94B82"/>
    <w:rsid w:val="3EE20671"/>
    <w:rsid w:val="3EE51A93"/>
    <w:rsid w:val="3EEA5180"/>
    <w:rsid w:val="3EEA6C63"/>
    <w:rsid w:val="3EEE782C"/>
    <w:rsid w:val="3EF22DDD"/>
    <w:rsid w:val="3EFA37D8"/>
    <w:rsid w:val="3F090E42"/>
    <w:rsid w:val="3F133AC2"/>
    <w:rsid w:val="3F154FF7"/>
    <w:rsid w:val="3F2E749D"/>
    <w:rsid w:val="3F302EDD"/>
    <w:rsid w:val="3F356B38"/>
    <w:rsid w:val="3F421DC7"/>
    <w:rsid w:val="3F4229E1"/>
    <w:rsid w:val="3F45465A"/>
    <w:rsid w:val="3F47776D"/>
    <w:rsid w:val="3F4D64F7"/>
    <w:rsid w:val="3F4F1CD1"/>
    <w:rsid w:val="3F5321B0"/>
    <w:rsid w:val="3F5470C4"/>
    <w:rsid w:val="3F5B0226"/>
    <w:rsid w:val="3F5C2EBA"/>
    <w:rsid w:val="3F5E7281"/>
    <w:rsid w:val="3F674235"/>
    <w:rsid w:val="3F695B89"/>
    <w:rsid w:val="3F6E180E"/>
    <w:rsid w:val="3F6F5196"/>
    <w:rsid w:val="3F72085A"/>
    <w:rsid w:val="3F732A20"/>
    <w:rsid w:val="3F7D18D9"/>
    <w:rsid w:val="3F7F03E4"/>
    <w:rsid w:val="3F8774E6"/>
    <w:rsid w:val="3F883BAC"/>
    <w:rsid w:val="3F8D00B6"/>
    <w:rsid w:val="3F984EFC"/>
    <w:rsid w:val="3FA93A5D"/>
    <w:rsid w:val="3FAA298C"/>
    <w:rsid w:val="3FAA739E"/>
    <w:rsid w:val="3FAB32AD"/>
    <w:rsid w:val="3FAE5324"/>
    <w:rsid w:val="3FB874AD"/>
    <w:rsid w:val="3FB917DC"/>
    <w:rsid w:val="3FC36314"/>
    <w:rsid w:val="3FD0413E"/>
    <w:rsid w:val="3FD52B3C"/>
    <w:rsid w:val="3FEE07D1"/>
    <w:rsid w:val="3FF80313"/>
    <w:rsid w:val="3FF92665"/>
    <w:rsid w:val="3FFA4190"/>
    <w:rsid w:val="40031CC7"/>
    <w:rsid w:val="40051832"/>
    <w:rsid w:val="40053E5C"/>
    <w:rsid w:val="401B46D5"/>
    <w:rsid w:val="401D7AC3"/>
    <w:rsid w:val="4023274F"/>
    <w:rsid w:val="402D1DF9"/>
    <w:rsid w:val="402E4204"/>
    <w:rsid w:val="402F2A72"/>
    <w:rsid w:val="40324403"/>
    <w:rsid w:val="40352B89"/>
    <w:rsid w:val="40357A4D"/>
    <w:rsid w:val="40363452"/>
    <w:rsid w:val="403F1069"/>
    <w:rsid w:val="40401F80"/>
    <w:rsid w:val="404E667A"/>
    <w:rsid w:val="405271F5"/>
    <w:rsid w:val="405B3410"/>
    <w:rsid w:val="40605FC9"/>
    <w:rsid w:val="40643295"/>
    <w:rsid w:val="406928DF"/>
    <w:rsid w:val="406B611F"/>
    <w:rsid w:val="406D7DB9"/>
    <w:rsid w:val="407171DC"/>
    <w:rsid w:val="40725888"/>
    <w:rsid w:val="40736C0E"/>
    <w:rsid w:val="407546DE"/>
    <w:rsid w:val="407A2863"/>
    <w:rsid w:val="407E1DF0"/>
    <w:rsid w:val="4083136F"/>
    <w:rsid w:val="40853DB9"/>
    <w:rsid w:val="408A06FE"/>
    <w:rsid w:val="408A61B3"/>
    <w:rsid w:val="40941E0F"/>
    <w:rsid w:val="40B373C5"/>
    <w:rsid w:val="40B5463E"/>
    <w:rsid w:val="40B94D9A"/>
    <w:rsid w:val="40C12E40"/>
    <w:rsid w:val="40C16472"/>
    <w:rsid w:val="40C93A58"/>
    <w:rsid w:val="40D00CF4"/>
    <w:rsid w:val="40D221C4"/>
    <w:rsid w:val="40D5471B"/>
    <w:rsid w:val="40DA0AFC"/>
    <w:rsid w:val="40DD59A1"/>
    <w:rsid w:val="40E654CF"/>
    <w:rsid w:val="40EC0C38"/>
    <w:rsid w:val="40F24C14"/>
    <w:rsid w:val="40F35D13"/>
    <w:rsid w:val="40F4279A"/>
    <w:rsid w:val="40FB4F76"/>
    <w:rsid w:val="410A19CE"/>
    <w:rsid w:val="410D1AB0"/>
    <w:rsid w:val="410F2287"/>
    <w:rsid w:val="410F5BD0"/>
    <w:rsid w:val="41161EEC"/>
    <w:rsid w:val="41173F71"/>
    <w:rsid w:val="411A5972"/>
    <w:rsid w:val="411C4A89"/>
    <w:rsid w:val="411D1FB3"/>
    <w:rsid w:val="4126384E"/>
    <w:rsid w:val="413063D4"/>
    <w:rsid w:val="413257A6"/>
    <w:rsid w:val="413816C4"/>
    <w:rsid w:val="41457A45"/>
    <w:rsid w:val="415759AC"/>
    <w:rsid w:val="415D67CA"/>
    <w:rsid w:val="4167007B"/>
    <w:rsid w:val="416C023C"/>
    <w:rsid w:val="416C7D50"/>
    <w:rsid w:val="416F22F7"/>
    <w:rsid w:val="418D1961"/>
    <w:rsid w:val="418D53F6"/>
    <w:rsid w:val="41900DD4"/>
    <w:rsid w:val="41947418"/>
    <w:rsid w:val="419631B0"/>
    <w:rsid w:val="41964069"/>
    <w:rsid w:val="419B0810"/>
    <w:rsid w:val="419B2B4F"/>
    <w:rsid w:val="419C5F3E"/>
    <w:rsid w:val="419E1CB3"/>
    <w:rsid w:val="41A629B3"/>
    <w:rsid w:val="41A91196"/>
    <w:rsid w:val="41A97BFC"/>
    <w:rsid w:val="41B15D55"/>
    <w:rsid w:val="41B5013C"/>
    <w:rsid w:val="41CD7632"/>
    <w:rsid w:val="41CE1756"/>
    <w:rsid w:val="41CF4FFC"/>
    <w:rsid w:val="41CF7036"/>
    <w:rsid w:val="41D91599"/>
    <w:rsid w:val="41E611B4"/>
    <w:rsid w:val="41E62429"/>
    <w:rsid w:val="41E62A41"/>
    <w:rsid w:val="41ED1931"/>
    <w:rsid w:val="41EF7ACC"/>
    <w:rsid w:val="41F42F30"/>
    <w:rsid w:val="41F94C6A"/>
    <w:rsid w:val="41FC2B74"/>
    <w:rsid w:val="4201131C"/>
    <w:rsid w:val="42066C20"/>
    <w:rsid w:val="420D137C"/>
    <w:rsid w:val="42123184"/>
    <w:rsid w:val="421244A5"/>
    <w:rsid w:val="421740E4"/>
    <w:rsid w:val="421A6D87"/>
    <w:rsid w:val="42274F37"/>
    <w:rsid w:val="42280D85"/>
    <w:rsid w:val="422B25F4"/>
    <w:rsid w:val="422F5FCC"/>
    <w:rsid w:val="42337DF3"/>
    <w:rsid w:val="423411BA"/>
    <w:rsid w:val="42355F32"/>
    <w:rsid w:val="423A097D"/>
    <w:rsid w:val="423C1F4F"/>
    <w:rsid w:val="424012DC"/>
    <w:rsid w:val="424B7DB0"/>
    <w:rsid w:val="425C0388"/>
    <w:rsid w:val="425E7F10"/>
    <w:rsid w:val="425F2A59"/>
    <w:rsid w:val="4262124B"/>
    <w:rsid w:val="42670EE3"/>
    <w:rsid w:val="42676549"/>
    <w:rsid w:val="426F16E5"/>
    <w:rsid w:val="42751D7A"/>
    <w:rsid w:val="42777A10"/>
    <w:rsid w:val="4278672F"/>
    <w:rsid w:val="427B4C65"/>
    <w:rsid w:val="42800CEB"/>
    <w:rsid w:val="428436C3"/>
    <w:rsid w:val="428811D4"/>
    <w:rsid w:val="428D2179"/>
    <w:rsid w:val="429622DD"/>
    <w:rsid w:val="42A17DA3"/>
    <w:rsid w:val="42A248B0"/>
    <w:rsid w:val="42A258F2"/>
    <w:rsid w:val="42A577C6"/>
    <w:rsid w:val="42AD5AF1"/>
    <w:rsid w:val="42AE3AF2"/>
    <w:rsid w:val="42B07FE6"/>
    <w:rsid w:val="42BA03EB"/>
    <w:rsid w:val="42BF46CD"/>
    <w:rsid w:val="42C378B7"/>
    <w:rsid w:val="42C80F6C"/>
    <w:rsid w:val="42D068B4"/>
    <w:rsid w:val="42D52065"/>
    <w:rsid w:val="42E76325"/>
    <w:rsid w:val="42EB615B"/>
    <w:rsid w:val="42F05CEB"/>
    <w:rsid w:val="42F302C7"/>
    <w:rsid w:val="42FE1367"/>
    <w:rsid w:val="43027F76"/>
    <w:rsid w:val="4309221C"/>
    <w:rsid w:val="431C5378"/>
    <w:rsid w:val="4324579A"/>
    <w:rsid w:val="432B32E5"/>
    <w:rsid w:val="43320F1B"/>
    <w:rsid w:val="43392077"/>
    <w:rsid w:val="433A2C97"/>
    <w:rsid w:val="433C440A"/>
    <w:rsid w:val="434C2DE9"/>
    <w:rsid w:val="4366748E"/>
    <w:rsid w:val="43671B8D"/>
    <w:rsid w:val="4374370A"/>
    <w:rsid w:val="437707EB"/>
    <w:rsid w:val="438669F9"/>
    <w:rsid w:val="43873C87"/>
    <w:rsid w:val="438A2C6C"/>
    <w:rsid w:val="438B7E55"/>
    <w:rsid w:val="439817E5"/>
    <w:rsid w:val="439E7C1E"/>
    <w:rsid w:val="43AE7C16"/>
    <w:rsid w:val="43B7423A"/>
    <w:rsid w:val="43BE179E"/>
    <w:rsid w:val="43C13761"/>
    <w:rsid w:val="43C15A37"/>
    <w:rsid w:val="43C25883"/>
    <w:rsid w:val="43C82C23"/>
    <w:rsid w:val="43D03E05"/>
    <w:rsid w:val="43D1559A"/>
    <w:rsid w:val="43D82A1F"/>
    <w:rsid w:val="43DC08A2"/>
    <w:rsid w:val="43E260E6"/>
    <w:rsid w:val="43E42C2F"/>
    <w:rsid w:val="43E71BCA"/>
    <w:rsid w:val="43E83E7B"/>
    <w:rsid w:val="43ED624D"/>
    <w:rsid w:val="43EE1FDD"/>
    <w:rsid w:val="43FA1252"/>
    <w:rsid w:val="43FB5010"/>
    <w:rsid w:val="43FB70B0"/>
    <w:rsid w:val="43FD38CF"/>
    <w:rsid w:val="44082B94"/>
    <w:rsid w:val="440C28DE"/>
    <w:rsid w:val="441C5EF5"/>
    <w:rsid w:val="441D0757"/>
    <w:rsid w:val="441E6444"/>
    <w:rsid w:val="44223047"/>
    <w:rsid w:val="442B0CDB"/>
    <w:rsid w:val="44337A5C"/>
    <w:rsid w:val="44375DC0"/>
    <w:rsid w:val="443944AF"/>
    <w:rsid w:val="44396E8C"/>
    <w:rsid w:val="443A245E"/>
    <w:rsid w:val="443A5650"/>
    <w:rsid w:val="443E770A"/>
    <w:rsid w:val="444039AF"/>
    <w:rsid w:val="44423063"/>
    <w:rsid w:val="44436BD9"/>
    <w:rsid w:val="44466BD6"/>
    <w:rsid w:val="44482392"/>
    <w:rsid w:val="44493B29"/>
    <w:rsid w:val="4449561C"/>
    <w:rsid w:val="44495FB3"/>
    <w:rsid w:val="4457133A"/>
    <w:rsid w:val="44630793"/>
    <w:rsid w:val="44660DC1"/>
    <w:rsid w:val="44671057"/>
    <w:rsid w:val="4467669D"/>
    <w:rsid w:val="446E069C"/>
    <w:rsid w:val="446F6232"/>
    <w:rsid w:val="44724A22"/>
    <w:rsid w:val="447603AC"/>
    <w:rsid w:val="4476231A"/>
    <w:rsid w:val="447651B9"/>
    <w:rsid w:val="44785914"/>
    <w:rsid w:val="447C41E3"/>
    <w:rsid w:val="447D7D69"/>
    <w:rsid w:val="44883609"/>
    <w:rsid w:val="448907A0"/>
    <w:rsid w:val="448969B2"/>
    <w:rsid w:val="449E33E3"/>
    <w:rsid w:val="44AE4EF4"/>
    <w:rsid w:val="44B20733"/>
    <w:rsid w:val="44CB1486"/>
    <w:rsid w:val="44CD2B83"/>
    <w:rsid w:val="44D27987"/>
    <w:rsid w:val="44DE439F"/>
    <w:rsid w:val="44E23BC3"/>
    <w:rsid w:val="44E32C68"/>
    <w:rsid w:val="44E53C27"/>
    <w:rsid w:val="44E76352"/>
    <w:rsid w:val="44F47EBE"/>
    <w:rsid w:val="44F8474B"/>
    <w:rsid w:val="44FD0438"/>
    <w:rsid w:val="44FE35D9"/>
    <w:rsid w:val="4511623E"/>
    <w:rsid w:val="45173799"/>
    <w:rsid w:val="451741EC"/>
    <w:rsid w:val="45290826"/>
    <w:rsid w:val="452A4A0B"/>
    <w:rsid w:val="452C7E88"/>
    <w:rsid w:val="452D210E"/>
    <w:rsid w:val="452F3FF0"/>
    <w:rsid w:val="453C346C"/>
    <w:rsid w:val="45401B13"/>
    <w:rsid w:val="45465D20"/>
    <w:rsid w:val="45474F81"/>
    <w:rsid w:val="454D493F"/>
    <w:rsid w:val="45516919"/>
    <w:rsid w:val="45571BD8"/>
    <w:rsid w:val="455F4A89"/>
    <w:rsid w:val="4562339C"/>
    <w:rsid w:val="456D6A82"/>
    <w:rsid w:val="456E1A08"/>
    <w:rsid w:val="456E6F6F"/>
    <w:rsid w:val="45780E67"/>
    <w:rsid w:val="457B2159"/>
    <w:rsid w:val="457D4208"/>
    <w:rsid w:val="458837F8"/>
    <w:rsid w:val="45897C65"/>
    <w:rsid w:val="459063FE"/>
    <w:rsid w:val="45915A42"/>
    <w:rsid w:val="45920C27"/>
    <w:rsid w:val="459B280E"/>
    <w:rsid w:val="459C2CA6"/>
    <w:rsid w:val="45A779A7"/>
    <w:rsid w:val="45B60D89"/>
    <w:rsid w:val="45B86A8D"/>
    <w:rsid w:val="45BB65F0"/>
    <w:rsid w:val="45C07E38"/>
    <w:rsid w:val="45C13BC1"/>
    <w:rsid w:val="45C224B9"/>
    <w:rsid w:val="45C772D5"/>
    <w:rsid w:val="45CF5F0C"/>
    <w:rsid w:val="45D85A0A"/>
    <w:rsid w:val="45DB73CD"/>
    <w:rsid w:val="45DE62D6"/>
    <w:rsid w:val="45E44EEA"/>
    <w:rsid w:val="45F177EB"/>
    <w:rsid w:val="46091C05"/>
    <w:rsid w:val="460C03C6"/>
    <w:rsid w:val="460E295E"/>
    <w:rsid w:val="46180D2E"/>
    <w:rsid w:val="46204FCD"/>
    <w:rsid w:val="4624103B"/>
    <w:rsid w:val="46250CEB"/>
    <w:rsid w:val="4637480B"/>
    <w:rsid w:val="46494752"/>
    <w:rsid w:val="46531C7D"/>
    <w:rsid w:val="465561FF"/>
    <w:rsid w:val="46566D8F"/>
    <w:rsid w:val="465F25C6"/>
    <w:rsid w:val="466504D0"/>
    <w:rsid w:val="46657FD4"/>
    <w:rsid w:val="46673919"/>
    <w:rsid w:val="466C663D"/>
    <w:rsid w:val="466D516F"/>
    <w:rsid w:val="466E31BB"/>
    <w:rsid w:val="467D2102"/>
    <w:rsid w:val="468647F7"/>
    <w:rsid w:val="468C3308"/>
    <w:rsid w:val="468F4FD2"/>
    <w:rsid w:val="46902063"/>
    <w:rsid w:val="46922460"/>
    <w:rsid w:val="46971038"/>
    <w:rsid w:val="46981BC0"/>
    <w:rsid w:val="46985153"/>
    <w:rsid w:val="469C0596"/>
    <w:rsid w:val="469E2E71"/>
    <w:rsid w:val="469F3F0A"/>
    <w:rsid w:val="46A232B0"/>
    <w:rsid w:val="46AA3212"/>
    <w:rsid w:val="46AE0E9D"/>
    <w:rsid w:val="46B04431"/>
    <w:rsid w:val="46B27C00"/>
    <w:rsid w:val="46BA2147"/>
    <w:rsid w:val="46C4233E"/>
    <w:rsid w:val="46CD0029"/>
    <w:rsid w:val="46CE5631"/>
    <w:rsid w:val="46E35CD1"/>
    <w:rsid w:val="46E63A60"/>
    <w:rsid w:val="46EA1089"/>
    <w:rsid w:val="46F56AAB"/>
    <w:rsid w:val="46F75DD8"/>
    <w:rsid w:val="470F3029"/>
    <w:rsid w:val="471767D4"/>
    <w:rsid w:val="471A6110"/>
    <w:rsid w:val="4720307F"/>
    <w:rsid w:val="4724035E"/>
    <w:rsid w:val="47260013"/>
    <w:rsid w:val="47316F6C"/>
    <w:rsid w:val="47323C14"/>
    <w:rsid w:val="473B147D"/>
    <w:rsid w:val="473E57D8"/>
    <w:rsid w:val="47402340"/>
    <w:rsid w:val="47445101"/>
    <w:rsid w:val="474E339D"/>
    <w:rsid w:val="47514EA6"/>
    <w:rsid w:val="47531FAB"/>
    <w:rsid w:val="4755756F"/>
    <w:rsid w:val="47587CBE"/>
    <w:rsid w:val="4762172E"/>
    <w:rsid w:val="476576B3"/>
    <w:rsid w:val="47743824"/>
    <w:rsid w:val="47791762"/>
    <w:rsid w:val="477A29C7"/>
    <w:rsid w:val="477D2D75"/>
    <w:rsid w:val="478037EC"/>
    <w:rsid w:val="47822324"/>
    <w:rsid w:val="478337F0"/>
    <w:rsid w:val="47874C16"/>
    <w:rsid w:val="478B2F9C"/>
    <w:rsid w:val="4794240C"/>
    <w:rsid w:val="479535A7"/>
    <w:rsid w:val="479A11CE"/>
    <w:rsid w:val="479E57C4"/>
    <w:rsid w:val="47A01935"/>
    <w:rsid w:val="47AC13F7"/>
    <w:rsid w:val="47AF0577"/>
    <w:rsid w:val="47B01FEA"/>
    <w:rsid w:val="47C544CD"/>
    <w:rsid w:val="47CA528D"/>
    <w:rsid w:val="47D82071"/>
    <w:rsid w:val="47E84AD0"/>
    <w:rsid w:val="47F75ED3"/>
    <w:rsid w:val="47F8219D"/>
    <w:rsid w:val="47FC7DDB"/>
    <w:rsid w:val="48004500"/>
    <w:rsid w:val="48076684"/>
    <w:rsid w:val="481868CB"/>
    <w:rsid w:val="48186D00"/>
    <w:rsid w:val="481B4E5D"/>
    <w:rsid w:val="482270C4"/>
    <w:rsid w:val="48255E17"/>
    <w:rsid w:val="48275899"/>
    <w:rsid w:val="48294624"/>
    <w:rsid w:val="482C1154"/>
    <w:rsid w:val="48357040"/>
    <w:rsid w:val="485479D9"/>
    <w:rsid w:val="486843AB"/>
    <w:rsid w:val="486A2933"/>
    <w:rsid w:val="48735EAC"/>
    <w:rsid w:val="48751778"/>
    <w:rsid w:val="4878329D"/>
    <w:rsid w:val="48872230"/>
    <w:rsid w:val="488A299C"/>
    <w:rsid w:val="48937A82"/>
    <w:rsid w:val="48964B9E"/>
    <w:rsid w:val="489B3EA1"/>
    <w:rsid w:val="489E4EE5"/>
    <w:rsid w:val="48A44679"/>
    <w:rsid w:val="48AA47DD"/>
    <w:rsid w:val="48AE72BF"/>
    <w:rsid w:val="48B10266"/>
    <w:rsid w:val="48B55D70"/>
    <w:rsid w:val="48C86AAF"/>
    <w:rsid w:val="48CD42CB"/>
    <w:rsid w:val="48DF05F6"/>
    <w:rsid w:val="48E1164B"/>
    <w:rsid w:val="48E35E43"/>
    <w:rsid w:val="48E4021E"/>
    <w:rsid w:val="48E475D8"/>
    <w:rsid w:val="48E814F4"/>
    <w:rsid w:val="48EB5BB1"/>
    <w:rsid w:val="48ED7311"/>
    <w:rsid w:val="48F400AA"/>
    <w:rsid w:val="48F826E7"/>
    <w:rsid w:val="48FA56AF"/>
    <w:rsid w:val="49087284"/>
    <w:rsid w:val="49096BE6"/>
    <w:rsid w:val="490E6C41"/>
    <w:rsid w:val="491577A6"/>
    <w:rsid w:val="49192493"/>
    <w:rsid w:val="491D28F1"/>
    <w:rsid w:val="491F22FB"/>
    <w:rsid w:val="492255C7"/>
    <w:rsid w:val="492808C3"/>
    <w:rsid w:val="492B2A15"/>
    <w:rsid w:val="492D6C77"/>
    <w:rsid w:val="493965E7"/>
    <w:rsid w:val="494512F9"/>
    <w:rsid w:val="494D4F8A"/>
    <w:rsid w:val="495249B5"/>
    <w:rsid w:val="49597E14"/>
    <w:rsid w:val="495F7A15"/>
    <w:rsid w:val="49704757"/>
    <w:rsid w:val="49792709"/>
    <w:rsid w:val="498A79FA"/>
    <w:rsid w:val="498C4DE6"/>
    <w:rsid w:val="498E3552"/>
    <w:rsid w:val="499172D6"/>
    <w:rsid w:val="49972619"/>
    <w:rsid w:val="499B1102"/>
    <w:rsid w:val="499E7A80"/>
    <w:rsid w:val="49A545D8"/>
    <w:rsid w:val="49A870A6"/>
    <w:rsid w:val="49AD2002"/>
    <w:rsid w:val="49AE630B"/>
    <w:rsid w:val="49B0286A"/>
    <w:rsid w:val="49B05E14"/>
    <w:rsid w:val="49B219F6"/>
    <w:rsid w:val="49BD73FA"/>
    <w:rsid w:val="49C17E27"/>
    <w:rsid w:val="49CF4C2F"/>
    <w:rsid w:val="49DD53D7"/>
    <w:rsid w:val="49E60F04"/>
    <w:rsid w:val="49E97BEE"/>
    <w:rsid w:val="49EB64FC"/>
    <w:rsid w:val="49F24D0A"/>
    <w:rsid w:val="49F90E3D"/>
    <w:rsid w:val="49FE6794"/>
    <w:rsid w:val="4A024C0D"/>
    <w:rsid w:val="4A073BFB"/>
    <w:rsid w:val="4A090B32"/>
    <w:rsid w:val="4A0E370F"/>
    <w:rsid w:val="4A113DCB"/>
    <w:rsid w:val="4A1422A2"/>
    <w:rsid w:val="4A154575"/>
    <w:rsid w:val="4A1E33CC"/>
    <w:rsid w:val="4A1F3BCA"/>
    <w:rsid w:val="4A225C62"/>
    <w:rsid w:val="4A233F11"/>
    <w:rsid w:val="4A316578"/>
    <w:rsid w:val="4A381F3B"/>
    <w:rsid w:val="4A38571C"/>
    <w:rsid w:val="4A3D2AA8"/>
    <w:rsid w:val="4A430D53"/>
    <w:rsid w:val="4A44084D"/>
    <w:rsid w:val="4A4771EE"/>
    <w:rsid w:val="4A50687C"/>
    <w:rsid w:val="4A533272"/>
    <w:rsid w:val="4A5B02FF"/>
    <w:rsid w:val="4A5E4AF0"/>
    <w:rsid w:val="4A61043E"/>
    <w:rsid w:val="4A683B77"/>
    <w:rsid w:val="4A692678"/>
    <w:rsid w:val="4A79581A"/>
    <w:rsid w:val="4A915882"/>
    <w:rsid w:val="4A92771D"/>
    <w:rsid w:val="4A943682"/>
    <w:rsid w:val="4A991049"/>
    <w:rsid w:val="4A9931C5"/>
    <w:rsid w:val="4A99605F"/>
    <w:rsid w:val="4AA444DD"/>
    <w:rsid w:val="4AA77A8E"/>
    <w:rsid w:val="4AB55596"/>
    <w:rsid w:val="4ABC2246"/>
    <w:rsid w:val="4ABF3662"/>
    <w:rsid w:val="4AC4513A"/>
    <w:rsid w:val="4AC46CD3"/>
    <w:rsid w:val="4AC56840"/>
    <w:rsid w:val="4ACC7C93"/>
    <w:rsid w:val="4ACE49A1"/>
    <w:rsid w:val="4AD171EE"/>
    <w:rsid w:val="4AD40C3A"/>
    <w:rsid w:val="4AD50B2B"/>
    <w:rsid w:val="4ADA0E21"/>
    <w:rsid w:val="4ADD4410"/>
    <w:rsid w:val="4ADE6B63"/>
    <w:rsid w:val="4AEB651A"/>
    <w:rsid w:val="4AF348B6"/>
    <w:rsid w:val="4AF60F19"/>
    <w:rsid w:val="4B093ACE"/>
    <w:rsid w:val="4B0B4F74"/>
    <w:rsid w:val="4B0F2066"/>
    <w:rsid w:val="4B120869"/>
    <w:rsid w:val="4B1C2FDF"/>
    <w:rsid w:val="4B2443F4"/>
    <w:rsid w:val="4B272E10"/>
    <w:rsid w:val="4B294D2F"/>
    <w:rsid w:val="4B297B54"/>
    <w:rsid w:val="4B2A195D"/>
    <w:rsid w:val="4B31491C"/>
    <w:rsid w:val="4B361702"/>
    <w:rsid w:val="4B382BC7"/>
    <w:rsid w:val="4B395BC2"/>
    <w:rsid w:val="4B3C589D"/>
    <w:rsid w:val="4B52416F"/>
    <w:rsid w:val="4B583BBD"/>
    <w:rsid w:val="4B704176"/>
    <w:rsid w:val="4B704EF0"/>
    <w:rsid w:val="4B7065E9"/>
    <w:rsid w:val="4B716BA9"/>
    <w:rsid w:val="4B733D9F"/>
    <w:rsid w:val="4B772DAB"/>
    <w:rsid w:val="4B8D6268"/>
    <w:rsid w:val="4B916482"/>
    <w:rsid w:val="4B931A0C"/>
    <w:rsid w:val="4BA05055"/>
    <w:rsid w:val="4BA221DB"/>
    <w:rsid w:val="4BA57A94"/>
    <w:rsid w:val="4BA80C7F"/>
    <w:rsid w:val="4BAC3910"/>
    <w:rsid w:val="4BAD170B"/>
    <w:rsid w:val="4BB8417F"/>
    <w:rsid w:val="4BBC2E19"/>
    <w:rsid w:val="4BC3083E"/>
    <w:rsid w:val="4BC74B74"/>
    <w:rsid w:val="4BC76B1A"/>
    <w:rsid w:val="4BCD67C9"/>
    <w:rsid w:val="4BD902EC"/>
    <w:rsid w:val="4BDA6301"/>
    <w:rsid w:val="4BDA7888"/>
    <w:rsid w:val="4BE12466"/>
    <w:rsid w:val="4BE63E84"/>
    <w:rsid w:val="4BEC5BFA"/>
    <w:rsid w:val="4BFA24C0"/>
    <w:rsid w:val="4BFC7A4C"/>
    <w:rsid w:val="4BFD6D08"/>
    <w:rsid w:val="4C067F28"/>
    <w:rsid w:val="4C1501FA"/>
    <w:rsid w:val="4C1645CC"/>
    <w:rsid w:val="4C16478B"/>
    <w:rsid w:val="4C1A6526"/>
    <w:rsid w:val="4C1B2F01"/>
    <w:rsid w:val="4C2D3A9D"/>
    <w:rsid w:val="4C2F218B"/>
    <w:rsid w:val="4C331EA6"/>
    <w:rsid w:val="4C4D752B"/>
    <w:rsid w:val="4C4F44C1"/>
    <w:rsid w:val="4C5348CC"/>
    <w:rsid w:val="4C5B3263"/>
    <w:rsid w:val="4C6841BA"/>
    <w:rsid w:val="4C6F22E2"/>
    <w:rsid w:val="4C710C29"/>
    <w:rsid w:val="4C7E52E1"/>
    <w:rsid w:val="4C8447E7"/>
    <w:rsid w:val="4C8A40A3"/>
    <w:rsid w:val="4C8E3955"/>
    <w:rsid w:val="4C9B2FCE"/>
    <w:rsid w:val="4CA24772"/>
    <w:rsid w:val="4CAA4FD5"/>
    <w:rsid w:val="4CB11DEC"/>
    <w:rsid w:val="4CB31F9F"/>
    <w:rsid w:val="4CBF58BA"/>
    <w:rsid w:val="4CC52B33"/>
    <w:rsid w:val="4CC7026F"/>
    <w:rsid w:val="4CC77CBF"/>
    <w:rsid w:val="4CE30208"/>
    <w:rsid w:val="4CF316AA"/>
    <w:rsid w:val="4CF567D9"/>
    <w:rsid w:val="4CF654C8"/>
    <w:rsid w:val="4CFB5E47"/>
    <w:rsid w:val="4CFD003A"/>
    <w:rsid w:val="4D023FC6"/>
    <w:rsid w:val="4D0459AE"/>
    <w:rsid w:val="4D05490F"/>
    <w:rsid w:val="4D0E04B0"/>
    <w:rsid w:val="4D1009C3"/>
    <w:rsid w:val="4D1256B6"/>
    <w:rsid w:val="4D15216A"/>
    <w:rsid w:val="4D1974C6"/>
    <w:rsid w:val="4D1C1E51"/>
    <w:rsid w:val="4D1F5BB4"/>
    <w:rsid w:val="4D20464E"/>
    <w:rsid w:val="4D2A01B5"/>
    <w:rsid w:val="4D3157A6"/>
    <w:rsid w:val="4D3A673C"/>
    <w:rsid w:val="4D3D4AD1"/>
    <w:rsid w:val="4D3F3DCA"/>
    <w:rsid w:val="4D4361BE"/>
    <w:rsid w:val="4D445CF6"/>
    <w:rsid w:val="4D486841"/>
    <w:rsid w:val="4D4D1254"/>
    <w:rsid w:val="4D553C64"/>
    <w:rsid w:val="4D554C0F"/>
    <w:rsid w:val="4D5704A7"/>
    <w:rsid w:val="4D5C0248"/>
    <w:rsid w:val="4D5E62A1"/>
    <w:rsid w:val="4D5F16B0"/>
    <w:rsid w:val="4D6279D7"/>
    <w:rsid w:val="4D6455B9"/>
    <w:rsid w:val="4D672674"/>
    <w:rsid w:val="4D673F74"/>
    <w:rsid w:val="4D6940E2"/>
    <w:rsid w:val="4D726AE1"/>
    <w:rsid w:val="4D7B1124"/>
    <w:rsid w:val="4D816478"/>
    <w:rsid w:val="4D8606EB"/>
    <w:rsid w:val="4D872875"/>
    <w:rsid w:val="4D8E662E"/>
    <w:rsid w:val="4D9723EC"/>
    <w:rsid w:val="4D996824"/>
    <w:rsid w:val="4DA921A1"/>
    <w:rsid w:val="4DB0183E"/>
    <w:rsid w:val="4DB806B6"/>
    <w:rsid w:val="4DBC7B59"/>
    <w:rsid w:val="4DC04D35"/>
    <w:rsid w:val="4DC953A2"/>
    <w:rsid w:val="4DE077A6"/>
    <w:rsid w:val="4DED7F68"/>
    <w:rsid w:val="4DEE5E67"/>
    <w:rsid w:val="4DF41764"/>
    <w:rsid w:val="4DF62DD3"/>
    <w:rsid w:val="4DFB1D50"/>
    <w:rsid w:val="4DFC186E"/>
    <w:rsid w:val="4E073886"/>
    <w:rsid w:val="4E091E0E"/>
    <w:rsid w:val="4E0B044C"/>
    <w:rsid w:val="4E1E43B3"/>
    <w:rsid w:val="4E2546FC"/>
    <w:rsid w:val="4E277092"/>
    <w:rsid w:val="4E2A1F2D"/>
    <w:rsid w:val="4E2D53F1"/>
    <w:rsid w:val="4E30276D"/>
    <w:rsid w:val="4E4E11B7"/>
    <w:rsid w:val="4E514FBE"/>
    <w:rsid w:val="4E553E76"/>
    <w:rsid w:val="4E5A3D2A"/>
    <w:rsid w:val="4E6B471A"/>
    <w:rsid w:val="4E6E2124"/>
    <w:rsid w:val="4E763354"/>
    <w:rsid w:val="4E7C2C8F"/>
    <w:rsid w:val="4E7D1020"/>
    <w:rsid w:val="4E7D556C"/>
    <w:rsid w:val="4E832C1D"/>
    <w:rsid w:val="4E84092A"/>
    <w:rsid w:val="4E8C43E8"/>
    <w:rsid w:val="4E8E140A"/>
    <w:rsid w:val="4E96334E"/>
    <w:rsid w:val="4E9A6511"/>
    <w:rsid w:val="4E9D39AD"/>
    <w:rsid w:val="4EA27080"/>
    <w:rsid w:val="4EAB56AE"/>
    <w:rsid w:val="4EB1547F"/>
    <w:rsid w:val="4EBB1F20"/>
    <w:rsid w:val="4EBC76BC"/>
    <w:rsid w:val="4EBF7E49"/>
    <w:rsid w:val="4EC13BC8"/>
    <w:rsid w:val="4EC14EED"/>
    <w:rsid w:val="4EC83A4B"/>
    <w:rsid w:val="4EC86F6F"/>
    <w:rsid w:val="4ECB0281"/>
    <w:rsid w:val="4ED54DA1"/>
    <w:rsid w:val="4ED87B75"/>
    <w:rsid w:val="4EDE27BF"/>
    <w:rsid w:val="4EE504B7"/>
    <w:rsid w:val="4EE509CA"/>
    <w:rsid w:val="4EE524F9"/>
    <w:rsid w:val="4EED0A99"/>
    <w:rsid w:val="4EF04E6F"/>
    <w:rsid w:val="4EF9174F"/>
    <w:rsid w:val="4F022505"/>
    <w:rsid w:val="4F022F0A"/>
    <w:rsid w:val="4F026A52"/>
    <w:rsid w:val="4F0464D0"/>
    <w:rsid w:val="4F090665"/>
    <w:rsid w:val="4F090789"/>
    <w:rsid w:val="4F0F4C9E"/>
    <w:rsid w:val="4F150305"/>
    <w:rsid w:val="4F1A0CD5"/>
    <w:rsid w:val="4F1E0594"/>
    <w:rsid w:val="4F210322"/>
    <w:rsid w:val="4F211FE4"/>
    <w:rsid w:val="4F2508A0"/>
    <w:rsid w:val="4F27573D"/>
    <w:rsid w:val="4F283AEE"/>
    <w:rsid w:val="4F2F1228"/>
    <w:rsid w:val="4F322A79"/>
    <w:rsid w:val="4F36554B"/>
    <w:rsid w:val="4F3C6010"/>
    <w:rsid w:val="4F412E4E"/>
    <w:rsid w:val="4F440434"/>
    <w:rsid w:val="4F493C3E"/>
    <w:rsid w:val="4F4B0099"/>
    <w:rsid w:val="4F4C5209"/>
    <w:rsid w:val="4F4D6D9F"/>
    <w:rsid w:val="4F4E000D"/>
    <w:rsid w:val="4F5546CA"/>
    <w:rsid w:val="4F571956"/>
    <w:rsid w:val="4F5C4BD4"/>
    <w:rsid w:val="4F612BBE"/>
    <w:rsid w:val="4F664F1F"/>
    <w:rsid w:val="4F6E4A46"/>
    <w:rsid w:val="4F747717"/>
    <w:rsid w:val="4F7840B5"/>
    <w:rsid w:val="4F79217E"/>
    <w:rsid w:val="4F7A5C78"/>
    <w:rsid w:val="4F824AE3"/>
    <w:rsid w:val="4F85083C"/>
    <w:rsid w:val="4F8B7E11"/>
    <w:rsid w:val="4F8D1D50"/>
    <w:rsid w:val="4F8E4C7C"/>
    <w:rsid w:val="4F921D49"/>
    <w:rsid w:val="4F9A0F5E"/>
    <w:rsid w:val="4FA81149"/>
    <w:rsid w:val="4FAD0B32"/>
    <w:rsid w:val="4FB65C37"/>
    <w:rsid w:val="4FBB4088"/>
    <w:rsid w:val="4FBC594E"/>
    <w:rsid w:val="4FBD62F9"/>
    <w:rsid w:val="4FC203F7"/>
    <w:rsid w:val="4FC347FC"/>
    <w:rsid w:val="4FC55D90"/>
    <w:rsid w:val="4FCC743F"/>
    <w:rsid w:val="4FE87A02"/>
    <w:rsid w:val="4FEC512D"/>
    <w:rsid w:val="4FED2717"/>
    <w:rsid w:val="4FF71456"/>
    <w:rsid w:val="50035111"/>
    <w:rsid w:val="50140798"/>
    <w:rsid w:val="501A6D0D"/>
    <w:rsid w:val="501C3466"/>
    <w:rsid w:val="501D7D0E"/>
    <w:rsid w:val="501F18C4"/>
    <w:rsid w:val="50227C91"/>
    <w:rsid w:val="50270133"/>
    <w:rsid w:val="50286B6F"/>
    <w:rsid w:val="502E55F4"/>
    <w:rsid w:val="50343EFC"/>
    <w:rsid w:val="503D4B48"/>
    <w:rsid w:val="503E3437"/>
    <w:rsid w:val="50416E94"/>
    <w:rsid w:val="504624FC"/>
    <w:rsid w:val="5048720D"/>
    <w:rsid w:val="504D4B36"/>
    <w:rsid w:val="504E4E65"/>
    <w:rsid w:val="504E74D8"/>
    <w:rsid w:val="50536C20"/>
    <w:rsid w:val="505519AE"/>
    <w:rsid w:val="505907F7"/>
    <w:rsid w:val="506078B5"/>
    <w:rsid w:val="50616EC1"/>
    <w:rsid w:val="506B7F6D"/>
    <w:rsid w:val="50704C7B"/>
    <w:rsid w:val="507D7C09"/>
    <w:rsid w:val="508519EC"/>
    <w:rsid w:val="50853A11"/>
    <w:rsid w:val="508A0DA8"/>
    <w:rsid w:val="508A5828"/>
    <w:rsid w:val="508D56F0"/>
    <w:rsid w:val="50933959"/>
    <w:rsid w:val="50965360"/>
    <w:rsid w:val="509B6E4D"/>
    <w:rsid w:val="509B7D6D"/>
    <w:rsid w:val="509D4D89"/>
    <w:rsid w:val="509F158A"/>
    <w:rsid w:val="50A24614"/>
    <w:rsid w:val="50A334F9"/>
    <w:rsid w:val="50A459CB"/>
    <w:rsid w:val="50A53409"/>
    <w:rsid w:val="50AB63DD"/>
    <w:rsid w:val="50B54D3B"/>
    <w:rsid w:val="50C12F54"/>
    <w:rsid w:val="50CD0811"/>
    <w:rsid w:val="50D1072A"/>
    <w:rsid w:val="50D51CE3"/>
    <w:rsid w:val="50D568CB"/>
    <w:rsid w:val="50D74C50"/>
    <w:rsid w:val="50D7563A"/>
    <w:rsid w:val="50E12745"/>
    <w:rsid w:val="50E47566"/>
    <w:rsid w:val="50EA464C"/>
    <w:rsid w:val="50EF0458"/>
    <w:rsid w:val="50F73FB9"/>
    <w:rsid w:val="50FE49E8"/>
    <w:rsid w:val="50FE621E"/>
    <w:rsid w:val="510141E8"/>
    <w:rsid w:val="51072606"/>
    <w:rsid w:val="51080CE9"/>
    <w:rsid w:val="5109490C"/>
    <w:rsid w:val="510C70AB"/>
    <w:rsid w:val="51125C34"/>
    <w:rsid w:val="511842C8"/>
    <w:rsid w:val="511C0871"/>
    <w:rsid w:val="51225F19"/>
    <w:rsid w:val="512E61F2"/>
    <w:rsid w:val="513533F0"/>
    <w:rsid w:val="513612BE"/>
    <w:rsid w:val="513F7D7B"/>
    <w:rsid w:val="5147087A"/>
    <w:rsid w:val="514C06C2"/>
    <w:rsid w:val="514E15FD"/>
    <w:rsid w:val="514E29C6"/>
    <w:rsid w:val="5152061B"/>
    <w:rsid w:val="515B0288"/>
    <w:rsid w:val="51613A77"/>
    <w:rsid w:val="516A44D8"/>
    <w:rsid w:val="516B311E"/>
    <w:rsid w:val="516F084F"/>
    <w:rsid w:val="517426A5"/>
    <w:rsid w:val="517726FC"/>
    <w:rsid w:val="517D0764"/>
    <w:rsid w:val="517D41C3"/>
    <w:rsid w:val="51821441"/>
    <w:rsid w:val="51844CD6"/>
    <w:rsid w:val="518540CB"/>
    <w:rsid w:val="518B6E15"/>
    <w:rsid w:val="518F0D91"/>
    <w:rsid w:val="5190002F"/>
    <w:rsid w:val="519630E9"/>
    <w:rsid w:val="51A07B7E"/>
    <w:rsid w:val="51A106AC"/>
    <w:rsid w:val="51A66B5F"/>
    <w:rsid w:val="51AA4604"/>
    <w:rsid w:val="51AC0B6A"/>
    <w:rsid w:val="51B32C01"/>
    <w:rsid w:val="51B82D05"/>
    <w:rsid w:val="51BA3E9C"/>
    <w:rsid w:val="51BA3F1A"/>
    <w:rsid w:val="51C84199"/>
    <w:rsid w:val="51C959D8"/>
    <w:rsid w:val="51C96AB9"/>
    <w:rsid w:val="51CF02AF"/>
    <w:rsid w:val="51EC23D1"/>
    <w:rsid w:val="51ED1D7F"/>
    <w:rsid w:val="51EF6679"/>
    <w:rsid w:val="51FD2F63"/>
    <w:rsid w:val="51FF060A"/>
    <w:rsid w:val="5203646C"/>
    <w:rsid w:val="520D4161"/>
    <w:rsid w:val="52123745"/>
    <w:rsid w:val="52140DB7"/>
    <w:rsid w:val="52146F0D"/>
    <w:rsid w:val="52175FBD"/>
    <w:rsid w:val="52223FB4"/>
    <w:rsid w:val="522A05B4"/>
    <w:rsid w:val="522C7252"/>
    <w:rsid w:val="522D0898"/>
    <w:rsid w:val="52321EA8"/>
    <w:rsid w:val="523D6F02"/>
    <w:rsid w:val="5241399C"/>
    <w:rsid w:val="52426869"/>
    <w:rsid w:val="52457C9B"/>
    <w:rsid w:val="52492E0D"/>
    <w:rsid w:val="524F66C3"/>
    <w:rsid w:val="5255021E"/>
    <w:rsid w:val="525A30E6"/>
    <w:rsid w:val="525C550A"/>
    <w:rsid w:val="525C608F"/>
    <w:rsid w:val="525F5DA7"/>
    <w:rsid w:val="52662470"/>
    <w:rsid w:val="526A5879"/>
    <w:rsid w:val="526F4EB1"/>
    <w:rsid w:val="527004DA"/>
    <w:rsid w:val="527141DA"/>
    <w:rsid w:val="52735B2C"/>
    <w:rsid w:val="527A2B71"/>
    <w:rsid w:val="527C3AE2"/>
    <w:rsid w:val="5286359B"/>
    <w:rsid w:val="528B6D24"/>
    <w:rsid w:val="52935FFD"/>
    <w:rsid w:val="52992C1C"/>
    <w:rsid w:val="5299385D"/>
    <w:rsid w:val="52A22ED7"/>
    <w:rsid w:val="52A424EB"/>
    <w:rsid w:val="52A53D00"/>
    <w:rsid w:val="52A67E44"/>
    <w:rsid w:val="52AA185F"/>
    <w:rsid w:val="52AC4799"/>
    <w:rsid w:val="52AE6300"/>
    <w:rsid w:val="52AE678B"/>
    <w:rsid w:val="52AF637C"/>
    <w:rsid w:val="52B40EDF"/>
    <w:rsid w:val="52C125B3"/>
    <w:rsid w:val="52C611DC"/>
    <w:rsid w:val="52C92324"/>
    <w:rsid w:val="52CB1524"/>
    <w:rsid w:val="52CE1FAE"/>
    <w:rsid w:val="52D21DD1"/>
    <w:rsid w:val="52DB1D20"/>
    <w:rsid w:val="52E31E3C"/>
    <w:rsid w:val="52E33E23"/>
    <w:rsid w:val="52E43B5E"/>
    <w:rsid w:val="52E54B5B"/>
    <w:rsid w:val="52E92BB6"/>
    <w:rsid w:val="52EE5D3B"/>
    <w:rsid w:val="52F25F48"/>
    <w:rsid w:val="52F86998"/>
    <w:rsid w:val="530379FE"/>
    <w:rsid w:val="530409B5"/>
    <w:rsid w:val="530C551D"/>
    <w:rsid w:val="530D0241"/>
    <w:rsid w:val="53185ABF"/>
    <w:rsid w:val="53250509"/>
    <w:rsid w:val="532B3940"/>
    <w:rsid w:val="532E756D"/>
    <w:rsid w:val="53371101"/>
    <w:rsid w:val="535119BC"/>
    <w:rsid w:val="535119EF"/>
    <w:rsid w:val="53643CDF"/>
    <w:rsid w:val="53644B41"/>
    <w:rsid w:val="536A58A1"/>
    <w:rsid w:val="536A5D9A"/>
    <w:rsid w:val="53702BE5"/>
    <w:rsid w:val="537924E3"/>
    <w:rsid w:val="537C0B3D"/>
    <w:rsid w:val="538057F2"/>
    <w:rsid w:val="538D455D"/>
    <w:rsid w:val="53912948"/>
    <w:rsid w:val="53981D80"/>
    <w:rsid w:val="539A01EE"/>
    <w:rsid w:val="539A0BCC"/>
    <w:rsid w:val="539D6AA0"/>
    <w:rsid w:val="53AB029A"/>
    <w:rsid w:val="53AE0A2C"/>
    <w:rsid w:val="53B30798"/>
    <w:rsid w:val="53B66485"/>
    <w:rsid w:val="53BC3D94"/>
    <w:rsid w:val="53D715A2"/>
    <w:rsid w:val="53DE504E"/>
    <w:rsid w:val="53E34E5B"/>
    <w:rsid w:val="53E6177A"/>
    <w:rsid w:val="53E855BF"/>
    <w:rsid w:val="53EC03B2"/>
    <w:rsid w:val="53F80AFA"/>
    <w:rsid w:val="53F81F45"/>
    <w:rsid w:val="53FA334B"/>
    <w:rsid w:val="53FB02EC"/>
    <w:rsid w:val="54024CAC"/>
    <w:rsid w:val="5402650A"/>
    <w:rsid w:val="54085FC2"/>
    <w:rsid w:val="540B7AD2"/>
    <w:rsid w:val="540D25A4"/>
    <w:rsid w:val="540E2B14"/>
    <w:rsid w:val="540F7127"/>
    <w:rsid w:val="54116622"/>
    <w:rsid w:val="5413402D"/>
    <w:rsid w:val="541461F8"/>
    <w:rsid w:val="5415602D"/>
    <w:rsid w:val="54161AE2"/>
    <w:rsid w:val="54191A57"/>
    <w:rsid w:val="541F2724"/>
    <w:rsid w:val="5430132F"/>
    <w:rsid w:val="543030D5"/>
    <w:rsid w:val="54370568"/>
    <w:rsid w:val="54400AE3"/>
    <w:rsid w:val="54475384"/>
    <w:rsid w:val="544E3C03"/>
    <w:rsid w:val="544F6AD9"/>
    <w:rsid w:val="54501629"/>
    <w:rsid w:val="5455684B"/>
    <w:rsid w:val="545E707A"/>
    <w:rsid w:val="54684E60"/>
    <w:rsid w:val="546A7D12"/>
    <w:rsid w:val="5470541D"/>
    <w:rsid w:val="54711217"/>
    <w:rsid w:val="54794A73"/>
    <w:rsid w:val="54816203"/>
    <w:rsid w:val="548E06DC"/>
    <w:rsid w:val="548F568C"/>
    <w:rsid w:val="549221AF"/>
    <w:rsid w:val="54924B81"/>
    <w:rsid w:val="54970E87"/>
    <w:rsid w:val="54A0698A"/>
    <w:rsid w:val="54A97C07"/>
    <w:rsid w:val="54AC1180"/>
    <w:rsid w:val="54B6743C"/>
    <w:rsid w:val="54BB686B"/>
    <w:rsid w:val="54BC185A"/>
    <w:rsid w:val="54CB549C"/>
    <w:rsid w:val="54CE084A"/>
    <w:rsid w:val="54CE7D1F"/>
    <w:rsid w:val="54DC57DD"/>
    <w:rsid w:val="54F166B3"/>
    <w:rsid w:val="54FA3EA2"/>
    <w:rsid w:val="5507636B"/>
    <w:rsid w:val="550F433D"/>
    <w:rsid w:val="55157008"/>
    <w:rsid w:val="551623AC"/>
    <w:rsid w:val="552253D4"/>
    <w:rsid w:val="552A5D20"/>
    <w:rsid w:val="552C4885"/>
    <w:rsid w:val="55306447"/>
    <w:rsid w:val="55310004"/>
    <w:rsid w:val="553506BA"/>
    <w:rsid w:val="55363F26"/>
    <w:rsid w:val="553A6B05"/>
    <w:rsid w:val="553B41EB"/>
    <w:rsid w:val="554927E8"/>
    <w:rsid w:val="55537AB1"/>
    <w:rsid w:val="555C14B4"/>
    <w:rsid w:val="55676C2B"/>
    <w:rsid w:val="55691EFD"/>
    <w:rsid w:val="556C2E9B"/>
    <w:rsid w:val="55762099"/>
    <w:rsid w:val="55793D87"/>
    <w:rsid w:val="557A0052"/>
    <w:rsid w:val="557F12B1"/>
    <w:rsid w:val="557F41B1"/>
    <w:rsid w:val="558F5B1D"/>
    <w:rsid w:val="55987AA3"/>
    <w:rsid w:val="559C01BA"/>
    <w:rsid w:val="55A75827"/>
    <w:rsid w:val="55AD6F6B"/>
    <w:rsid w:val="55B54EEE"/>
    <w:rsid w:val="55BC561D"/>
    <w:rsid w:val="55BF01AE"/>
    <w:rsid w:val="55BF32D3"/>
    <w:rsid w:val="55BF41C3"/>
    <w:rsid w:val="55D47BE4"/>
    <w:rsid w:val="55D95E38"/>
    <w:rsid w:val="55DD581C"/>
    <w:rsid w:val="55DF3DD2"/>
    <w:rsid w:val="55DF754E"/>
    <w:rsid w:val="55E145D4"/>
    <w:rsid w:val="55F15AE2"/>
    <w:rsid w:val="55F72062"/>
    <w:rsid w:val="55FB6BB1"/>
    <w:rsid w:val="560606B7"/>
    <w:rsid w:val="560D6A83"/>
    <w:rsid w:val="5612421E"/>
    <w:rsid w:val="56214BCD"/>
    <w:rsid w:val="562944DD"/>
    <w:rsid w:val="562A4354"/>
    <w:rsid w:val="562C162D"/>
    <w:rsid w:val="562E314C"/>
    <w:rsid w:val="562E50C9"/>
    <w:rsid w:val="5632155B"/>
    <w:rsid w:val="56340906"/>
    <w:rsid w:val="56355A3D"/>
    <w:rsid w:val="563702F4"/>
    <w:rsid w:val="563848B0"/>
    <w:rsid w:val="563B46E0"/>
    <w:rsid w:val="56423AD4"/>
    <w:rsid w:val="56491030"/>
    <w:rsid w:val="564A73AF"/>
    <w:rsid w:val="564B5DBD"/>
    <w:rsid w:val="564D4179"/>
    <w:rsid w:val="564D6460"/>
    <w:rsid w:val="564E5925"/>
    <w:rsid w:val="564F3D39"/>
    <w:rsid w:val="5650401C"/>
    <w:rsid w:val="565151E5"/>
    <w:rsid w:val="5663084E"/>
    <w:rsid w:val="566B46EE"/>
    <w:rsid w:val="56797E7C"/>
    <w:rsid w:val="568568CF"/>
    <w:rsid w:val="56861346"/>
    <w:rsid w:val="569A15EC"/>
    <w:rsid w:val="569B11BB"/>
    <w:rsid w:val="569B61DD"/>
    <w:rsid w:val="569C2904"/>
    <w:rsid w:val="56A1550B"/>
    <w:rsid w:val="56A34C8A"/>
    <w:rsid w:val="56AE23C7"/>
    <w:rsid w:val="56B44F55"/>
    <w:rsid w:val="56BB0752"/>
    <w:rsid w:val="56BD378D"/>
    <w:rsid w:val="56C743C3"/>
    <w:rsid w:val="56D66657"/>
    <w:rsid w:val="56D71B8E"/>
    <w:rsid w:val="56D829B6"/>
    <w:rsid w:val="56E14C46"/>
    <w:rsid w:val="56E966D9"/>
    <w:rsid w:val="56ED027E"/>
    <w:rsid w:val="56F714AB"/>
    <w:rsid w:val="56FC15F5"/>
    <w:rsid w:val="56FD3855"/>
    <w:rsid w:val="56FF7197"/>
    <w:rsid w:val="57094235"/>
    <w:rsid w:val="570A7387"/>
    <w:rsid w:val="570B7A94"/>
    <w:rsid w:val="570C2C96"/>
    <w:rsid w:val="570D3A24"/>
    <w:rsid w:val="571232FD"/>
    <w:rsid w:val="57132B67"/>
    <w:rsid w:val="5716604C"/>
    <w:rsid w:val="571F294E"/>
    <w:rsid w:val="571F2E5D"/>
    <w:rsid w:val="5723629E"/>
    <w:rsid w:val="57321F62"/>
    <w:rsid w:val="57386B92"/>
    <w:rsid w:val="573A7CD6"/>
    <w:rsid w:val="5743284F"/>
    <w:rsid w:val="5743531A"/>
    <w:rsid w:val="57543085"/>
    <w:rsid w:val="57603110"/>
    <w:rsid w:val="57605D08"/>
    <w:rsid w:val="576A0427"/>
    <w:rsid w:val="576A25EE"/>
    <w:rsid w:val="57740108"/>
    <w:rsid w:val="57745E2A"/>
    <w:rsid w:val="577665AA"/>
    <w:rsid w:val="577C6D99"/>
    <w:rsid w:val="578578EB"/>
    <w:rsid w:val="57860AA5"/>
    <w:rsid w:val="578A126D"/>
    <w:rsid w:val="578C325F"/>
    <w:rsid w:val="5790472D"/>
    <w:rsid w:val="57927E90"/>
    <w:rsid w:val="57951D5C"/>
    <w:rsid w:val="579717A2"/>
    <w:rsid w:val="579A0787"/>
    <w:rsid w:val="57A92B83"/>
    <w:rsid w:val="57AC2667"/>
    <w:rsid w:val="57AC2CE4"/>
    <w:rsid w:val="57AE0AB5"/>
    <w:rsid w:val="57B208AA"/>
    <w:rsid w:val="57B36A57"/>
    <w:rsid w:val="57B76356"/>
    <w:rsid w:val="57BA68F1"/>
    <w:rsid w:val="57BA770D"/>
    <w:rsid w:val="57BB2D51"/>
    <w:rsid w:val="57BE322E"/>
    <w:rsid w:val="57BF260A"/>
    <w:rsid w:val="57C2564C"/>
    <w:rsid w:val="57C5716C"/>
    <w:rsid w:val="57CA24CF"/>
    <w:rsid w:val="57CA2B27"/>
    <w:rsid w:val="57D7744B"/>
    <w:rsid w:val="57D9350C"/>
    <w:rsid w:val="57DA44EB"/>
    <w:rsid w:val="57E97224"/>
    <w:rsid w:val="57F3013E"/>
    <w:rsid w:val="57F816DA"/>
    <w:rsid w:val="580008BB"/>
    <w:rsid w:val="580A3C3F"/>
    <w:rsid w:val="580B2A1F"/>
    <w:rsid w:val="580B36B5"/>
    <w:rsid w:val="580C49B3"/>
    <w:rsid w:val="58101369"/>
    <w:rsid w:val="58147E55"/>
    <w:rsid w:val="581F69FE"/>
    <w:rsid w:val="582352B2"/>
    <w:rsid w:val="58235C68"/>
    <w:rsid w:val="58242B21"/>
    <w:rsid w:val="582677E9"/>
    <w:rsid w:val="58326FBA"/>
    <w:rsid w:val="58343412"/>
    <w:rsid w:val="583E3D83"/>
    <w:rsid w:val="58436014"/>
    <w:rsid w:val="584E3149"/>
    <w:rsid w:val="584F24E0"/>
    <w:rsid w:val="5854615D"/>
    <w:rsid w:val="58562F7D"/>
    <w:rsid w:val="585C7DB2"/>
    <w:rsid w:val="58626B0B"/>
    <w:rsid w:val="5866470A"/>
    <w:rsid w:val="586A276F"/>
    <w:rsid w:val="5873630F"/>
    <w:rsid w:val="587874B5"/>
    <w:rsid w:val="58841F0C"/>
    <w:rsid w:val="58924295"/>
    <w:rsid w:val="58927930"/>
    <w:rsid w:val="589C0141"/>
    <w:rsid w:val="58A4382B"/>
    <w:rsid w:val="58A93233"/>
    <w:rsid w:val="58AC26C1"/>
    <w:rsid w:val="58B331A5"/>
    <w:rsid w:val="58B627F6"/>
    <w:rsid w:val="58B77C48"/>
    <w:rsid w:val="58B97271"/>
    <w:rsid w:val="58C020E5"/>
    <w:rsid w:val="58C274A8"/>
    <w:rsid w:val="58C435BF"/>
    <w:rsid w:val="58C61815"/>
    <w:rsid w:val="58C96462"/>
    <w:rsid w:val="58CE5C5E"/>
    <w:rsid w:val="58D93DA3"/>
    <w:rsid w:val="58F31429"/>
    <w:rsid w:val="58F56B5A"/>
    <w:rsid w:val="58FC341D"/>
    <w:rsid w:val="58FC4D28"/>
    <w:rsid w:val="58FE24A1"/>
    <w:rsid w:val="58FF1868"/>
    <w:rsid w:val="59055E9A"/>
    <w:rsid w:val="59081497"/>
    <w:rsid w:val="59082C0C"/>
    <w:rsid w:val="59092A13"/>
    <w:rsid w:val="590E4036"/>
    <w:rsid w:val="590E5FDE"/>
    <w:rsid w:val="591006E3"/>
    <w:rsid w:val="591434CD"/>
    <w:rsid w:val="59166AC7"/>
    <w:rsid w:val="591C1EF4"/>
    <w:rsid w:val="591C6536"/>
    <w:rsid w:val="59210A3E"/>
    <w:rsid w:val="5922777A"/>
    <w:rsid w:val="59305703"/>
    <w:rsid w:val="593257A1"/>
    <w:rsid w:val="59331CFE"/>
    <w:rsid w:val="594E6E57"/>
    <w:rsid w:val="595B20C4"/>
    <w:rsid w:val="595F7D75"/>
    <w:rsid w:val="596412BC"/>
    <w:rsid w:val="59682F71"/>
    <w:rsid w:val="59687CD8"/>
    <w:rsid w:val="596E7C09"/>
    <w:rsid w:val="59706698"/>
    <w:rsid w:val="597169EE"/>
    <w:rsid w:val="597521EB"/>
    <w:rsid w:val="59781ABF"/>
    <w:rsid w:val="5978530D"/>
    <w:rsid w:val="5979726C"/>
    <w:rsid w:val="597E2D3F"/>
    <w:rsid w:val="597E44B0"/>
    <w:rsid w:val="597E77BC"/>
    <w:rsid w:val="598157F3"/>
    <w:rsid w:val="598C5EC0"/>
    <w:rsid w:val="598D7FB6"/>
    <w:rsid w:val="59907DD0"/>
    <w:rsid w:val="5995125A"/>
    <w:rsid w:val="59952CBC"/>
    <w:rsid w:val="59983699"/>
    <w:rsid w:val="59994DA8"/>
    <w:rsid w:val="599A576D"/>
    <w:rsid w:val="599F28FD"/>
    <w:rsid w:val="59A14E8D"/>
    <w:rsid w:val="59A93E14"/>
    <w:rsid w:val="59A9512D"/>
    <w:rsid w:val="59AA5A62"/>
    <w:rsid w:val="59AC46C1"/>
    <w:rsid w:val="59B44A29"/>
    <w:rsid w:val="59B47650"/>
    <w:rsid w:val="59B57D4B"/>
    <w:rsid w:val="59B632E2"/>
    <w:rsid w:val="59BB62E6"/>
    <w:rsid w:val="59BD1B2C"/>
    <w:rsid w:val="59BD4D33"/>
    <w:rsid w:val="59C444F2"/>
    <w:rsid w:val="59C70AB9"/>
    <w:rsid w:val="59C74F79"/>
    <w:rsid w:val="59D14830"/>
    <w:rsid w:val="59D40BD6"/>
    <w:rsid w:val="59D66671"/>
    <w:rsid w:val="59DE1C05"/>
    <w:rsid w:val="59DF061B"/>
    <w:rsid w:val="59E04DAB"/>
    <w:rsid w:val="59E121AA"/>
    <w:rsid w:val="59E12886"/>
    <w:rsid w:val="59E3160A"/>
    <w:rsid w:val="59E51A85"/>
    <w:rsid w:val="59EB3968"/>
    <w:rsid w:val="59EE5F3D"/>
    <w:rsid w:val="59FC06BA"/>
    <w:rsid w:val="5A043B83"/>
    <w:rsid w:val="5A0E5171"/>
    <w:rsid w:val="5A0F05D9"/>
    <w:rsid w:val="5A0F3408"/>
    <w:rsid w:val="5A140726"/>
    <w:rsid w:val="5A25782E"/>
    <w:rsid w:val="5A263DB6"/>
    <w:rsid w:val="5A26766F"/>
    <w:rsid w:val="5A276893"/>
    <w:rsid w:val="5A29054B"/>
    <w:rsid w:val="5A2A60C3"/>
    <w:rsid w:val="5A2B60BB"/>
    <w:rsid w:val="5A2D345A"/>
    <w:rsid w:val="5A324CB7"/>
    <w:rsid w:val="5A355E31"/>
    <w:rsid w:val="5A390967"/>
    <w:rsid w:val="5A3F3396"/>
    <w:rsid w:val="5A485EC8"/>
    <w:rsid w:val="5A4D25F6"/>
    <w:rsid w:val="5A5235A3"/>
    <w:rsid w:val="5A55310C"/>
    <w:rsid w:val="5A590BEB"/>
    <w:rsid w:val="5A5D62E5"/>
    <w:rsid w:val="5A6A5FA0"/>
    <w:rsid w:val="5A762C23"/>
    <w:rsid w:val="5A7B65ED"/>
    <w:rsid w:val="5A84642F"/>
    <w:rsid w:val="5A887796"/>
    <w:rsid w:val="5A904764"/>
    <w:rsid w:val="5A96173E"/>
    <w:rsid w:val="5A9B1F70"/>
    <w:rsid w:val="5AA96A84"/>
    <w:rsid w:val="5AB22CB6"/>
    <w:rsid w:val="5AB33DAA"/>
    <w:rsid w:val="5ABE7F60"/>
    <w:rsid w:val="5AC1156E"/>
    <w:rsid w:val="5AC95A42"/>
    <w:rsid w:val="5ACA3FD9"/>
    <w:rsid w:val="5ACF1A94"/>
    <w:rsid w:val="5AD65565"/>
    <w:rsid w:val="5ADB3E49"/>
    <w:rsid w:val="5AE4547E"/>
    <w:rsid w:val="5AE46015"/>
    <w:rsid w:val="5AE500F1"/>
    <w:rsid w:val="5AEB3B41"/>
    <w:rsid w:val="5AEE2B7E"/>
    <w:rsid w:val="5AF75314"/>
    <w:rsid w:val="5AFA4039"/>
    <w:rsid w:val="5AFD5BF6"/>
    <w:rsid w:val="5AFF750E"/>
    <w:rsid w:val="5B0229AD"/>
    <w:rsid w:val="5B1F5E2C"/>
    <w:rsid w:val="5B217CA6"/>
    <w:rsid w:val="5B2521D8"/>
    <w:rsid w:val="5B2B5785"/>
    <w:rsid w:val="5B2B620B"/>
    <w:rsid w:val="5B3D6C8A"/>
    <w:rsid w:val="5B3F0013"/>
    <w:rsid w:val="5B3F25D2"/>
    <w:rsid w:val="5B4439DB"/>
    <w:rsid w:val="5B46362A"/>
    <w:rsid w:val="5B5A4828"/>
    <w:rsid w:val="5B5C6B06"/>
    <w:rsid w:val="5B621C1B"/>
    <w:rsid w:val="5B686F81"/>
    <w:rsid w:val="5B7025B1"/>
    <w:rsid w:val="5B7605B7"/>
    <w:rsid w:val="5B7F4EBE"/>
    <w:rsid w:val="5B864C18"/>
    <w:rsid w:val="5BA27B98"/>
    <w:rsid w:val="5BAE0B26"/>
    <w:rsid w:val="5BAE33BC"/>
    <w:rsid w:val="5BB96B13"/>
    <w:rsid w:val="5BC25D72"/>
    <w:rsid w:val="5BCB2A5E"/>
    <w:rsid w:val="5BCC1B9D"/>
    <w:rsid w:val="5BDA141B"/>
    <w:rsid w:val="5BDA73B4"/>
    <w:rsid w:val="5BDD7A09"/>
    <w:rsid w:val="5BE14827"/>
    <w:rsid w:val="5BE34087"/>
    <w:rsid w:val="5BEA6384"/>
    <w:rsid w:val="5BF43FAF"/>
    <w:rsid w:val="5C0952B2"/>
    <w:rsid w:val="5C0C3960"/>
    <w:rsid w:val="5C0E14F6"/>
    <w:rsid w:val="5C114774"/>
    <w:rsid w:val="5C12483F"/>
    <w:rsid w:val="5C126AB8"/>
    <w:rsid w:val="5C186DE5"/>
    <w:rsid w:val="5C1B4099"/>
    <w:rsid w:val="5C222216"/>
    <w:rsid w:val="5C230CCC"/>
    <w:rsid w:val="5C2D16C9"/>
    <w:rsid w:val="5C393111"/>
    <w:rsid w:val="5C41601D"/>
    <w:rsid w:val="5C4515FD"/>
    <w:rsid w:val="5C4D148F"/>
    <w:rsid w:val="5C552AF6"/>
    <w:rsid w:val="5C5550C2"/>
    <w:rsid w:val="5C557D9C"/>
    <w:rsid w:val="5C59581C"/>
    <w:rsid w:val="5C595F79"/>
    <w:rsid w:val="5C6A54AD"/>
    <w:rsid w:val="5C6B29C5"/>
    <w:rsid w:val="5C6D694D"/>
    <w:rsid w:val="5C737F02"/>
    <w:rsid w:val="5C757A5F"/>
    <w:rsid w:val="5C78035C"/>
    <w:rsid w:val="5C7B67F7"/>
    <w:rsid w:val="5C9445D4"/>
    <w:rsid w:val="5CA10C41"/>
    <w:rsid w:val="5CA12260"/>
    <w:rsid w:val="5CA1627D"/>
    <w:rsid w:val="5CA556EA"/>
    <w:rsid w:val="5CA65D07"/>
    <w:rsid w:val="5CAF61ED"/>
    <w:rsid w:val="5CB7403A"/>
    <w:rsid w:val="5CBE1C9F"/>
    <w:rsid w:val="5CC1349E"/>
    <w:rsid w:val="5CC42E4D"/>
    <w:rsid w:val="5CC67DD7"/>
    <w:rsid w:val="5CD17E09"/>
    <w:rsid w:val="5CD62695"/>
    <w:rsid w:val="5CD8064C"/>
    <w:rsid w:val="5CD9130A"/>
    <w:rsid w:val="5CD93089"/>
    <w:rsid w:val="5CD93824"/>
    <w:rsid w:val="5CDC6150"/>
    <w:rsid w:val="5CDD3B2F"/>
    <w:rsid w:val="5CDD6227"/>
    <w:rsid w:val="5CDE2B52"/>
    <w:rsid w:val="5CE01F50"/>
    <w:rsid w:val="5CE448BB"/>
    <w:rsid w:val="5CED4303"/>
    <w:rsid w:val="5CF047B9"/>
    <w:rsid w:val="5CF47305"/>
    <w:rsid w:val="5CF96671"/>
    <w:rsid w:val="5CFD29A0"/>
    <w:rsid w:val="5D007FBF"/>
    <w:rsid w:val="5D027768"/>
    <w:rsid w:val="5D063573"/>
    <w:rsid w:val="5D0B680F"/>
    <w:rsid w:val="5D0C5F07"/>
    <w:rsid w:val="5D1055C8"/>
    <w:rsid w:val="5D134B64"/>
    <w:rsid w:val="5D18459A"/>
    <w:rsid w:val="5D1D5E6D"/>
    <w:rsid w:val="5D1F4FA4"/>
    <w:rsid w:val="5D215CC6"/>
    <w:rsid w:val="5D24070D"/>
    <w:rsid w:val="5D276023"/>
    <w:rsid w:val="5D297207"/>
    <w:rsid w:val="5D380EAD"/>
    <w:rsid w:val="5D39719E"/>
    <w:rsid w:val="5D3E5F62"/>
    <w:rsid w:val="5D4A5209"/>
    <w:rsid w:val="5D5F1338"/>
    <w:rsid w:val="5D61621B"/>
    <w:rsid w:val="5D6409AB"/>
    <w:rsid w:val="5D686AB3"/>
    <w:rsid w:val="5D694842"/>
    <w:rsid w:val="5D730124"/>
    <w:rsid w:val="5D772D27"/>
    <w:rsid w:val="5D790A76"/>
    <w:rsid w:val="5D7E4132"/>
    <w:rsid w:val="5D912F97"/>
    <w:rsid w:val="5DA3022E"/>
    <w:rsid w:val="5DA3063C"/>
    <w:rsid w:val="5DA735C5"/>
    <w:rsid w:val="5DA83B32"/>
    <w:rsid w:val="5DB92D3F"/>
    <w:rsid w:val="5DC2742F"/>
    <w:rsid w:val="5DC85E16"/>
    <w:rsid w:val="5DCC5BE6"/>
    <w:rsid w:val="5DD57E1F"/>
    <w:rsid w:val="5DD65319"/>
    <w:rsid w:val="5DDE7D9B"/>
    <w:rsid w:val="5DEC1DAF"/>
    <w:rsid w:val="5DFD4163"/>
    <w:rsid w:val="5DFF192B"/>
    <w:rsid w:val="5DFF5E38"/>
    <w:rsid w:val="5E09063A"/>
    <w:rsid w:val="5E194A28"/>
    <w:rsid w:val="5E230F7F"/>
    <w:rsid w:val="5E3000B4"/>
    <w:rsid w:val="5E32038E"/>
    <w:rsid w:val="5E3B725F"/>
    <w:rsid w:val="5E4037C0"/>
    <w:rsid w:val="5E572336"/>
    <w:rsid w:val="5E58308E"/>
    <w:rsid w:val="5E5E3071"/>
    <w:rsid w:val="5E62483E"/>
    <w:rsid w:val="5E6F3015"/>
    <w:rsid w:val="5E77567F"/>
    <w:rsid w:val="5E79067D"/>
    <w:rsid w:val="5E7A1BB6"/>
    <w:rsid w:val="5E7C5F7A"/>
    <w:rsid w:val="5E842271"/>
    <w:rsid w:val="5E8F1A1E"/>
    <w:rsid w:val="5E997914"/>
    <w:rsid w:val="5EA04D11"/>
    <w:rsid w:val="5EA11A6E"/>
    <w:rsid w:val="5EAB25C1"/>
    <w:rsid w:val="5EB42E0B"/>
    <w:rsid w:val="5EB5107E"/>
    <w:rsid w:val="5EBC503D"/>
    <w:rsid w:val="5EC36223"/>
    <w:rsid w:val="5ED03D86"/>
    <w:rsid w:val="5ED04702"/>
    <w:rsid w:val="5ED3771F"/>
    <w:rsid w:val="5ED8439E"/>
    <w:rsid w:val="5EE07AC5"/>
    <w:rsid w:val="5EE710FD"/>
    <w:rsid w:val="5EEE53A5"/>
    <w:rsid w:val="5EFF4587"/>
    <w:rsid w:val="5F037CB8"/>
    <w:rsid w:val="5F05157E"/>
    <w:rsid w:val="5F0849D1"/>
    <w:rsid w:val="5F0D3685"/>
    <w:rsid w:val="5F103E8F"/>
    <w:rsid w:val="5F120FA2"/>
    <w:rsid w:val="5F14621A"/>
    <w:rsid w:val="5F1A5314"/>
    <w:rsid w:val="5F203B7A"/>
    <w:rsid w:val="5F220743"/>
    <w:rsid w:val="5F2547C0"/>
    <w:rsid w:val="5F2D1AB2"/>
    <w:rsid w:val="5F324580"/>
    <w:rsid w:val="5F3652FE"/>
    <w:rsid w:val="5F3862A4"/>
    <w:rsid w:val="5F3D50F7"/>
    <w:rsid w:val="5F3D6D3C"/>
    <w:rsid w:val="5F4054AC"/>
    <w:rsid w:val="5F4B7488"/>
    <w:rsid w:val="5F554CF7"/>
    <w:rsid w:val="5F583CD7"/>
    <w:rsid w:val="5F5D03E4"/>
    <w:rsid w:val="5F614FBF"/>
    <w:rsid w:val="5F625210"/>
    <w:rsid w:val="5F66604E"/>
    <w:rsid w:val="5F6A11DE"/>
    <w:rsid w:val="5F6E5478"/>
    <w:rsid w:val="5F76112A"/>
    <w:rsid w:val="5F7C60A3"/>
    <w:rsid w:val="5F7E35CC"/>
    <w:rsid w:val="5F7F4B46"/>
    <w:rsid w:val="5F7F7D47"/>
    <w:rsid w:val="5F8205E7"/>
    <w:rsid w:val="5F86082E"/>
    <w:rsid w:val="5F907928"/>
    <w:rsid w:val="5F937FF5"/>
    <w:rsid w:val="5F96501A"/>
    <w:rsid w:val="5F9F3298"/>
    <w:rsid w:val="5FA14345"/>
    <w:rsid w:val="5FA24F6C"/>
    <w:rsid w:val="5FA92783"/>
    <w:rsid w:val="5FAE67AA"/>
    <w:rsid w:val="5FB01720"/>
    <w:rsid w:val="5FBB3EA8"/>
    <w:rsid w:val="5FC41314"/>
    <w:rsid w:val="5FC94AA2"/>
    <w:rsid w:val="5FD163FB"/>
    <w:rsid w:val="5FD40736"/>
    <w:rsid w:val="5FDB0437"/>
    <w:rsid w:val="5FE53987"/>
    <w:rsid w:val="5FEC10B2"/>
    <w:rsid w:val="5FF45F25"/>
    <w:rsid w:val="5FF60D8F"/>
    <w:rsid w:val="5FF92B75"/>
    <w:rsid w:val="5FFC653C"/>
    <w:rsid w:val="60011B97"/>
    <w:rsid w:val="600C5E19"/>
    <w:rsid w:val="600F1ED8"/>
    <w:rsid w:val="60143233"/>
    <w:rsid w:val="601C270B"/>
    <w:rsid w:val="601D4DDA"/>
    <w:rsid w:val="60263872"/>
    <w:rsid w:val="602A715B"/>
    <w:rsid w:val="603479F3"/>
    <w:rsid w:val="603866DD"/>
    <w:rsid w:val="604D2EC1"/>
    <w:rsid w:val="60556DBD"/>
    <w:rsid w:val="60591A5E"/>
    <w:rsid w:val="60644761"/>
    <w:rsid w:val="606B0652"/>
    <w:rsid w:val="606D2534"/>
    <w:rsid w:val="606D3A9D"/>
    <w:rsid w:val="606E567C"/>
    <w:rsid w:val="60744309"/>
    <w:rsid w:val="607F3780"/>
    <w:rsid w:val="608826E8"/>
    <w:rsid w:val="6088520C"/>
    <w:rsid w:val="608D3D09"/>
    <w:rsid w:val="60916232"/>
    <w:rsid w:val="60925011"/>
    <w:rsid w:val="60976F22"/>
    <w:rsid w:val="60A14593"/>
    <w:rsid w:val="60A32F73"/>
    <w:rsid w:val="60A54F4C"/>
    <w:rsid w:val="60A6133F"/>
    <w:rsid w:val="60AC408B"/>
    <w:rsid w:val="60B4647A"/>
    <w:rsid w:val="60B71CD1"/>
    <w:rsid w:val="60BD300E"/>
    <w:rsid w:val="60C04824"/>
    <w:rsid w:val="60C13DBB"/>
    <w:rsid w:val="60CC56D2"/>
    <w:rsid w:val="60CE0B02"/>
    <w:rsid w:val="60D2641E"/>
    <w:rsid w:val="60D72171"/>
    <w:rsid w:val="60D91F94"/>
    <w:rsid w:val="60E00587"/>
    <w:rsid w:val="60E70C20"/>
    <w:rsid w:val="60FD3E86"/>
    <w:rsid w:val="61096C05"/>
    <w:rsid w:val="610D724D"/>
    <w:rsid w:val="610F0DD9"/>
    <w:rsid w:val="611438D6"/>
    <w:rsid w:val="61163F1A"/>
    <w:rsid w:val="6118702B"/>
    <w:rsid w:val="611F3676"/>
    <w:rsid w:val="612F3859"/>
    <w:rsid w:val="612F6034"/>
    <w:rsid w:val="6131102A"/>
    <w:rsid w:val="61354EBF"/>
    <w:rsid w:val="61374F54"/>
    <w:rsid w:val="61375751"/>
    <w:rsid w:val="61376363"/>
    <w:rsid w:val="613D6380"/>
    <w:rsid w:val="613E51C2"/>
    <w:rsid w:val="614110CB"/>
    <w:rsid w:val="61453976"/>
    <w:rsid w:val="61480922"/>
    <w:rsid w:val="6148139B"/>
    <w:rsid w:val="614A20D4"/>
    <w:rsid w:val="614E01B2"/>
    <w:rsid w:val="614E0CEF"/>
    <w:rsid w:val="614F785B"/>
    <w:rsid w:val="615141BA"/>
    <w:rsid w:val="61522310"/>
    <w:rsid w:val="615446B9"/>
    <w:rsid w:val="616314C9"/>
    <w:rsid w:val="616D0537"/>
    <w:rsid w:val="617C1CB0"/>
    <w:rsid w:val="617C5E79"/>
    <w:rsid w:val="6188569C"/>
    <w:rsid w:val="618F251A"/>
    <w:rsid w:val="618F407D"/>
    <w:rsid w:val="6195135F"/>
    <w:rsid w:val="61974EF4"/>
    <w:rsid w:val="61A219F4"/>
    <w:rsid w:val="61A460CB"/>
    <w:rsid w:val="61AD3EB5"/>
    <w:rsid w:val="61B14B80"/>
    <w:rsid w:val="61BB6F43"/>
    <w:rsid w:val="61BE6953"/>
    <w:rsid w:val="61C32FA0"/>
    <w:rsid w:val="61CB6880"/>
    <w:rsid w:val="61CC6368"/>
    <w:rsid w:val="61CD02F3"/>
    <w:rsid w:val="61CD7F6C"/>
    <w:rsid w:val="61CF48F2"/>
    <w:rsid w:val="61D72079"/>
    <w:rsid w:val="61EE3D71"/>
    <w:rsid w:val="61EF7AE7"/>
    <w:rsid w:val="61F849F0"/>
    <w:rsid w:val="62065058"/>
    <w:rsid w:val="620C2F3F"/>
    <w:rsid w:val="621450DD"/>
    <w:rsid w:val="6216582C"/>
    <w:rsid w:val="622C11D2"/>
    <w:rsid w:val="6237126B"/>
    <w:rsid w:val="623C672C"/>
    <w:rsid w:val="623F15D5"/>
    <w:rsid w:val="624E3191"/>
    <w:rsid w:val="6264571E"/>
    <w:rsid w:val="626651C5"/>
    <w:rsid w:val="62690734"/>
    <w:rsid w:val="626C203E"/>
    <w:rsid w:val="626E53DD"/>
    <w:rsid w:val="627703DF"/>
    <w:rsid w:val="62775578"/>
    <w:rsid w:val="627F5B64"/>
    <w:rsid w:val="62831A78"/>
    <w:rsid w:val="6288243F"/>
    <w:rsid w:val="62891CB7"/>
    <w:rsid w:val="628A6A8E"/>
    <w:rsid w:val="628C4799"/>
    <w:rsid w:val="62974F68"/>
    <w:rsid w:val="629D45E2"/>
    <w:rsid w:val="629E293D"/>
    <w:rsid w:val="62A90A8F"/>
    <w:rsid w:val="62AD5016"/>
    <w:rsid w:val="62B05828"/>
    <w:rsid w:val="62B24B03"/>
    <w:rsid w:val="62BC265A"/>
    <w:rsid w:val="62C4031D"/>
    <w:rsid w:val="62C66F2E"/>
    <w:rsid w:val="62CC7D0C"/>
    <w:rsid w:val="62D126CD"/>
    <w:rsid w:val="62D23E16"/>
    <w:rsid w:val="62D4733C"/>
    <w:rsid w:val="62D71ACD"/>
    <w:rsid w:val="62DC76DB"/>
    <w:rsid w:val="62E1297C"/>
    <w:rsid w:val="62E55019"/>
    <w:rsid w:val="62E70CFB"/>
    <w:rsid w:val="62E7608B"/>
    <w:rsid w:val="62EA5D25"/>
    <w:rsid w:val="62F12031"/>
    <w:rsid w:val="62F92F9D"/>
    <w:rsid w:val="6307107B"/>
    <w:rsid w:val="63082147"/>
    <w:rsid w:val="63174B4E"/>
    <w:rsid w:val="63196555"/>
    <w:rsid w:val="63231CD4"/>
    <w:rsid w:val="63242EC6"/>
    <w:rsid w:val="632E23B1"/>
    <w:rsid w:val="6330262E"/>
    <w:rsid w:val="63343C33"/>
    <w:rsid w:val="633747CD"/>
    <w:rsid w:val="63442D0D"/>
    <w:rsid w:val="63487F56"/>
    <w:rsid w:val="63537409"/>
    <w:rsid w:val="63540482"/>
    <w:rsid w:val="63562E9D"/>
    <w:rsid w:val="6358736E"/>
    <w:rsid w:val="635E6433"/>
    <w:rsid w:val="637A3808"/>
    <w:rsid w:val="637E0CDF"/>
    <w:rsid w:val="637E4351"/>
    <w:rsid w:val="6388390E"/>
    <w:rsid w:val="63896943"/>
    <w:rsid w:val="638B02EA"/>
    <w:rsid w:val="639316F2"/>
    <w:rsid w:val="63941250"/>
    <w:rsid w:val="63974B7F"/>
    <w:rsid w:val="63993A88"/>
    <w:rsid w:val="639C3612"/>
    <w:rsid w:val="639D56AD"/>
    <w:rsid w:val="639D7E6E"/>
    <w:rsid w:val="63A65FAA"/>
    <w:rsid w:val="63AE2E6E"/>
    <w:rsid w:val="63AF41FF"/>
    <w:rsid w:val="63BA3C98"/>
    <w:rsid w:val="63BB6ED6"/>
    <w:rsid w:val="63BD4898"/>
    <w:rsid w:val="63CA6D1E"/>
    <w:rsid w:val="63D447F3"/>
    <w:rsid w:val="63D82BEB"/>
    <w:rsid w:val="63DA3897"/>
    <w:rsid w:val="63E11D98"/>
    <w:rsid w:val="63E57E3D"/>
    <w:rsid w:val="63EA3E3F"/>
    <w:rsid w:val="63F038A8"/>
    <w:rsid w:val="63F03955"/>
    <w:rsid w:val="63F27DF0"/>
    <w:rsid w:val="63F636EF"/>
    <w:rsid w:val="63F914CC"/>
    <w:rsid w:val="63F938D0"/>
    <w:rsid w:val="640B291F"/>
    <w:rsid w:val="640B7E86"/>
    <w:rsid w:val="64167D2F"/>
    <w:rsid w:val="64183C38"/>
    <w:rsid w:val="642957C8"/>
    <w:rsid w:val="643901CB"/>
    <w:rsid w:val="644029FA"/>
    <w:rsid w:val="64410717"/>
    <w:rsid w:val="64501936"/>
    <w:rsid w:val="64507A72"/>
    <w:rsid w:val="64550F60"/>
    <w:rsid w:val="64580234"/>
    <w:rsid w:val="645970F6"/>
    <w:rsid w:val="645C1924"/>
    <w:rsid w:val="646B4D5B"/>
    <w:rsid w:val="648779D9"/>
    <w:rsid w:val="648E3E8D"/>
    <w:rsid w:val="64906B9B"/>
    <w:rsid w:val="6497402D"/>
    <w:rsid w:val="6498206C"/>
    <w:rsid w:val="649B54A6"/>
    <w:rsid w:val="649F3F85"/>
    <w:rsid w:val="64A66140"/>
    <w:rsid w:val="64B24F07"/>
    <w:rsid w:val="64B36CC6"/>
    <w:rsid w:val="64B61E2E"/>
    <w:rsid w:val="64BC7001"/>
    <w:rsid w:val="64BD77C3"/>
    <w:rsid w:val="64C7739A"/>
    <w:rsid w:val="64DA5FDA"/>
    <w:rsid w:val="64E82661"/>
    <w:rsid w:val="64EF4B82"/>
    <w:rsid w:val="64F57E1A"/>
    <w:rsid w:val="64FA1F9C"/>
    <w:rsid w:val="64FF7DD1"/>
    <w:rsid w:val="65072B58"/>
    <w:rsid w:val="6524364E"/>
    <w:rsid w:val="652468F2"/>
    <w:rsid w:val="652B7C39"/>
    <w:rsid w:val="652C277D"/>
    <w:rsid w:val="6535014C"/>
    <w:rsid w:val="65411B2D"/>
    <w:rsid w:val="65455B4A"/>
    <w:rsid w:val="654650C3"/>
    <w:rsid w:val="65474D3F"/>
    <w:rsid w:val="65497CA5"/>
    <w:rsid w:val="655040AF"/>
    <w:rsid w:val="655057F5"/>
    <w:rsid w:val="65517912"/>
    <w:rsid w:val="6556298D"/>
    <w:rsid w:val="65576AA1"/>
    <w:rsid w:val="65586186"/>
    <w:rsid w:val="65592582"/>
    <w:rsid w:val="655B7C90"/>
    <w:rsid w:val="655D3D69"/>
    <w:rsid w:val="655E4361"/>
    <w:rsid w:val="6566754D"/>
    <w:rsid w:val="656E2283"/>
    <w:rsid w:val="65770F0C"/>
    <w:rsid w:val="65773438"/>
    <w:rsid w:val="657927CF"/>
    <w:rsid w:val="657D11E2"/>
    <w:rsid w:val="6583090A"/>
    <w:rsid w:val="659C48EC"/>
    <w:rsid w:val="65A04F08"/>
    <w:rsid w:val="65A100CE"/>
    <w:rsid w:val="65A16B1A"/>
    <w:rsid w:val="65A52737"/>
    <w:rsid w:val="65A76A3A"/>
    <w:rsid w:val="65AE7811"/>
    <w:rsid w:val="65B73522"/>
    <w:rsid w:val="65B8156E"/>
    <w:rsid w:val="65BA3172"/>
    <w:rsid w:val="65C25546"/>
    <w:rsid w:val="65C32362"/>
    <w:rsid w:val="65C42CA7"/>
    <w:rsid w:val="65C71842"/>
    <w:rsid w:val="65F8385B"/>
    <w:rsid w:val="65F83ECB"/>
    <w:rsid w:val="65F8567D"/>
    <w:rsid w:val="660B73C9"/>
    <w:rsid w:val="660C5BA2"/>
    <w:rsid w:val="660D36F6"/>
    <w:rsid w:val="661E0C26"/>
    <w:rsid w:val="663600E3"/>
    <w:rsid w:val="663740B6"/>
    <w:rsid w:val="6638319E"/>
    <w:rsid w:val="66386F48"/>
    <w:rsid w:val="664A29C4"/>
    <w:rsid w:val="664A5658"/>
    <w:rsid w:val="664A6025"/>
    <w:rsid w:val="665D4B35"/>
    <w:rsid w:val="66680753"/>
    <w:rsid w:val="66727016"/>
    <w:rsid w:val="6674670A"/>
    <w:rsid w:val="667773DC"/>
    <w:rsid w:val="667E378D"/>
    <w:rsid w:val="66802D5B"/>
    <w:rsid w:val="66810596"/>
    <w:rsid w:val="66827698"/>
    <w:rsid w:val="66886F7A"/>
    <w:rsid w:val="668A2F1E"/>
    <w:rsid w:val="668C050E"/>
    <w:rsid w:val="66914B22"/>
    <w:rsid w:val="66944C4B"/>
    <w:rsid w:val="669A6826"/>
    <w:rsid w:val="669B48FD"/>
    <w:rsid w:val="669B54CC"/>
    <w:rsid w:val="669E6F9E"/>
    <w:rsid w:val="66A378B4"/>
    <w:rsid w:val="66AF500B"/>
    <w:rsid w:val="66B358FB"/>
    <w:rsid w:val="66B80E3F"/>
    <w:rsid w:val="66B84B70"/>
    <w:rsid w:val="66B86E76"/>
    <w:rsid w:val="66C22D5D"/>
    <w:rsid w:val="66C973E2"/>
    <w:rsid w:val="66CF3AB7"/>
    <w:rsid w:val="66DB04C8"/>
    <w:rsid w:val="66DF7732"/>
    <w:rsid w:val="66E34646"/>
    <w:rsid w:val="66E45DD3"/>
    <w:rsid w:val="66F10612"/>
    <w:rsid w:val="66F31084"/>
    <w:rsid w:val="66F4255C"/>
    <w:rsid w:val="66F46656"/>
    <w:rsid w:val="66F66A5A"/>
    <w:rsid w:val="66F9727A"/>
    <w:rsid w:val="66FC2F4B"/>
    <w:rsid w:val="670818F0"/>
    <w:rsid w:val="670E6F5E"/>
    <w:rsid w:val="67100DE2"/>
    <w:rsid w:val="67127249"/>
    <w:rsid w:val="6713700F"/>
    <w:rsid w:val="67197198"/>
    <w:rsid w:val="671B0378"/>
    <w:rsid w:val="671B12E6"/>
    <w:rsid w:val="67204A5B"/>
    <w:rsid w:val="673C0CF9"/>
    <w:rsid w:val="67402EC5"/>
    <w:rsid w:val="674815A5"/>
    <w:rsid w:val="67492144"/>
    <w:rsid w:val="67634DE2"/>
    <w:rsid w:val="67646DD5"/>
    <w:rsid w:val="676B2546"/>
    <w:rsid w:val="677523C0"/>
    <w:rsid w:val="67760F4F"/>
    <w:rsid w:val="67776D95"/>
    <w:rsid w:val="679118E5"/>
    <w:rsid w:val="679126C0"/>
    <w:rsid w:val="67932589"/>
    <w:rsid w:val="679710B1"/>
    <w:rsid w:val="679B7BD5"/>
    <w:rsid w:val="67A100F4"/>
    <w:rsid w:val="67A23576"/>
    <w:rsid w:val="67A575E5"/>
    <w:rsid w:val="67A60B83"/>
    <w:rsid w:val="67B61181"/>
    <w:rsid w:val="67BA110E"/>
    <w:rsid w:val="67BB614D"/>
    <w:rsid w:val="67C1543E"/>
    <w:rsid w:val="67C40CD0"/>
    <w:rsid w:val="67C43E68"/>
    <w:rsid w:val="67CD24F0"/>
    <w:rsid w:val="67D217FB"/>
    <w:rsid w:val="67D54202"/>
    <w:rsid w:val="67DA41BA"/>
    <w:rsid w:val="67DB775B"/>
    <w:rsid w:val="67DC54D7"/>
    <w:rsid w:val="67DD06AF"/>
    <w:rsid w:val="67DE6DAF"/>
    <w:rsid w:val="67E02521"/>
    <w:rsid w:val="67E03F34"/>
    <w:rsid w:val="67E353CF"/>
    <w:rsid w:val="67E41041"/>
    <w:rsid w:val="67E51754"/>
    <w:rsid w:val="67E90194"/>
    <w:rsid w:val="67EF2203"/>
    <w:rsid w:val="67F74FC2"/>
    <w:rsid w:val="68073762"/>
    <w:rsid w:val="68097CFE"/>
    <w:rsid w:val="680C7404"/>
    <w:rsid w:val="6813569B"/>
    <w:rsid w:val="68150095"/>
    <w:rsid w:val="681958BA"/>
    <w:rsid w:val="681D422A"/>
    <w:rsid w:val="682C232B"/>
    <w:rsid w:val="682E1077"/>
    <w:rsid w:val="682F0222"/>
    <w:rsid w:val="68406536"/>
    <w:rsid w:val="6843563E"/>
    <w:rsid w:val="6848168A"/>
    <w:rsid w:val="684922D6"/>
    <w:rsid w:val="68507CF3"/>
    <w:rsid w:val="6855741F"/>
    <w:rsid w:val="685C6092"/>
    <w:rsid w:val="68601074"/>
    <w:rsid w:val="686F1CC8"/>
    <w:rsid w:val="68746A4C"/>
    <w:rsid w:val="687F6E53"/>
    <w:rsid w:val="68812314"/>
    <w:rsid w:val="6887109E"/>
    <w:rsid w:val="6888024C"/>
    <w:rsid w:val="688811DB"/>
    <w:rsid w:val="68894846"/>
    <w:rsid w:val="688A348E"/>
    <w:rsid w:val="688A4B55"/>
    <w:rsid w:val="689656EC"/>
    <w:rsid w:val="68983DB1"/>
    <w:rsid w:val="68990481"/>
    <w:rsid w:val="689E091F"/>
    <w:rsid w:val="68AF6623"/>
    <w:rsid w:val="68B220F3"/>
    <w:rsid w:val="68BA095E"/>
    <w:rsid w:val="68C077CA"/>
    <w:rsid w:val="68C17900"/>
    <w:rsid w:val="68C9460A"/>
    <w:rsid w:val="68CB1D62"/>
    <w:rsid w:val="68D04A3C"/>
    <w:rsid w:val="68D43EFB"/>
    <w:rsid w:val="68D46E6E"/>
    <w:rsid w:val="68D70DF8"/>
    <w:rsid w:val="68D73647"/>
    <w:rsid w:val="68D92213"/>
    <w:rsid w:val="68DD5BDF"/>
    <w:rsid w:val="68E05B8B"/>
    <w:rsid w:val="68EF6A7B"/>
    <w:rsid w:val="68F525BA"/>
    <w:rsid w:val="68F57674"/>
    <w:rsid w:val="68FB2C37"/>
    <w:rsid w:val="69030568"/>
    <w:rsid w:val="6905208E"/>
    <w:rsid w:val="690578E8"/>
    <w:rsid w:val="69144334"/>
    <w:rsid w:val="69145325"/>
    <w:rsid w:val="69154E2C"/>
    <w:rsid w:val="69216DA1"/>
    <w:rsid w:val="6926187D"/>
    <w:rsid w:val="69263F8A"/>
    <w:rsid w:val="69283439"/>
    <w:rsid w:val="692843AA"/>
    <w:rsid w:val="692E5F2F"/>
    <w:rsid w:val="69310421"/>
    <w:rsid w:val="693643A3"/>
    <w:rsid w:val="69374E8A"/>
    <w:rsid w:val="693D32A1"/>
    <w:rsid w:val="69403588"/>
    <w:rsid w:val="694E2F99"/>
    <w:rsid w:val="69565A01"/>
    <w:rsid w:val="695743B6"/>
    <w:rsid w:val="695F5284"/>
    <w:rsid w:val="696A3EFE"/>
    <w:rsid w:val="696E5502"/>
    <w:rsid w:val="6973582A"/>
    <w:rsid w:val="69766CDD"/>
    <w:rsid w:val="6979224B"/>
    <w:rsid w:val="69835C3A"/>
    <w:rsid w:val="699C4777"/>
    <w:rsid w:val="69A8681C"/>
    <w:rsid w:val="69AD1602"/>
    <w:rsid w:val="69B81D48"/>
    <w:rsid w:val="69BB6D64"/>
    <w:rsid w:val="69C60863"/>
    <w:rsid w:val="69C7656B"/>
    <w:rsid w:val="69C922B1"/>
    <w:rsid w:val="69D4625E"/>
    <w:rsid w:val="69D82B78"/>
    <w:rsid w:val="69DA3FE1"/>
    <w:rsid w:val="69DF5E44"/>
    <w:rsid w:val="69E269FD"/>
    <w:rsid w:val="69E5091E"/>
    <w:rsid w:val="69EA0C1D"/>
    <w:rsid w:val="69ED5BF6"/>
    <w:rsid w:val="69EE3959"/>
    <w:rsid w:val="69FE46A3"/>
    <w:rsid w:val="69FF0E62"/>
    <w:rsid w:val="6A0A0797"/>
    <w:rsid w:val="6A0A48FD"/>
    <w:rsid w:val="6A0C7450"/>
    <w:rsid w:val="6A0D0354"/>
    <w:rsid w:val="6A1961CC"/>
    <w:rsid w:val="6A1E733F"/>
    <w:rsid w:val="6A20156A"/>
    <w:rsid w:val="6A20736C"/>
    <w:rsid w:val="6A2205E6"/>
    <w:rsid w:val="6A247A7E"/>
    <w:rsid w:val="6A25549F"/>
    <w:rsid w:val="6A281F5A"/>
    <w:rsid w:val="6A290F09"/>
    <w:rsid w:val="6A2B1482"/>
    <w:rsid w:val="6A36559F"/>
    <w:rsid w:val="6A3B283E"/>
    <w:rsid w:val="6A420126"/>
    <w:rsid w:val="6A462F82"/>
    <w:rsid w:val="6A4946F9"/>
    <w:rsid w:val="6A551529"/>
    <w:rsid w:val="6A5F5EB3"/>
    <w:rsid w:val="6A5F7CDE"/>
    <w:rsid w:val="6A6047EB"/>
    <w:rsid w:val="6A60655B"/>
    <w:rsid w:val="6A7A68CA"/>
    <w:rsid w:val="6A7F45BF"/>
    <w:rsid w:val="6A864175"/>
    <w:rsid w:val="6A875F36"/>
    <w:rsid w:val="6A8B7673"/>
    <w:rsid w:val="6A8D2AEF"/>
    <w:rsid w:val="6A8E4D99"/>
    <w:rsid w:val="6A8F0033"/>
    <w:rsid w:val="6A901955"/>
    <w:rsid w:val="6AA911CB"/>
    <w:rsid w:val="6AB376F4"/>
    <w:rsid w:val="6ABD7E26"/>
    <w:rsid w:val="6ABE3B76"/>
    <w:rsid w:val="6ABE69C9"/>
    <w:rsid w:val="6AC02C0D"/>
    <w:rsid w:val="6AC56708"/>
    <w:rsid w:val="6ACF373D"/>
    <w:rsid w:val="6ADC1023"/>
    <w:rsid w:val="6AE34587"/>
    <w:rsid w:val="6AF9568C"/>
    <w:rsid w:val="6AFD7248"/>
    <w:rsid w:val="6AFE7E1E"/>
    <w:rsid w:val="6B0B3681"/>
    <w:rsid w:val="6B0B56D2"/>
    <w:rsid w:val="6B175ECE"/>
    <w:rsid w:val="6B1A2AA7"/>
    <w:rsid w:val="6B204BA4"/>
    <w:rsid w:val="6B2160B7"/>
    <w:rsid w:val="6B417957"/>
    <w:rsid w:val="6B4932B6"/>
    <w:rsid w:val="6B516755"/>
    <w:rsid w:val="6B53782C"/>
    <w:rsid w:val="6B5E41BA"/>
    <w:rsid w:val="6B605212"/>
    <w:rsid w:val="6B6136B8"/>
    <w:rsid w:val="6B6171F7"/>
    <w:rsid w:val="6B6A06F7"/>
    <w:rsid w:val="6B720F32"/>
    <w:rsid w:val="6B7526DB"/>
    <w:rsid w:val="6B782381"/>
    <w:rsid w:val="6B880C4F"/>
    <w:rsid w:val="6B887200"/>
    <w:rsid w:val="6B8D32BD"/>
    <w:rsid w:val="6B8F25DF"/>
    <w:rsid w:val="6B9E5155"/>
    <w:rsid w:val="6B9E5175"/>
    <w:rsid w:val="6B9F5498"/>
    <w:rsid w:val="6BB967AB"/>
    <w:rsid w:val="6BBD01FF"/>
    <w:rsid w:val="6BC52DB7"/>
    <w:rsid w:val="6BCC55DD"/>
    <w:rsid w:val="6BD86915"/>
    <w:rsid w:val="6BD9030F"/>
    <w:rsid w:val="6BDA7FE8"/>
    <w:rsid w:val="6BE46A9F"/>
    <w:rsid w:val="6BE714B2"/>
    <w:rsid w:val="6BF23EB9"/>
    <w:rsid w:val="6BF51843"/>
    <w:rsid w:val="6C05640F"/>
    <w:rsid w:val="6C093FCA"/>
    <w:rsid w:val="6C112FC3"/>
    <w:rsid w:val="6C194FC8"/>
    <w:rsid w:val="6C203282"/>
    <w:rsid w:val="6C222323"/>
    <w:rsid w:val="6C292EF1"/>
    <w:rsid w:val="6C2C0B82"/>
    <w:rsid w:val="6C330882"/>
    <w:rsid w:val="6C3332D3"/>
    <w:rsid w:val="6C3B1415"/>
    <w:rsid w:val="6C3D74E8"/>
    <w:rsid w:val="6C4A4D71"/>
    <w:rsid w:val="6C4A7E0A"/>
    <w:rsid w:val="6C523C71"/>
    <w:rsid w:val="6C533842"/>
    <w:rsid w:val="6C57498C"/>
    <w:rsid w:val="6C5931CD"/>
    <w:rsid w:val="6C596AAA"/>
    <w:rsid w:val="6C5A278D"/>
    <w:rsid w:val="6C5B573B"/>
    <w:rsid w:val="6C5B789B"/>
    <w:rsid w:val="6C5E2816"/>
    <w:rsid w:val="6C5F0A89"/>
    <w:rsid w:val="6C6B08D8"/>
    <w:rsid w:val="6C7633CC"/>
    <w:rsid w:val="6C893030"/>
    <w:rsid w:val="6C8C340F"/>
    <w:rsid w:val="6C917840"/>
    <w:rsid w:val="6C990F02"/>
    <w:rsid w:val="6CA57952"/>
    <w:rsid w:val="6CA834EE"/>
    <w:rsid w:val="6CAB3F28"/>
    <w:rsid w:val="6CAB5A61"/>
    <w:rsid w:val="6CAC7BB2"/>
    <w:rsid w:val="6CAD5A26"/>
    <w:rsid w:val="6CB7448C"/>
    <w:rsid w:val="6CB77F4C"/>
    <w:rsid w:val="6CB924D7"/>
    <w:rsid w:val="6CBE317C"/>
    <w:rsid w:val="6CC04DF2"/>
    <w:rsid w:val="6CC43A24"/>
    <w:rsid w:val="6CC76D87"/>
    <w:rsid w:val="6CCC0CBD"/>
    <w:rsid w:val="6CCC7931"/>
    <w:rsid w:val="6CCD4AEB"/>
    <w:rsid w:val="6CCF44B8"/>
    <w:rsid w:val="6CCF669A"/>
    <w:rsid w:val="6CD04FF7"/>
    <w:rsid w:val="6CD827D4"/>
    <w:rsid w:val="6CD92BA2"/>
    <w:rsid w:val="6CDC0076"/>
    <w:rsid w:val="6CE10884"/>
    <w:rsid w:val="6CE54130"/>
    <w:rsid w:val="6CEC0484"/>
    <w:rsid w:val="6CF9258A"/>
    <w:rsid w:val="6CFA1F9A"/>
    <w:rsid w:val="6D0327A8"/>
    <w:rsid w:val="6D08189B"/>
    <w:rsid w:val="6D115EF3"/>
    <w:rsid w:val="6D127E10"/>
    <w:rsid w:val="6D1853E4"/>
    <w:rsid w:val="6D202877"/>
    <w:rsid w:val="6D277A08"/>
    <w:rsid w:val="6D2B7636"/>
    <w:rsid w:val="6D30604D"/>
    <w:rsid w:val="6D313FAE"/>
    <w:rsid w:val="6D384C81"/>
    <w:rsid w:val="6D392839"/>
    <w:rsid w:val="6D3B459C"/>
    <w:rsid w:val="6D3B4EB9"/>
    <w:rsid w:val="6D483735"/>
    <w:rsid w:val="6D5301D9"/>
    <w:rsid w:val="6D551936"/>
    <w:rsid w:val="6D58239A"/>
    <w:rsid w:val="6D5948AF"/>
    <w:rsid w:val="6D647281"/>
    <w:rsid w:val="6D6A57C5"/>
    <w:rsid w:val="6D6F2AFB"/>
    <w:rsid w:val="6D7660F2"/>
    <w:rsid w:val="6D79775B"/>
    <w:rsid w:val="6D800E6B"/>
    <w:rsid w:val="6D8353C4"/>
    <w:rsid w:val="6D880CF0"/>
    <w:rsid w:val="6D8A19EC"/>
    <w:rsid w:val="6D9D3416"/>
    <w:rsid w:val="6DA113DE"/>
    <w:rsid w:val="6DA46183"/>
    <w:rsid w:val="6DA74E28"/>
    <w:rsid w:val="6DAB29EE"/>
    <w:rsid w:val="6DAC51B3"/>
    <w:rsid w:val="6DAF0013"/>
    <w:rsid w:val="6DB80247"/>
    <w:rsid w:val="6DB80F89"/>
    <w:rsid w:val="6DC62004"/>
    <w:rsid w:val="6DC7218C"/>
    <w:rsid w:val="6DCE5121"/>
    <w:rsid w:val="6DCF1395"/>
    <w:rsid w:val="6DD02E72"/>
    <w:rsid w:val="6DD21B9A"/>
    <w:rsid w:val="6DD85BC2"/>
    <w:rsid w:val="6DDB38CC"/>
    <w:rsid w:val="6DE36828"/>
    <w:rsid w:val="6DE704B1"/>
    <w:rsid w:val="6DF031AA"/>
    <w:rsid w:val="6DF83624"/>
    <w:rsid w:val="6DFA5D0D"/>
    <w:rsid w:val="6DFD0661"/>
    <w:rsid w:val="6E055248"/>
    <w:rsid w:val="6E064F17"/>
    <w:rsid w:val="6E09217E"/>
    <w:rsid w:val="6E0B75D6"/>
    <w:rsid w:val="6E0D0EA5"/>
    <w:rsid w:val="6E0E2142"/>
    <w:rsid w:val="6E182740"/>
    <w:rsid w:val="6E1A7B89"/>
    <w:rsid w:val="6E1C51EA"/>
    <w:rsid w:val="6E1D1CF6"/>
    <w:rsid w:val="6E1E430A"/>
    <w:rsid w:val="6E1F2FF2"/>
    <w:rsid w:val="6E284032"/>
    <w:rsid w:val="6E295302"/>
    <w:rsid w:val="6E2A6E66"/>
    <w:rsid w:val="6E2D4944"/>
    <w:rsid w:val="6E2F27AF"/>
    <w:rsid w:val="6E2F4339"/>
    <w:rsid w:val="6E335758"/>
    <w:rsid w:val="6E3358CE"/>
    <w:rsid w:val="6E370113"/>
    <w:rsid w:val="6E4026A4"/>
    <w:rsid w:val="6E424713"/>
    <w:rsid w:val="6E426246"/>
    <w:rsid w:val="6E5540E6"/>
    <w:rsid w:val="6E55448C"/>
    <w:rsid w:val="6E592BE0"/>
    <w:rsid w:val="6E5B480A"/>
    <w:rsid w:val="6E603145"/>
    <w:rsid w:val="6E6E6AA4"/>
    <w:rsid w:val="6E706E51"/>
    <w:rsid w:val="6E8408EB"/>
    <w:rsid w:val="6E883F40"/>
    <w:rsid w:val="6E8D5B78"/>
    <w:rsid w:val="6E8E69EC"/>
    <w:rsid w:val="6E8F7005"/>
    <w:rsid w:val="6E934A96"/>
    <w:rsid w:val="6E9A413B"/>
    <w:rsid w:val="6EAA69DF"/>
    <w:rsid w:val="6EAC2704"/>
    <w:rsid w:val="6EB13CD2"/>
    <w:rsid w:val="6EB57F85"/>
    <w:rsid w:val="6EB97ABD"/>
    <w:rsid w:val="6EBF74B5"/>
    <w:rsid w:val="6EC057B2"/>
    <w:rsid w:val="6EC36683"/>
    <w:rsid w:val="6EC455F0"/>
    <w:rsid w:val="6ECE3C7B"/>
    <w:rsid w:val="6ED422B0"/>
    <w:rsid w:val="6ED71926"/>
    <w:rsid w:val="6ED721AB"/>
    <w:rsid w:val="6EDA579A"/>
    <w:rsid w:val="6EDD7B7C"/>
    <w:rsid w:val="6EE84DBD"/>
    <w:rsid w:val="6EEF5BB9"/>
    <w:rsid w:val="6EF66748"/>
    <w:rsid w:val="6EFE6C5B"/>
    <w:rsid w:val="6EFF15A3"/>
    <w:rsid w:val="6EFF26F4"/>
    <w:rsid w:val="6F0070F6"/>
    <w:rsid w:val="6F075803"/>
    <w:rsid w:val="6F0B1D25"/>
    <w:rsid w:val="6F0D3CA2"/>
    <w:rsid w:val="6F0F7E35"/>
    <w:rsid w:val="6F111C4D"/>
    <w:rsid w:val="6F167499"/>
    <w:rsid w:val="6F274D08"/>
    <w:rsid w:val="6F2C1513"/>
    <w:rsid w:val="6F327A92"/>
    <w:rsid w:val="6F3520DA"/>
    <w:rsid w:val="6F3A66FC"/>
    <w:rsid w:val="6F3A67FE"/>
    <w:rsid w:val="6F3F417A"/>
    <w:rsid w:val="6F3F6AE6"/>
    <w:rsid w:val="6F400087"/>
    <w:rsid w:val="6F45058D"/>
    <w:rsid w:val="6F5C0DC4"/>
    <w:rsid w:val="6F5D4F68"/>
    <w:rsid w:val="6F652E15"/>
    <w:rsid w:val="6F6D4F85"/>
    <w:rsid w:val="6F6D5BAB"/>
    <w:rsid w:val="6F6E3824"/>
    <w:rsid w:val="6F6F00AC"/>
    <w:rsid w:val="6F75502D"/>
    <w:rsid w:val="6F7618C1"/>
    <w:rsid w:val="6F7A68A9"/>
    <w:rsid w:val="6F7B4F36"/>
    <w:rsid w:val="6F7D3B8D"/>
    <w:rsid w:val="6F7F336D"/>
    <w:rsid w:val="6F83245B"/>
    <w:rsid w:val="6F84732A"/>
    <w:rsid w:val="6F870435"/>
    <w:rsid w:val="6F8F088B"/>
    <w:rsid w:val="6F9B5B94"/>
    <w:rsid w:val="6F9D0271"/>
    <w:rsid w:val="6F9F6636"/>
    <w:rsid w:val="6FA92F4D"/>
    <w:rsid w:val="6FAC1CD0"/>
    <w:rsid w:val="6FB300ED"/>
    <w:rsid w:val="6FB94D6F"/>
    <w:rsid w:val="6FBA2164"/>
    <w:rsid w:val="6FBC6D3A"/>
    <w:rsid w:val="6FC16CF0"/>
    <w:rsid w:val="6FC45A2F"/>
    <w:rsid w:val="6FD25E50"/>
    <w:rsid w:val="6FD32FA2"/>
    <w:rsid w:val="6FDA67B0"/>
    <w:rsid w:val="6FDC584B"/>
    <w:rsid w:val="6FDE4AF3"/>
    <w:rsid w:val="6FDE757F"/>
    <w:rsid w:val="6FE07D43"/>
    <w:rsid w:val="6FE13638"/>
    <w:rsid w:val="6FE949B4"/>
    <w:rsid w:val="6FEC2857"/>
    <w:rsid w:val="6FF07810"/>
    <w:rsid w:val="6FFE6240"/>
    <w:rsid w:val="7007102C"/>
    <w:rsid w:val="700A221B"/>
    <w:rsid w:val="701027FD"/>
    <w:rsid w:val="701331F0"/>
    <w:rsid w:val="701A6254"/>
    <w:rsid w:val="701B68DB"/>
    <w:rsid w:val="70221AD5"/>
    <w:rsid w:val="70227445"/>
    <w:rsid w:val="70244807"/>
    <w:rsid w:val="70255F96"/>
    <w:rsid w:val="702720CE"/>
    <w:rsid w:val="70280573"/>
    <w:rsid w:val="702865A5"/>
    <w:rsid w:val="70481830"/>
    <w:rsid w:val="704919A9"/>
    <w:rsid w:val="70491BB4"/>
    <w:rsid w:val="704B11E4"/>
    <w:rsid w:val="705A5FD8"/>
    <w:rsid w:val="70611897"/>
    <w:rsid w:val="706A26EA"/>
    <w:rsid w:val="70714AD8"/>
    <w:rsid w:val="70720900"/>
    <w:rsid w:val="7076559D"/>
    <w:rsid w:val="707D7377"/>
    <w:rsid w:val="70815705"/>
    <w:rsid w:val="70926E6C"/>
    <w:rsid w:val="70A03D8E"/>
    <w:rsid w:val="70A260EE"/>
    <w:rsid w:val="70A41D61"/>
    <w:rsid w:val="70A70075"/>
    <w:rsid w:val="70A95F54"/>
    <w:rsid w:val="70AA3007"/>
    <w:rsid w:val="70AC2A54"/>
    <w:rsid w:val="70B54FE6"/>
    <w:rsid w:val="70B66D15"/>
    <w:rsid w:val="70BC2BAB"/>
    <w:rsid w:val="70BC2C59"/>
    <w:rsid w:val="70CB5163"/>
    <w:rsid w:val="70DC00BB"/>
    <w:rsid w:val="70F3351E"/>
    <w:rsid w:val="70F7006B"/>
    <w:rsid w:val="70F74F10"/>
    <w:rsid w:val="70FA26FB"/>
    <w:rsid w:val="71004286"/>
    <w:rsid w:val="710550A7"/>
    <w:rsid w:val="710C610E"/>
    <w:rsid w:val="71192269"/>
    <w:rsid w:val="711D51C6"/>
    <w:rsid w:val="711E068D"/>
    <w:rsid w:val="71242EB5"/>
    <w:rsid w:val="71257BF2"/>
    <w:rsid w:val="71311FA9"/>
    <w:rsid w:val="714345FB"/>
    <w:rsid w:val="7144106E"/>
    <w:rsid w:val="71472CA8"/>
    <w:rsid w:val="715138B2"/>
    <w:rsid w:val="71532FD6"/>
    <w:rsid w:val="715461EC"/>
    <w:rsid w:val="71580888"/>
    <w:rsid w:val="715C7408"/>
    <w:rsid w:val="71603BF4"/>
    <w:rsid w:val="71671FC0"/>
    <w:rsid w:val="716A0DD5"/>
    <w:rsid w:val="716D5081"/>
    <w:rsid w:val="71763DE7"/>
    <w:rsid w:val="71824AB4"/>
    <w:rsid w:val="71831AD4"/>
    <w:rsid w:val="71833415"/>
    <w:rsid w:val="718C65AF"/>
    <w:rsid w:val="718E4D2F"/>
    <w:rsid w:val="71926884"/>
    <w:rsid w:val="71942CA9"/>
    <w:rsid w:val="71944362"/>
    <w:rsid w:val="71954235"/>
    <w:rsid w:val="719628AD"/>
    <w:rsid w:val="71962CF9"/>
    <w:rsid w:val="719E2F9D"/>
    <w:rsid w:val="719E467C"/>
    <w:rsid w:val="71A2630A"/>
    <w:rsid w:val="71A51B49"/>
    <w:rsid w:val="71B81D44"/>
    <w:rsid w:val="71BF25CC"/>
    <w:rsid w:val="71C65EAE"/>
    <w:rsid w:val="71CE2A54"/>
    <w:rsid w:val="71E35433"/>
    <w:rsid w:val="71E521A5"/>
    <w:rsid w:val="71E816F0"/>
    <w:rsid w:val="71EA5570"/>
    <w:rsid w:val="71ED54B9"/>
    <w:rsid w:val="71F04954"/>
    <w:rsid w:val="71F9425D"/>
    <w:rsid w:val="71FE5233"/>
    <w:rsid w:val="72046BBA"/>
    <w:rsid w:val="72046F9F"/>
    <w:rsid w:val="720F7FC6"/>
    <w:rsid w:val="72194082"/>
    <w:rsid w:val="7221549E"/>
    <w:rsid w:val="72291407"/>
    <w:rsid w:val="72307CBD"/>
    <w:rsid w:val="72340250"/>
    <w:rsid w:val="72380232"/>
    <w:rsid w:val="723B7BE2"/>
    <w:rsid w:val="723D0164"/>
    <w:rsid w:val="72483169"/>
    <w:rsid w:val="7249089B"/>
    <w:rsid w:val="724C0A1A"/>
    <w:rsid w:val="72570DDF"/>
    <w:rsid w:val="72572900"/>
    <w:rsid w:val="72594274"/>
    <w:rsid w:val="725B1C65"/>
    <w:rsid w:val="72681818"/>
    <w:rsid w:val="726C529F"/>
    <w:rsid w:val="72715C8D"/>
    <w:rsid w:val="72772D6F"/>
    <w:rsid w:val="727F074F"/>
    <w:rsid w:val="727F3CE5"/>
    <w:rsid w:val="72825F62"/>
    <w:rsid w:val="72837DAF"/>
    <w:rsid w:val="728409C4"/>
    <w:rsid w:val="728904CE"/>
    <w:rsid w:val="728A023F"/>
    <w:rsid w:val="728B7FE2"/>
    <w:rsid w:val="728C1AC5"/>
    <w:rsid w:val="728C4F61"/>
    <w:rsid w:val="728C64B9"/>
    <w:rsid w:val="728C6D31"/>
    <w:rsid w:val="729A30C6"/>
    <w:rsid w:val="72A4376C"/>
    <w:rsid w:val="72A52E16"/>
    <w:rsid w:val="72A5530B"/>
    <w:rsid w:val="72B105E2"/>
    <w:rsid w:val="72B33133"/>
    <w:rsid w:val="72B46A4A"/>
    <w:rsid w:val="72BA69F4"/>
    <w:rsid w:val="72BD0427"/>
    <w:rsid w:val="72BD6244"/>
    <w:rsid w:val="72C0207A"/>
    <w:rsid w:val="72CC548C"/>
    <w:rsid w:val="72D17BC9"/>
    <w:rsid w:val="72D32BF4"/>
    <w:rsid w:val="72D41705"/>
    <w:rsid w:val="72D65534"/>
    <w:rsid w:val="72D86745"/>
    <w:rsid w:val="72DA00F6"/>
    <w:rsid w:val="72DB4E4C"/>
    <w:rsid w:val="72E44ED0"/>
    <w:rsid w:val="72F855E6"/>
    <w:rsid w:val="72F90737"/>
    <w:rsid w:val="72FD42D3"/>
    <w:rsid w:val="730241FB"/>
    <w:rsid w:val="73072977"/>
    <w:rsid w:val="73113FF2"/>
    <w:rsid w:val="731C625D"/>
    <w:rsid w:val="7321000F"/>
    <w:rsid w:val="7332307F"/>
    <w:rsid w:val="73355791"/>
    <w:rsid w:val="733A322E"/>
    <w:rsid w:val="733A40A0"/>
    <w:rsid w:val="733E0070"/>
    <w:rsid w:val="734A51CD"/>
    <w:rsid w:val="734B364F"/>
    <w:rsid w:val="734E319A"/>
    <w:rsid w:val="735F4F76"/>
    <w:rsid w:val="73653075"/>
    <w:rsid w:val="737B1655"/>
    <w:rsid w:val="7380235E"/>
    <w:rsid w:val="7381373E"/>
    <w:rsid w:val="738759CD"/>
    <w:rsid w:val="73A55529"/>
    <w:rsid w:val="73A87CEC"/>
    <w:rsid w:val="73B05EC0"/>
    <w:rsid w:val="73BD42AA"/>
    <w:rsid w:val="73CB53A6"/>
    <w:rsid w:val="73CC5B32"/>
    <w:rsid w:val="73CE6D34"/>
    <w:rsid w:val="73CF2EA6"/>
    <w:rsid w:val="73CF6770"/>
    <w:rsid w:val="73D01680"/>
    <w:rsid w:val="73D82761"/>
    <w:rsid w:val="73D84789"/>
    <w:rsid w:val="73DE0615"/>
    <w:rsid w:val="73DE6B2B"/>
    <w:rsid w:val="73E42B8E"/>
    <w:rsid w:val="73EB05CF"/>
    <w:rsid w:val="73F42A38"/>
    <w:rsid w:val="73F96153"/>
    <w:rsid w:val="73FC08DC"/>
    <w:rsid w:val="7400678C"/>
    <w:rsid w:val="7403072D"/>
    <w:rsid w:val="74074CE5"/>
    <w:rsid w:val="740926DC"/>
    <w:rsid w:val="7419037E"/>
    <w:rsid w:val="741E50AF"/>
    <w:rsid w:val="74343353"/>
    <w:rsid w:val="74417FB6"/>
    <w:rsid w:val="74504F25"/>
    <w:rsid w:val="74582BA9"/>
    <w:rsid w:val="745861F1"/>
    <w:rsid w:val="74591D53"/>
    <w:rsid w:val="745B1C66"/>
    <w:rsid w:val="745E0E2A"/>
    <w:rsid w:val="745F22B2"/>
    <w:rsid w:val="74646344"/>
    <w:rsid w:val="746A3EBB"/>
    <w:rsid w:val="746C4B75"/>
    <w:rsid w:val="746D78C1"/>
    <w:rsid w:val="746F7B52"/>
    <w:rsid w:val="74702856"/>
    <w:rsid w:val="74724294"/>
    <w:rsid w:val="74736704"/>
    <w:rsid w:val="74763352"/>
    <w:rsid w:val="747B1AAB"/>
    <w:rsid w:val="747F1C13"/>
    <w:rsid w:val="747F5F16"/>
    <w:rsid w:val="747F795B"/>
    <w:rsid w:val="74801798"/>
    <w:rsid w:val="748675BB"/>
    <w:rsid w:val="748B6A83"/>
    <w:rsid w:val="74980C81"/>
    <w:rsid w:val="749D16D2"/>
    <w:rsid w:val="74A62681"/>
    <w:rsid w:val="74A72785"/>
    <w:rsid w:val="74A86F8F"/>
    <w:rsid w:val="74AA306F"/>
    <w:rsid w:val="74B31CA7"/>
    <w:rsid w:val="74B36E68"/>
    <w:rsid w:val="74B63019"/>
    <w:rsid w:val="74BA1091"/>
    <w:rsid w:val="74BD5A03"/>
    <w:rsid w:val="74C21EA5"/>
    <w:rsid w:val="74C86E3A"/>
    <w:rsid w:val="74CA0E95"/>
    <w:rsid w:val="74DA569E"/>
    <w:rsid w:val="74DF6F10"/>
    <w:rsid w:val="74E91E59"/>
    <w:rsid w:val="74EE61F3"/>
    <w:rsid w:val="74F565D1"/>
    <w:rsid w:val="74F67803"/>
    <w:rsid w:val="74FD34AF"/>
    <w:rsid w:val="74FE2D50"/>
    <w:rsid w:val="75027E3A"/>
    <w:rsid w:val="75066722"/>
    <w:rsid w:val="750852E9"/>
    <w:rsid w:val="750A6A17"/>
    <w:rsid w:val="750D7785"/>
    <w:rsid w:val="75100EFD"/>
    <w:rsid w:val="75141AC8"/>
    <w:rsid w:val="75150C18"/>
    <w:rsid w:val="751747A1"/>
    <w:rsid w:val="75183BD8"/>
    <w:rsid w:val="752420FB"/>
    <w:rsid w:val="7528695F"/>
    <w:rsid w:val="75466405"/>
    <w:rsid w:val="754861B6"/>
    <w:rsid w:val="756923CF"/>
    <w:rsid w:val="75696A00"/>
    <w:rsid w:val="756B2BBD"/>
    <w:rsid w:val="756B76AE"/>
    <w:rsid w:val="756D2DE3"/>
    <w:rsid w:val="756D3F3E"/>
    <w:rsid w:val="756F52DA"/>
    <w:rsid w:val="75792F02"/>
    <w:rsid w:val="75797940"/>
    <w:rsid w:val="757A21B6"/>
    <w:rsid w:val="757F050B"/>
    <w:rsid w:val="75820208"/>
    <w:rsid w:val="759F078F"/>
    <w:rsid w:val="75A03881"/>
    <w:rsid w:val="75A26C2C"/>
    <w:rsid w:val="75A83765"/>
    <w:rsid w:val="75B177A1"/>
    <w:rsid w:val="75BA4436"/>
    <w:rsid w:val="75BB3DBB"/>
    <w:rsid w:val="75BD7EB1"/>
    <w:rsid w:val="75BE5CC7"/>
    <w:rsid w:val="75BF43AF"/>
    <w:rsid w:val="75C02A97"/>
    <w:rsid w:val="75C64E11"/>
    <w:rsid w:val="75C654A0"/>
    <w:rsid w:val="75CC1778"/>
    <w:rsid w:val="75CD2036"/>
    <w:rsid w:val="75CD305D"/>
    <w:rsid w:val="75D372DB"/>
    <w:rsid w:val="75D37C54"/>
    <w:rsid w:val="75D73956"/>
    <w:rsid w:val="75E81DCA"/>
    <w:rsid w:val="75F0388D"/>
    <w:rsid w:val="75F90E76"/>
    <w:rsid w:val="75F9675E"/>
    <w:rsid w:val="75FA64C3"/>
    <w:rsid w:val="75FC1332"/>
    <w:rsid w:val="76047D45"/>
    <w:rsid w:val="760C44AE"/>
    <w:rsid w:val="761038F7"/>
    <w:rsid w:val="7611608F"/>
    <w:rsid w:val="76151ADA"/>
    <w:rsid w:val="762546B4"/>
    <w:rsid w:val="762C05B6"/>
    <w:rsid w:val="762C2968"/>
    <w:rsid w:val="76395B62"/>
    <w:rsid w:val="763C3B3E"/>
    <w:rsid w:val="763F0406"/>
    <w:rsid w:val="764319BF"/>
    <w:rsid w:val="76472434"/>
    <w:rsid w:val="76487F5B"/>
    <w:rsid w:val="764C0EBF"/>
    <w:rsid w:val="76540AF5"/>
    <w:rsid w:val="765578E5"/>
    <w:rsid w:val="7656050C"/>
    <w:rsid w:val="76560AEC"/>
    <w:rsid w:val="765A7FD7"/>
    <w:rsid w:val="766A53D9"/>
    <w:rsid w:val="766B6C6C"/>
    <w:rsid w:val="767B3834"/>
    <w:rsid w:val="767B470A"/>
    <w:rsid w:val="767B637A"/>
    <w:rsid w:val="76832B68"/>
    <w:rsid w:val="768A67BC"/>
    <w:rsid w:val="768E1F8E"/>
    <w:rsid w:val="768E47FF"/>
    <w:rsid w:val="76961B69"/>
    <w:rsid w:val="769B5D20"/>
    <w:rsid w:val="769E39D5"/>
    <w:rsid w:val="769F2AC1"/>
    <w:rsid w:val="76A6122F"/>
    <w:rsid w:val="76A8312C"/>
    <w:rsid w:val="76A91E68"/>
    <w:rsid w:val="76B261AB"/>
    <w:rsid w:val="76C25797"/>
    <w:rsid w:val="76D25788"/>
    <w:rsid w:val="76DB602D"/>
    <w:rsid w:val="76E17499"/>
    <w:rsid w:val="76E41DF1"/>
    <w:rsid w:val="76E8615F"/>
    <w:rsid w:val="76EF368A"/>
    <w:rsid w:val="76F269F1"/>
    <w:rsid w:val="76FA78D4"/>
    <w:rsid w:val="76FD2B4D"/>
    <w:rsid w:val="770F070C"/>
    <w:rsid w:val="77163A07"/>
    <w:rsid w:val="7717695B"/>
    <w:rsid w:val="771B10FE"/>
    <w:rsid w:val="771B61DB"/>
    <w:rsid w:val="772970B7"/>
    <w:rsid w:val="772F5DD8"/>
    <w:rsid w:val="773A2BE9"/>
    <w:rsid w:val="773B6CE8"/>
    <w:rsid w:val="77466E71"/>
    <w:rsid w:val="77495323"/>
    <w:rsid w:val="774D0251"/>
    <w:rsid w:val="775A13F3"/>
    <w:rsid w:val="776634C9"/>
    <w:rsid w:val="776A6BAC"/>
    <w:rsid w:val="7775577C"/>
    <w:rsid w:val="7779078A"/>
    <w:rsid w:val="777B7BD3"/>
    <w:rsid w:val="777B7D0B"/>
    <w:rsid w:val="778C3B4F"/>
    <w:rsid w:val="778D4352"/>
    <w:rsid w:val="778F1CAA"/>
    <w:rsid w:val="779367B6"/>
    <w:rsid w:val="77956671"/>
    <w:rsid w:val="779913F9"/>
    <w:rsid w:val="779C6F9D"/>
    <w:rsid w:val="77AA4A39"/>
    <w:rsid w:val="77AB4B78"/>
    <w:rsid w:val="77B058E1"/>
    <w:rsid w:val="77BB4403"/>
    <w:rsid w:val="77C617E8"/>
    <w:rsid w:val="77D3197F"/>
    <w:rsid w:val="77D806AD"/>
    <w:rsid w:val="77DE1AB3"/>
    <w:rsid w:val="77DE1CB0"/>
    <w:rsid w:val="77DF5E83"/>
    <w:rsid w:val="77E53986"/>
    <w:rsid w:val="77F5796E"/>
    <w:rsid w:val="77FC2304"/>
    <w:rsid w:val="78044408"/>
    <w:rsid w:val="781051F0"/>
    <w:rsid w:val="78160955"/>
    <w:rsid w:val="78161BC8"/>
    <w:rsid w:val="78167E65"/>
    <w:rsid w:val="78220041"/>
    <w:rsid w:val="782479A8"/>
    <w:rsid w:val="78302DBB"/>
    <w:rsid w:val="78303201"/>
    <w:rsid w:val="783422EE"/>
    <w:rsid w:val="78381C9E"/>
    <w:rsid w:val="78384681"/>
    <w:rsid w:val="783B20FF"/>
    <w:rsid w:val="783B4D4E"/>
    <w:rsid w:val="783F4020"/>
    <w:rsid w:val="78400956"/>
    <w:rsid w:val="785B30DB"/>
    <w:rsid w:val="78615BE2"/>
    <w:rsid w:val="786631A0"/>
    <w:rsid w:val="786A4BE5"/>
    <w:rsid w:val="786F01C2"/>
    <w:rsid w:val="7872546D"/>
    <w:rsid w:val="7874289A"/>
    <w:rsid w:val="78792C38"/>
    <w:rsid w:val="78852298"/>
    <w:rsid w:val="788A07BC"/>
    <w:rsid w:val="788C4677"/>
    <w:rsid w:val="788F0150"/>
    <w:rsid w:val="789B5BAD"/>
    <w:rsid w:val="78A337C2"/>
    <w:rsid w:val="78A41403"/>
    <w:rsid w:val="78A612A4"/>
    <w:rsid w:val="78B81342"/>
    <w:rsid w:val="78B84CE5"/>
    <w:rsid w:val="78BE20F8"/>
    <w:rsid w:val="78C56DD3"/>
    <w:rsid w:val="78D26CEC"/>
    <w:rsid w:val="78D31F24"/>
    <w:rsid w:val="78D61BB3"/>
    <w:rsid w:val="78DB4F6B"/>
    <w:rsid w:val="78DB7793"/>
    <w:rsid w:val="78E14171"/>
    <w:rsid w:val="78E427A9"/>
    <w:rsid w:val="78E73D80"/>
    <w:rsid w:val="78EE6B9D"/>
    <w:rsid w:val="78F11942"/>
    <w:rsid w:val="78F16507"/>
    <w:rsid w:val="78FA7339"/>
    <w:rsid w:val="78FE0747"/>
    <w:rsid w:val="790149D1"/>
    <w:rsid w:val="79060FD1"/>
    <w:rsid w:val="791627DC"/>
    <w:rsid w:val="79162EE8"/>
    <w:rsid w:val="791E6BDF"/>
    <w:rsid w:val="79203477"/>
    <w:rsid w:val="79351AE8"/>
    <w:rsid w:val="79356344"/>
    <w:rsid w:val="79381CC4"/>
    <w:rsid w:val="79393911"/>
    <w:rsid w:val="793959FA"/>
    <w:rsid w:val="793A17C3"/>
    <w:rsid w:val="793E2895"/>
    <w:rsid w:val="794E723E"/>
    <w:rsid w:val="795311E4"/>
    <w:rsid w:val="795A2DCD"/>
    <w:rsid w:val="795D786C"/>
    <w:rsid w:val="79632422"/>
    <w:rsid w:val="796A5F3F"/>
    <w:rsid w:val="79720DCF"/>
    <w:rsid w:val="797266C0"/>
    <w:rsid w:val="79762F3E"/>
    <w:rsid w:val="79845EC9"/>
    <w:rsid w:val="798911A2"/>
    <w:rsid w:val="798B7232"/>
    <w:rsid w:val="79942994"/>
    <w:rsid w:val="799B6423"/>
    <w:rsid w:val="79CD03D0"/>
    <w:rsid w:val="79CE6392"/>
    <w:rsid w:val="79D14539"/>
    <w:rsid w:val="79D222C5"/>
    <w:rsid w:val="79D36FC9"/>
    <w:rsid w:val="79E46BA4"/>
    <w:rsid w:val="79EE0AB0"/>
    <w:rsid w:val="79F10420"/>
    <w:rsid w:val="79F31678"/>
    <w:rsid w:val="79F3391B"/>
    <w:rsid w:val="79F9688E"/>
    <w:rsid w:val="79FB1079"/>
    <w:rsid w:val="7A01140F"/>
    <w:rsid w:val="7A0318A2"/>
    <w:rsid w:val="7A086059"/>
    <w:rsid w:val="7A0C445E"/>
    <w:rsid w:val="7A212F9C"/>
    <w:rsid w:val="7A2475DA"/>
    <w:rsid w:val="7A290EF4"/>
    <w:rsid w:val="7A361295"/>
    <w:rsid w:val="7A3A6462"/>
    <w:rsid w:val="7A3A7867"/>
    <w:rsid w:val="7A3D5371"/>
    <w:rsid w:val="7A3E23B5"/>
    <w:rsid w:val="7A501345"/>
    <w:rsid w:val="7A516BCA"/>
    <w:rsid w:val="7A546ECE"/>
    <w:rsid w:val="7A553358"/>
    <w:rsid w:val="7A6D3A45"/>
    <w:rsid w:val="7A6D5A90"/>
    <w:rsid w:val="7A6F2102"/>
    <w:rsid w:val="7A6F7BD5"/>
    <w:rsid w:val="7A7B378D"/>
    <w:rsid w:val="7A7C26AD"/>
    <w:rsid w:val="7A7F357A"/>
    <w:rsid w:val="7A824EC0"/>
    <w:rsid w:val="7A8B7B2A"/>
    <w:rsid w:val="7A8D00B5"/>
    <w:rsid w:val="7A9638EF"/>
    <w:rsid w:val="7A9858FA"/>
    <w:rsid w:val="7A990EF6"/>
    <w:rsid w:val="7AAC4D6F"/>
    <w:rsid w:val="7AB3168F"/>
    <w:rsid w:val="7AB66B67"/>
    <w:rsid w:val="7ABB2E67"/>
    <w:rsid w:val="7ABC22E8"/>
    <w:rsid w:val="7ACF37BE"/>
    <w:rsid w:val="7AD2504C"/>
    <w:rsid w:val="7AE074E2"/>
    <w:rsid w:val="7AE61DA5"/>
    <w:rsid w:val="7AF141FF"/>
    <w:rsid w:val="7AF44E59"/>
    <w:rsid w:val="7AFC53DA"/>
    <w:rsid w:val="7B02664E"/>
    <w:rsid w:val="7B0268DB"/>
    <w:rsid w:val="7B030309"/>
    <w:rsid w:val="7B0B49BB"/>
    <w:rsid w:val="7B0B77C8"/>
    <w:rsid w:val="7B0C4F12"/>
    <w:rsid w:val="7B101362"/>
    <w:rsid w:val="7B1F4C7B"/>
    <w:rsid w:val="7B247D43"/>
    <w:rsid w:val="7B2828D7"/>
    <w:rsid w:val="7B2C7FA8"/>
    <w:rsid w:val="7B2F480B"/>
    <w:rsid w:val="7B325AEB"/>
    <w:rsid w:val="7B371042"/>
    <w:rsid w:val="7B3B25E4"/>
    <w:rsid w:val="7B3D4A1C"/>
    <w:rsid w:val="7B456160"/>
    <w:rsid w:val="7B4772D3"/>
    <w:rsid w:val="7B493CFF"/>
    <w:rsid w:val="7B5A3AD1"/>
    <w:rsid w:val="7B5D4934"/>
    <w:rsid w:val="7B672AEE"/>
    <w:rsid w:val="7B6D346B"/>
    <w:rsid w:val="7B6D532C"/>
    <w:rsid w:val="7B817B6B"/>
    <w:rsid w:val="7B862F3A"/>
    <w:rsid w:val="7B891E97"/>
    <w:rsid w:val="7B8B408F"/>
    <w:rsid w:val="7B9160E9"/>
    <w:rsid w:val="7B92030D"/>
    <w:rsid w:val="7B9250D0"/>
    <w:rsid w:val="7B92690D"/>
    <w:rsid w:val="7B981D3A"/>
    <w:rsid w:val="7BA822E1"/>
    <w:rsid w:val="7BA94A9A"/>
    <w:rsid w:val="7BA97F64"/>
    <w:rsid w:val="7BAA3B28"/>
    <w:rsid w:val="7BAC2CF7"/>
    <w:rsid w:val="7BAD6DFD"/>
    <w:rsid w:val="7BAE6078"/>
    <w:rsid w:val="7BB35C5B"/>
    <w:rsid w:val="7BB37C24"/>
    <w:rsid w:val="7BB448D2"/>
    <w:rsid w:val="7BBB0B59"/>
    <w:rsid w:val="7BBE166A"/>
    <w:rsid w:val="7BBF6E81"/>
    <w:rsid w:val="7BC42E42"/>
    <w:rsid w:val="7BCF085B"/>
    <w:rsid w:val="7BD1454E"/>
    <w:rsid w:val="7BD2465D"/>
    <w:rsid w:val="7BD25205"/>
    <w:rsid w:val="7BDE6E26"/>
    <w:rsid w:val="7BE25B6A"/>
    <w:rsid w:val="7BE34B98"/>
    <w:rsid w:val="7BF65590"/>
    <w:rsid w:val="7BF77A11"/>
    <w:rsid w:val="7BFB13E2"/>
    <w:rsid w:val="7BFC0BE9"/>
    <w:rsid w:val="7BFE0DDE"/>
    <w:rsid w:val="7C032725"/>
    <w:rsid w:val="7C0460E2"/>
    <w:rsid w:val="7C0866B8"/>
    <w:rsid w:val="7C0A3608"/>
    <w:rsid w:val="7C0D5338"/>
    <w:rsid w:val="7C100F85"/>
    <w:rsid w:val="7C1932FE"/>
    <w:rsid w:val="7C1F096D"/>
    <w:rsid w:val="7C212306"/>
    <w:rsid w:val="7C214E84"/>
    <w:rsid w:val="7C250203"/>
    <w:rsid w:val="7C264AB5"/>
    <w:rsid w:val="7C287C47"/>
    <w:rsid w:val="7C354B17"/>
    <w:rsid w:val="7C397E70"/>
    <w:rsid w:val="7C3B0A5F"/>
    <w:rsid w:val="7C4032E1"/>
    <w:rsid w:val="7C4253B5"/>
    <w:rsid w:val="7C430C3F"/>
    <w:rsid w:val="7C431CC9"/>
    <w:rsid w:val="7C457A7B"/>
    <w:rsid w:val="7C4916EC"/>
    <w:rsid w:val="7C550CAF"/>
    <w:rsid w:val="7C557158"/>
    <w:rsid w:val="7C5A768D"/>
    <w:rsid w:val="7C5B65E4"/>
    <w:rsid w:val="7C5C7DEA"/>
    <w:rsid w:val="7C5E5825"/>
    <w:rsid w:val="7C5E70CD"/>
    <w:rsid w:val="7C616D04"/>
    <w:rsid w:val="7C627D6A"/>
    <w:rsid w:val="7C63442B"/>
    <w:rsid w:val="7C653614"/>
    <w:rsid w:val="7C655130"/>
    <w:rsid w:val="7C790AC5"/>
    <w:rsid w:val="7C7C5496"/>
    <w:rsid w:val="7C7E6484"/>
    <w:rsid w:val="7C837CF6"/>
    <w:rsid w:val="7C972359"/>
    <w:rsid w:val="7C9E4E46"/>
    <w:rsid w:val="7CA70377"/>
    <w:rsid w:val="7CBC3705"/>
    <w:rsid w:val="7CBF4BC7"/>
    <w:rsid w:val="7CC26EA0"/>
    <w:rsid w:val="7CC801FC"/>
    <w:rsid w:val="7CCA1562"/>
    <w:rsid w:val="7CCC0F02"/>
    <w:rsid w:val="7CCE018D"/>
    <w:rsid w:val="7CCF0A8E"/>
    <w:rsid w:val="7CDE5B84"/>
    <w:rsid w:val="7CE007B8"/>
    <w:rsid w:val="7CE36CDF"/>
    <w:rsid w:val="7CE70C50"/>
    <w:rsid w:val="7CEA18F8"/>
    <w:rsid w:val="7CEE3232"/>
    <w:rsid w:val="7CF32675"/>
    <w:rsid w:val="7CF475E1"/>
    <w:rsid w:val="7CFF6A0D"/>
    <w:rsid w:val="7D007997"/>
    <w:rsid w:val="7D081851"/>
    <w:rsid w:val="7D0D073E"/>
    <w:rsid w:val="7D0D6B6A"/>
    <w:rsid w:val="7D101F11"/>
    <w:rsid w:val="7D102DE1"/>
    <w:rsid w:val="7D212316"/>
    <w:rsid w:val="7D2535BF"/>
    <w:rsid w:val="7D315894"/>
    <w:rsid w:val="7D32168C"/>
    <w:rsid w:val="7D3E4ED6"/>
    <w:rsid w:val="7D441120"/>
    <w:rsid w:val="7D4C6208"/>
    <w:rsid w:val="7D517CC0"/>
    <w:rsid w:val="7D582CFB"/>
    <w:rsid w:val="7D583931"/>
    <w:rsid w:val="7D6A37A8"/>
    <w:rsid w:val="7D6E2E6E"/>
    <w:rsid w:val="7D6F7B97"/>
    <w:rsid w:val="7D760630"/>
    <w:rsid w:val="7D76336A"/>
    <w:rsid w:val="7D766677"/>
    <w:rsid w:val="7D781922"/>
    <w:rsid w:val="7D7E4D76"/>
    <w:rsid w:val="7D831D33"/>
    <w:rsid w:val="7D8C697F"/>
    <w:rsid w:val="7D90502C"/>
    <w:rsid w:val="7D917D18"/>
    <w:rsid w:val="7D9B0205"/>
    <w:rsid w:val="7DA10100"/>
    <w:rsid w:val="7DA11439"/>
    <w:rsid w:val="7DA24618"/>
    <w:rsid w:val="7DA50CBE"/>
    <w:rsid w:val="7DB05A06"/>
    <w:rsid w:val="7DB227D5"/>
    <w:rsid w:val="7DB335E9"/>
    <w:rsid w:val="7DBA6C53"/>
    <w:rsid w:val="7DBB5500"/>
    <w:rsid w:val="7DBE66BF"/>
    <w:rsid w:val="7DBF5E79"/>
    <w:rsid w:val="7DC5247F"/>
    <w:rsid w:val="7DCD7256"/>
    <w:rsid w:val="7DD334A8"/>
    <w:rsid w:val="7DD6447D"/>
    <w:rsid w:val="7DDC3267"/>
    <w:rsid w:val="7DDD24E7"/>
    <w:rsid w:val="7DE74E69"/>
    <w:rsid w:val="7DF12765"/>
    <w:rsid w:val="7DF31E5F"/>
    <w:rsid w:val="7DF7523A"/>
    <w:rsid w:val="7E025B1C"/>
    <w:rsid w:val="7E0375BF"/>
    <w:rsid w:val="7E08003B"/>
    <w:rsid w:val="7E11745B"/>
    <w:rsid w:val="7E212D19"/>
    <w:rsid w:val="7E236134"/>
    <w:rsid w:val="7E265A68"/>
    <w:rsid w:val="7E2E6ECC"/>
    <w:rsid w:val="7E303C20"/>
    <w:rsid w:val="7E3234A8"/>
    <w:rsid w:val="7E3619F8"/>
    <w:rsid w:val="7E3A005C"/>
    <w:rsid w:val="7E414CAD"/>
    <w:rsid w:val="7E483A48"/>
    <w:rsid w:val="7E4C6E56"/>
    <w:rsid w:val="7E4D2393"/>
    <w:rsid w:val="7E4F5209"/>
    <w:rsid w:val="7E500990"/>
    <w:rsid w:val="7E52144C"/>
    <w:rsid w:val="7E585D31"/>
    <w:rsid w:val="7E5B20EB"/>
    <w:rsid w:val="7E5F2A64"/>
    <w:rsid w:val="7E5F63C9"/>
    <w:rsid w:val="7E675E52"/>
    <w:rsid w:val="7E6B6CCA"/>
    <w:rsid w:val="7E7167A0"/>
    <w:rsid w:val="7E7311D6"/>
    <w:rsid w:val="7E754D4E"/>
    <w:rsid w:val="7E782A90"/>
    <w:rsid w:val="7E8272A0"/>
    <w:rsid w:val="7E833E54"/>
    <w:rsid w:val="7E85426E"/>
    <w:rsid w:val="7E863D03"/>
    <w:rsid w:val="7E867560"/>
    <w:rsid w:val="7E8D468F"/>
    <w:rsid w:val="7E9B332D"/>
    <w:rsid w:val="7EA53B84"/>
    <w:rsid w:val="7EA73B35"/>
    <w:rsid w:val="7EBC7439"/>
    <w:rsid w:val="7EC16AFC"/>
    <w:rsid w:val="7EC43E51"/>
    <w:rsid w:val="7ECA4000"/>
    <w:rsid w:val="7EDB570C"/>
    <w:rsid w:val="7EDC43AA"/>
    <w:rsid w:val="7EE226CB"/>
    <w:rsid w:val="7EE2365C"/>
    <w:rsid w:val="7EF1612C"/>
    <w:rsid w:val="7EFC352D"/>
    <w:rsid w:val="7F01508A"/>
    <w:rsid w:val="7F0972D4"/>
    <w:rsid w:val="7F0A40E6"/>
    <w:rsid w:val="7F0D35AA"/>
    <w:rsid w:val="7F0E3565"/>
    <w:rsid w:val="7F0E741D"/>
    <w:rsid w:val="7F151F17"/>
    <w:rsid w:val="7F1611BC"/>
    <w:rsid w:val="7F1849D6"/>
    <w:rsid w:val="7F1D5A63"/>
    <w:rsid w:val="7F2E5923"/>
    <w:rsid w:val="7F305B3E"/>
    <w:rsid w:val="7F327BC6"/>
    <w:rsid w:val="7F3502A2"/>
    <w:rsid w:val="7F353D6E"/>
    <w:rsid w:val="7F3B6572"/>
    <w:rsid w:val="7F3E3F74"/>
    <w:rsid w:val="7F400FB8"/>
    <w:rsid w:val="7F412E1D"/>
    <w:rsid w:val="7F443291"/>
    <w:rsid w:val="7F4D1102"/>
    <w:rsid w:val="7F4D20AD"/>
    <w:rsid w:val="7F531BC3"/>
    <w:rsid w:val="7F56782B"/>
    <w:rsid w:val="7F5C23D5"/>
    <w:rsid w:val="7F60224E"/>
    <w:rsid w:val="7F621F40"/>
    <w:rsid w:val="7F6A05AD"/>
    <w:rsid w:val="7F6B0FB7"/>
    <w:rsid w:val="7F6F572A"/>
    <w:rsid w:val="7F723922"/>
    <w:rsid w:val="7F78164A"/>
    <w:rsid w:val="7F7A5B52"/>
    <w:rsid w:val="7F7F2B36"/>
    <w:rsid w:val="7F852535"/>
    <w:rsid w:val="7F891B0E"/>
    <w:rsid w:val="7F8A6233"/>
    <w:rsid w:val="7F8D7AC9"/>
    <w:rsid w:val="7F9628D3"/>
    <w:rsid w:val="7F9B048E"/>
    <w:rsid w:val="7F9D10B3"/>
    <w:rsid w:val="7F9F2BF4"/>
    <w:rsid w:val="7FAC1BA2"/>
    <w:rsid w:val="7FAC413D"/>
    <w:rsid w:val="7FAF7CF5"/>
    <w:rsid w:val="7FB41BAC"/>
    <w:rsid w:val="7FB8469C"/>
    <w:rsid w:val="7FBF4822"/>
    <w:rsid w:val="7FBF5DB4"/>
    <w:rsid w:val="7FC61EAD"/>
    <w:rsid w:val="7FC72706"/>
    <w:rsid w:val="7FCA72CE"/>
    <w:rsid w:val="7FD0008B"/>
    <w:rsid w:val="7FD17875"/>
    <w:rsid w:val="7FD3766C"/>
    <w:rsid w:val="7FE87F14"/>
    <w:rsid w:val="7FE94483"/>
    <w:rsid w:val="7FF41E07"/>
    <w:rsid w:val="7FF674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0"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640" w:firstLineChars="200"/>
      <w:jc w:val="both"/>
    </w:pPr>
    <w:rPr>
      <w:rFonts w:ascii="Times New Roman" w:hAnsi="Times New Roman" w:eastAsia="仿宋" w:cstheme="minorBidi"/>
      <w:kern w:val="2"/>
      <w:sz w:val="32"/>
      <w:szCs w:val="32"/>
      <w:lang w:val="en-US" w:eastAsia="zh-CN" w:bidi="ar-SA"/>
    </w:rPr>
  </w:style>
  <w:style w:type="paragraph" w:styleId="3">
    <w:name w:val="heading 1"/>
    <w:basedOn w:val="4"/>
    <w:next w:val="1"/>
    <w:link w:val="33"/>
    <w:qFormat/>
    <w:uiPriority w:val="9"/>
    <w:pPr>
      <w:outlineLvl w:val="0"/>
    </w:pPr>
    <w:rPr>
      <w:rFonts w:eastAsia="方正黑体_GBK"/>
    </w:rPr>
  </w:style>
  <w:style w:type="paragraph" w:styleId="4">
    <w:name w:val="heading 2"/>
    <w:basedOn w:val="5"/>
    <w:next w:val="1"/>
    <w:link w:val="34"/>
    <w:unhideWhenUsed/>
    <w:qFormat/>
    <w:uiPriority w:val="9"/>
    <w:pPr>
      <w:outlineLvl w:val="1"/>
    </w:pPr>
    <w:rPr>
      <w:rFonts w:eastAsia="方正楷体_GBK"/>
    </w:rPr>
  </w:style>
  <w:style w:type="paragraph" w:styleId="5">
    <w:name w:val="heading 3"/>
    <w:basedOn w:val="1"/>
    <w:next w:val="1"/>
    <w:link w:val="35"/>
    <w:unhideWhenUsed/>
    <w:qFormat/>
    <w:uiPriority w:val="9"/>
    <w:pPr>
      <w:spacing w:beforeLines="50" w:afterLines="50"/>
      <w:ind w:firstLine="0" w:firstLineChars="0"/>
      <w:outlineLvl w:val="2"/>
    </w:pPr>
    <w:rPr>
      <w:rFonts w:eastAsia="方正仿宋_GBK"/>
      <w:b/>
    </w:rPr>
  </w:style>
  <w:style w:type="paragraph" w:styleId="6">
    <w:name w:val="heading 4"/>
    <w:basedOn w:val="1"/>
    <w:next w:val="1"/>
    <w:link w:val="36"/>
    <w:unhideWhenUsed/>
    <w:qFormat/>
    <w:uiPriority w:val="9"/>
    <w:pPr>
      <w:keepNext/>
      <w:keepLines/>
      <w:ind w:firstLine="0" w:firstLineChars="0"/>
      <w:outlineLvl w:val="3"/>
    </w:pPr>
    <w:rPr>
      <w:rFonts w:eastAsia="方正楷体_GBK" w:cstheme="majorBidi"/>
      <w:b/>
      <w:bCs/>
      <w:szCs w:val="28"/>
    </w:rPr>
  </w:style>
  <w:style w:type="paragraph" w:styleId="7">
    <w:name w:val="heading 5"/>
    <w:basedOn w:val="1"/>
    <w:next w:val="1"/>
    <w:unhideWhenUsed/>
    <w:qFormat/>
    <w:uiPriority w:val="9"/>
    <w:pPr>
      <w:keepNext/>
      <w:keepLines/>
      <w:outlineLvl w:val="4"/>
    </w:pPr>
    <w:rPr>
      <w:rFonts w:eastAsia="仿宋_GB2312"/>
      <w:b/>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te Heading"/>
    <w:basedOn w:val="1"/>
    <w:next w:val="1"/>
    <w:qFormat/>
    <w:uiPriority w:val="0"/>
    <w:pPr>
      <w:jc w:val="center"/>
    </w:pPr>
    <w:rPr>
      <w:rFonts w:eastAsia="宋体"/>
    </w:rPr>
  </w:style>
  <w:style w:type="paragraph" w:styleId="8">
    <w:name w:val="Normal Indent"/>
    <w:basedOn w:val="1"/>
    <w:qFormat/>
    <w:uiPriority w:val="0"/>
    <w:pPr>
      <w:spacing w:line="440" w:lineRule="exact"/>
      <w:ind w:firstLine="420"/>
    </w:pPr>
    <w:rPr>
      <w:rFonts w:eastAsia="宋体"/>
      <w:kern w:val="0"/>
      <w:sz w:val="24"/>
      <w:szCs w:val="24"/>
    </w:rPr>
  </w:style>
  <w:style w:type="paragraph" w:styleId="9">
    <w:name w:val="annotation text"/>
    <w:basedOn w:val="1"/>
    <w:link w:val="50"/>
    <w:semiHidden/>
    <w:unhideWhenUsed/>
    <w:qFormat/>
    <w:uiPriority w:val="99"/>
    <w:pPr>
      <w:jc w:val="left"/>
    </w:pPr>
  </w:style>
  <w:style w:type="paragraph" w:styleId="10">
    <w:name w:val="Body Text"/>
    <w:basedOn w:val="1"/>
    <w:qFormat/>
    <w:uiPriority w:val="1"/>
    <w:rPr>
      <w:rFonts w:ascii="方正仿宋_GBK" w:hAnsi="方正仿宋_GBK" w:eastAsia="方正仿宋_GBK" w:cs="方正仿宋_GBK"/>
      <w:lang w:val="zh-CN" w:bidi="zh-CN"/>
    </w:rPr>
  </w:style>
  <w:style w:type="paragraph" w:styleId="11">
    <w:name w:val="toc 3"/>
    <w:basedOn w:val="1"/>
    <w:next w:val="1"/>
    <w:semiHidden/>
    <w:unhideWhenUsed/>
    <w:qFormat/>
    <w:uiPriority w:val="39"/>
    <w:pPr>
      <w:ind w:left="840" w:leftChars="400"/>
    </w:pPr>
  </w:style>
  <w:style w:type="paragraph" w:styleId="12">
    <w:name w:val="Balloon Text"/>
    <w:basedOn w:val="1"/>
    <w:link w:val="39"/>
    <w:semiHidden/>
    <w:unhideWhenUsed/>
    <w:qFormat/>
    <w:uiPriority w:val="99"/>
    <w:rPr>
      <w:sz w:val="18"/>
      <w:szCs w:val="18"/>
    </w:rPr>
  </w:style>
  <w:style w:type="paragraph" w:styleId="13">
    <w:name w:val="footer"/>
    <w:basedOn w:val="1"/>
    <w:link w:val="41"/>
    <w:unhideWhenUsed/>
    <w:qFormat/>
    <w:uiPriority w:val="99"/>
    <w:pPr>
      <w:tabs>
        <w:tab w:val="center" w:pos="4153"/>
        <w:tab w:val="right" w:pos="8306"/>
      </w:tabs>
      <w:snapToGrid w:val="0"/>
      <w:spacing w:line="240" w:lineRule="atLeast"/>
      <w:jc w:val="left"/>
    </w:pPr>
    <w:rPr>
      <w:sz w:val="18"/>
      <w:szCs w:val="18"/>
    </w:rPr>
  </w:style>
  <w:style w:type="paragraph" w:styleId="14">
    <w:name w:val="header"/>
    <w:basedOn w:val="1"/>
    <w:link w:val="4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5">
    <w:name w:val="toc 1"/>
    <w:basedOn w:val="1"/>
    <w:next w:val="1"/>
    <w:semiHidden/>
    <w:unhideWhenUsed/>
    <w:qFormat/>
    <w:uiPriority w:val="39"/>
  </w:style>
  <w:style w:type="paragraph" w:styleId="16">
    <w:name w:val="Subtitle"/>
    <w:basedOn w:val="1"/>
    <w:next w:val="1"/>
    <w:link w:val="38"/>
    <w:qFormat/>
    <w:uiPriority w:val="11"/>
    <w:pPr>
      <w:ind w:firstLine="0" w:firstLineChars="0"/>
      <w:jc w:val="center"/>
    </w:pPr>
    <w:rPr>
      <w:rFonts w:ascii="方正楷体_GBK" w:eastAsia="方正楷体_GBK"/>
    </w:rPr>
  </w:style>
  <w:style w:type="paragraph" w:styleId="17">
    <w:name w:val="footnote text"/>
    <w:basedOn w:val="1"/>
    <w:link w:val="57"/>
    <w:semiHidden/>
    <w:unhideWhenUsed/>
    <w:qFormat/>
    <w:uiPriority w:val="99"/>
    <w:pPr>
      <w:snapToGrid w:val="0"/>
      <w:spacing w:line="240" w:lineRule="auto"/>
      <w:ind w:firstLine="200"/>
      <w:jc w:val="left"/>
    </w:pPr>
    <w:rPr>
      <w:rFonts w:cs="Times New Roman"/>
      <w:sz w:val="18"/>
      <w:szCs w:val="18"/>
    </w:rPr>
  </w:style>
  <w:style w:type="paragraph" w:styleId="18">
    <w:name w:val="toc 2"/>
    <w:basedOn w:val="1"/>
    <w:next w:val="1"/>
    <w:semiHidden/>
    <w:unhideWhenUsed/>
    <w:qFormat/>
    <w:uiPriority w:val="39"/>
    <w:pPr>
      <w:ind w:left="420" w:leftChars="200"/>
    </w:pPr>
  </w:style>
  <w:style w:type="paragraph" w:styleId="19">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20">
    <w:name w:val="Title"/>
    <w:basedOn w:val="21"/>
    <w:next w:val="1"/>
    <w:link w:val="37"/>
    <w:qFormat/>
    <w:uiPriority w:val="10"/>
    <w:pPr>
      <w:adjustRightInd/>
      <w:snapToGrid/>
      <w:spacing w:line="600" w:lineRule="exact"/>
    </w:pPr>
    <w:rPr>
      <w:rFonts w:eastAsia="方正小标宋_GBK"/>
      <w:sz w:val="44"/>
    </w:rPr>
  </w:style>
  <w:style w:type="paragraph" w:styleId="21">
    <w:name w:val="No Spacing"/>
    <w:qFormat/>
    <w:uiPriority w:val="1"/>
    <w:pPr>
      <w:widowControl w:val="0"/>
      <w:adjustRightInd w:val="0"/>
      <w:snapToGrid w:val="0"/>
      <w:jc w:val="center"/>
    </w:pPr>
    <w:rPr>
      <w:rFonts w:ascii="方正仿宋_GBK" w:eastAsia="方正书宋_GBK" w:hAnsiTheme="minorHAnsi" w:cstheme="minorBidi"/>
      <w:kern w:val="2"/>
      <w:sz w:val="24"/>
      <w:szCs w:val="32"/>
      <w:lang w:val="en-US" w:eastAsia="zh-CN" w:bidi="ar-SA"/>
    </w:rPr>
  </w:style>
  <w:style w:type="paragraph" w:styleId="22">
    <w:name w:val="annotation subject"/>
    <w:basedOn w:val="9"/>
    <w:next w:val="9"/>
    <w:link w:val="51"/>
    <w:semiHidden/>
    <w:unhideWhenUsed/>
    <w:qFormat/>
    <w:uiPriority w:val="99"/>
    <w:rPr>
      <w:b/>
      <w:bCs/>
    </w:rPr>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b/>
      <w:bCs/>
    </w:rPr>
  </w:style>
  <w:style w:type="character" w:styleId="27">
    <w:name w:val="page number"/>
    <w:basedOn w:val="25"/>
    <w:semiHidden/>
    <w:unhideWhenUsed/>
    <w:qFormat/>
    <w:uiPriority w:val="99"/>
  </w:style>
  <w:style w:type="character" w:styleId="28">
    <w:name w:val="Emphasis"/>
    <w:qFormat/>
    <w:uiPriority w:val="20"/>
    <w:rPr>
      <w:rFonts w:ascii="方正书宋_GBK" w:eastAsia="方正书宋_GBK"/>
    </w:rPr>
  </w:style>
  <w:style w:type="character" w:styleId="29">
    <w:name w:val="Hyperlink"/>
    <w:basedOn w:val="25"/>
    <w:semiHidden/>
    <w:unhideWhenUsed/>
    <w:qFormat/>
    <w:uiPriority w:val="99"/>
    <w:rPr>
      <w:color w:val="0563C1"/>
      <w:u w:val="single"/>
    </w:rPr>
  </w:style>
  <w:style w:type="character" w:styleId="30">
    <w:name w:val="annotation reference"/>
    <w:basedOn w:val="25"/>
    <w:semiHidden/>
    <w:unhideWhenUsed/>
    <w:qFormat/>
    <w:uiPriority w:val="99"/>
    <w:rPr>
      <w:sz w:val="21"/>
      <w:szCs w:val="21"/>
    </w:rPr>
  </w:style>
  <w:style w:type="character" w:styleId="31">
    <w:name w:val="footnote reference"/>
    <w:basedOn w:val="25"/>
    <w:semiHidden/>
    <w:unhideWhenUsed/>
    <w:qFormat/>
    <w:uiPriority w:val="99"/>
    <w:rPr>
      <w:vertAlign w:val="superscript"/>
    </w:rPr>
  </w:style>
  <w:style w:type="paragraph" w:customStyle="1" w:styleId="32">
    <w:name w:val="首行缩进"/>
    <w:basedOn w:val="1"/>
    <w:qFormat/>
    <w:uiPriority w:val="0"/>
    <w:pPr>
      <w:ind w:firstLine="480"/>
    </w:pPr>
    <w:rPr>
      <w:lang w:val="zh-CN"/>
    </w:rPr>
  </w:style>
  <w:style w:type="character" w:customStyle="1" w:styleId="33">
    <w:name w:val="标题 1 Char"/>
    <w:basedOn w:val="25"/>
    <w:link w:val="3"/>
    <w:qFormat/>
    <w:uiPriority w:val="9"/>
    <w:rPr>
      <w:rFonts w:ascii="Times New Roman" w:hAnsi="Times New Roman" w:eastAsia="方正黑体_GBK"/>
      <w:sz w:val="32"/>
      <w:szCs w:val="32"/>
    </w:rPr>
  </w:style>
  <w:style w:type="character" w:customStyle="1" w:styleId="34">
    <w:name w:val="标题 2 Char"/>
    <w:basedOn w:val="25"/>
    <w:link w:val="4"/>
    <w:qFormat/>
    <w:uiPriority w:val="9"/>
    <w:rPr>
      <w:rFonts w:ascii="Times New Roman" w:hAnsi="Times New Roman" w:eastAsia="方正楷体_GBK"/>
      <w:b/>
      <w:sz w:val="32"/>
      <w:szCs w:val="32"/>
    </w:rPr>
  </w:style>
  <w:style w:type="character" w:customStyle="1" w:styleId="35">
    <w:name w:val="标题 3 Char"/>
    <w:basedOn w:val="25"/>
    <w:link w:val="5"/>
    <w:qFormat/>
    <w:uiPriority w:val="9"/>
    <w:rPr>
      <w:rFonts w:ascii="Times New Roman" w:hAnsi="Times New Roman" w:eastAsia="方正仿宋_GBK"/>
      <w:b/>
      <w:sz w:val="32"/>
      <w:szCs w:val="32"/>
    </w:rPr>
  </w:style>
  <w:style w:type="character" w:customStyle="1" w:styleId="36">
    <w:name w:val="标题 4 Char"/>
    <w:basedOn w:val="25"/>
    <w:link w:val="6"/>
    <w:semiHidden/>
    <w:qFormat/>
    <w:uiPriority w:val="9"/>
    <w:rPr>
      <w:rFonts w:ascii="Times New Roman" w:hAnsi="Times New Roman" w:eastAsia="方正楷体_GBK" w:cstheme="majorBidi"/>
      <w:b/>
      <w:bCs/>
      <w:sz w:val="32"/>
      <w:szCs w:val="28"/>
    </w:rPr>
  </w:style>
  <w:style w:type="character" w:customStyle="1" w:styleId="37">
    <w:name w:val="标题 Char"/>
    <w:basedOn w:val="25"/>
    <w:link w:val="20"/>
    <w:qFormat/>
    <w:uiPriority w:val="10"/>
    <w:rPr>
      <w:rFonts w:ascii="方正仿宋_GBK" w:eastAsia="方正小标宋_GBK"/>
      <w:sz w:val="44"/>
      <w:szCs w:val="32"/>
    </w:rPr>
  </w:style>
  <w:style w:type="character" w:customStyle="1" w:styleId="38">
    <w:name w:val="副标题 Char"/>
    <w:basedOn w:val="25"/>
    <w:link w:val="16"/>
    <w:qFormat/>
    <w:uiPriority w:val="11"/>
    <w:rPr>
      <w:rFonts w:ascii="方正楷体_GBK" w:eastAsia="方正楷体_GBK"/>
      <w:sz w:val="32"/>
      <w:szCs w:val="32"/>
    </w:rPr>
  </w:style>
  <w:style w:type="character" w:customStyle="1" w:styleId="39">
    <w:name w:val="批注框文本 Char"/>
    <w:basedOn w:val="25"/>
    <w:link w:val="12"/>
    <w:semiHidden/>
    <w:qFormat/>
    <w:uiPriority w:val="99"/>
    <w:rPr>
      <w:rFonts w:ascii="Times New Roman" w:hAnsi="Times New Roman" w:eastAsia="宋体" w:cs="Times New Roman"/>
      <w:sz w:val="18"/>
      <w:szCs w:val="18"/>
    </w:rPr>
  </w:style>
  <w:style w:type="character" w:customStyle="1" w:styleId="40">
    <w:name w:val="页眉 Char"/>
    <w:basedOn w:val="25"/>
    <w:link w:val="14"/>
    <w:qFormat/>
    <w:uiPriority w:val="99"/>
    <w:rPr>
      <w:rFonts w:ascii="方正仿宋_GBK" w:eastAsia="方正仿宋_GBK"/>
      <w:sz w:val="18"/>
      <w:szCs w:val="18"/>
    </w:rPr>
  </w:style>
  <w:style w:type="character" w:customStyle="1" w:styleId="41">
    <w:name w:val="页脚 Char"/>
    <w:basedOn w:val="25"/>
    <w:link w:val="13"/>
    <w:qFormat/>
    <w:uiPriority w:val="99"/>
    <w:rPr>
      <w:rFonts w:ascii="方正仿宋_GBK" w:eastAsia="方正仿宋_GBK"/>
      <w:sz w:val="18"/>
      <w:szCs w:val="18"/>
    </w:rPr>
  </w:style>
  <w:style w:type="paragraph" w:customStyle="1" w:styleId="42">
    <w:name w:val="标题3"/>
    <w:basedOn w:val="1"/>
    <w:next w:val="1"/>
    <w:qFormat/>
    <w:uiPriority w:val="0"/>
    <w:pPr>
      <w:autoSpaceDE w:val="0"/>
      <w:autoSpaceDN w:val="0"/>
      <w:snapToGrid w:val="0"/>
      <w:spacing w:line="590" w:lineRule="atLeast"/>
      <w:ind w:firstLine="624" w:firstLineChars="0"/>
    </w:pPr>
    <w:rPr>
      <w:rFonts w:eastAsia="方正黑体_GBK" w:cs="Times New Roman"/>
      <w:snapToGrid w:val="0"/>
      <w:kern w:val="0"/>
      <w:szCs w:val="20"/>
    </w:rPr>
  </w:style>
  <w:style w:type="paragraph" w:styleId="43">
    <w:name w:val="List Paragraph"/>
    <w:basedOn w:val="1"/>
    <w:qFormat/>
    <w:uiPriority w:val="34"/>
    <w:pPr>
      <w:ind w:firstLine="420"/>
    </w:pPr>
  </w:style>
  <w:style w:type="paragraph" w:customStyle="1" w:styleId="44">
    <w:name w:val="表头0"/>
    <w:basedOn w:val="1"/>
    <w:link w:val="45"/>
    <w:qFormat/>
    <w:uiPriority w:val="0"/>
    <w:pPr>
      <w:ind w:firstLine="0" w:firstLineChars="0"/>
      <w:jc w:val="center"/>
    </w:pPr>
  </w:style>
  <w:style w:type="character" w:customStyle="1" w:styleId="45">
    <w:name w:val="表头0 字符"/>
    <w:basedOn w:val="25"/>
    <w:link w:val="44"/>
    <w:qFormat/>
    <w:uiPriority w:val="0"/>
    <w:rPr>
      <w:rFonts w:ascii="方正仿宋_GBK" w:eastAsia="方正仿宋_GBK"/>
      <w:sz w:val="32"/>
      <w:szCs w:val="32"/>
    </w:rPr>
  </w:style>
  <w:style w:type="paragraph" w:customStyle="1" w:styleId="46">
    <w:name w:val="a 正文"/>
    <w:basedOn w:val="1"/>
    <w:qFormat/>
    <w:uiPriority w:val="0"/>
    <w:pPr>
      <w:ind w:firstLine="560"/>
    </w:pPr>
    <w:rPr>
      <w:rFonts w:cs="宋体"/>
      <w:szCs w:val="20"/>
    </w:rPr>
  </w:style>
  <w:style w:type="paragraph" w:customStyle="1" w:styleId="47">
    <w:name w:val="a 3级"/>
    <w:basedOn w:val="1"/>
    <w:qFormat/>
    <w:uiPriority w:val="0"/>
    <w:pPr>
      <w:outlineLvl w:val="2"/>
    </w:pPr>
    <w:rPr>
      <w:rFonts w:eastAsia="楷体"/>
      <w:bCs/>
    </w:rPr>
  </w:style>
  <w:style w:type="paragraph" w:customStyle="1" w:styleId="48">
    <w:name w:val="图表题名"/>
    <w:basedOn w:val="1"/>
    <w:qFormat/>
    <w:uiPriority w:val="0"/>
    <w:pPr>
      <w:ind w:firstLine="0" w:firstLineChars="0"/>
      <w:jc w:val="center"/>
    </w:pPr>
    <w:rPr>
      <w:rFonts w:eastAsia="黑体"/>
      <w:sz w:val="24"/>
      <w:szCs w:val="22"/>
    </w:rPr>
  </w:style>
  <w:style w:type="paragraph" w:customStyle="1" w:styleId="49">
    <w:name w:val="列表段落1"/>
    <w:basedOn w:val="1"/>
    <w:qFormat/>
    <w:uiPriority w:val="99"/>
    <w:pPr>
      <w:ind w:left="720"/>
      <w:contextualSpacing/>
    </w:pPr>
  </w:style>
  <w:style w:type="character" w:customStyle="1" w:styleId="50">
    <w:name w:val="批注文字 Char"/>
    <w:basedOn w:val="25"/>
    <w:link w:val="9"/>
    <w:semiHidden/>
    <w:qFormat/>
    <w:uiPriority w:val="99"/>
    <w:rPr>
      <w:rFonts w:ascii="方正仿宋_GBK" w:eastAsia="方正仿宋_GBK"/>
      <w:sz w:val="32"/>
      <w:szCs w:val="32"/>
    </w:rPr>
  </w:style>
  <w:style w:type="character" w:customStyle="1" w:styleId="51">
    <w:name w:val="批注主题 Char"/>
    <w:basedOn w:val="50"/>
    <w:link w:val="22"/>
    <w:semiHidden/>
    <w:qFormat/>
    <w:uiPriority w:val="99"/>
    <w:rPr>
      <w:rFonts w:ascii="方正仿宋_GBK" w:eastAsia="方正仿宋_GBK"/>
      <w:b/>
      <w:bCs/>
      <w:sz w:val="32"/>
      <w:szCs w:val="32"/>
    </w:rPr>
  </w:style>
  <w:style w:type="paragraph" w:customStyle="1" w:styleId="52">
    <w:name w:val="a 4级"/>
    <w:basedOn w:val="6"/>
    <w:qFormat/>
    <w:uiPriority w:val="0"/>
    <w:rPr>
      <w:rFonts w:eastAsia="方正仿宋_GBK"/>
      <w:bCs w:val="0"/>
    </w:rPr>
  </w:style>
  <w:style w:type="paragraph" w:customStyle="1" w:styleId="53">
    <w:name w:val="a 表头"/>
    <w:basedOn w:val="1"/>
    <w:link w:val="55"/>
    <w:qFormat/>
    <w:uiPriority w:val="0"/>
    <w:pPr>
      <w:adjustRightInd w:val="0"/>
      <w:spacing w:after="60"/>
      <w:ind w:firstLine="240" w:firstLineChars="100"/>
      <w:jc w:val="center"/>
    </w:pPr>
    <w:rPr>
      <w:rFonts w:cs="宋体"/>
      <w:b/>
      <w:sz w:val="30"/>
      <w:szCs w:val="20"/>
    </w:rPr>
  </w:style>
  <w:style w:type="paragraph" w:customStyle="1" w:styleId="54">
    <w:name w:val="a 表格"/>
    <w:basedOn w:val="1"/>
    <w:link w:val="56"/>
    <w:qFormat/>
    <w:uiPriority w:val="0"/>
    <w:pPr>
      <w:spacing w:line="240" w:lineRule="auto"/>
      <w:ind w:firstLine="0" w:firstLineChars="0"/>
      <w:jc w:val="center"/>
    </w:pPr>
    <w:rPr>
      <w:rFonts w:eastAsia="方正书宋_GBK"/>
      <w:kern w:val="0"/>
      <w:sz w:val="28"/>
      <w:szCs w:val="21"/>
    </w:rPr>
  </w:style>
  <w:style w:type="character" w:customStyle="1" w:styleId="55">
    <w:name w:val="a 表头 字符"/>
    <w:link w:val="53"/>
    <w:qFormat/>
    <w:uiPriority w:val="0"/>
    <w:rPr>
      <w:rFonts w:ascii="方正仿宋_GBK" w:eastAsia="方正仿宋_GBK" w:cs="宋体"/>
      <w:b/>
      <w:sz w:val="30"/>
      <w:szCs w:val="20"/>
    </w:rPr>
  </w:style>
  <w:style w:type="character" w:customStyle="1" w:styleId="56">
    <w:name w:val="a 表格 字符"/>
    <w:link w:val="54"/>
    <w:qFormat/>
    <w:uiPriority w:val="0"/>
    <w:rPr>
      <w:rFonts w:ascii="方正仿宋_GBK" w:eastAsia="方正书宋_GBK"/>
      <w:kern w:val="0"/>
      <w:sz w:val="28"/>
      <w:szCs w:val="21"/>
    </w:rPr>
  </w:style>
  <w:style w:type="character" w:customStyle="1" w:styleId="57">
    <w:name w:val="脚注文本 Char"/>
    <w:basedOn w:val="25"/>
    <w:link w:val="17"/>
    <w:semiHidden/>
    <w:qFormat/>
    <w:uiPriority w:val="99"/>
    <w:rPr>
      <w:rFonts w:ascii="Times New Roman" w:hAnsi="Times New Roman" w:eastAsia="方正仿宋_GBK" w:cs="Times New Roman"/>
      <w:sz w:val="18"/>
      <w:szCs w:val="18"/>
    </w:rPr>
  </w:style>
  <w:style w:type="character" w:customStyle="1" w:styleId="58">
    <w:name w:val="font31"/>
    <w:basedOn w:val="25"/>
    <w:qFormat/>
    <w:uiPriority w:val="0"/>
    <w:rPr>
      <w:rFonts w:hint="eastAsia" w:ascii="宋体" w:hAnsi="宋体" w:eastAsia="宋体" w:cs="宋体"/>
      <w:color w:val="000000"/>
      <w:sz w:val="18"/>
      <w:szCs w:val="18"/>
      <w:u w:val="none"/>
    </w:rPr>
  </w:style>
  <w:style w:type="character" w:customStyle="1" w:styleId="59">
    <w:name w:val="font01"/>
    <w:basedOn w:val="25"/>
    <w:qFormat/>
    <w:uiPriority w:val="0"/>
    <w:rPr>
      <w:rFonts w:hint="eastAsia" w:ascii="宋体" w:hAnsi="宋体" w:eastAsia="宋体" w:cs="宋体"/>
      <w:color w:val="000000"/>
      <w:sz w:val="18"/>
      <w:szCs w:val="18"/>
      <w:u w:val="none"/>
      <w:vertAlign w:val="superscript"/>
    </w:rPr>
  </w:style>
  <w:style w:type="character" w:customStyle="1" w:styleId="60">
    <w:name w:val="font21"/>
    <w:basedOn w:val="25"/>
    <w:qFormat/>
    <w:uiPriority w:val="0"/>
    <w:rPr>
      <w:rFonts w:hint="eastAsia" w:ascii="宋体" w:hAnsi="宋体" w:eastAsia="宋体" w:cs="宋体"/>
      <w:color w:val="000000"/>
      <w:sz w:val="22"/>
      <w:szCs w:val="22"/>
      <w:u w:val="none"/>
    </w:rPr>
  </w:style>
  <w:style w:type="character" w:customStyle="1" w:styleId="61">
    <w:name w:val="font11"/>
    <w:basedOn w:val="25"/>
    <w:qFormat/>
    <w:uiPriority w:val="0"/>
    <w:rPr>
      <w:rFonts w:hint="eastAsia" w:ascii="宋体" w:hAnsi="宋体" w:eastAsia="宋体" w:cs="宋体"/>
      <w:color w:val="000000"/>
      <w:sz w:val="22"/>
      <w:szCs w:val="22"/>
      <w:u w:val="none"/>
    </w:rPr>
  </w:style>
  <w:style w:type="character" w:customStyle="1" w:styleId="62">
    <w:name w:val="font41"/>
    <w:basedOn w:val="25"/>
    <w:qFormat/>
    <w:uiPriority w:val="0"/>
    <w:rPr>
      <w:rFonts w:hint="default" w:ascii="Tahoma" w:hAnsi="Tahoma" w:eastAsia="Tahoma" w:cs="Tahoma"/>
      <w:color w:val="000000"/>
      <w:sz w:val="22"/>
      <w:szCs w:val="22"/>
      <w:u w:val="none"/>
    </w:rPr>
  </w:style>
  <w:style w:type="paragraph" w:customStyle="1" w:styleId="63">
    <w:name w:val="Body text|1"/>
    <w:basedOn w:val="1"/>
    <w:qFormat/>
    <w:uiPriority w:val="0"/>
    <w:pPr>
      <w:spacing w:line="437" w:lineRule="auto"/>
      <w:ind w:firstLine="400"/>
    </w:pPr>
    <w:rPr>
      <w:rFonts w:ascii="宋体" w:hAnsi="宋体" w:eastAsia="宋体" w:cs="宋体"/>
      <w:sz w:val="28"/>
      <w:szCs w:val="28"/>
      <w:lang w:val="zh-TW" w:eastAsia="zh-TW" w:bidi="zh-TW"/>
    </w:rPr>
  </w:style>
  <w:style w:type="paragraph" w:customStyle="1" w:styleId="64">
    <w:name w:val="WPSOffice手动目录 1"/>
    <w:qFormat/>
    <w:uiPriority w:val="0"/>
    <w:rPr>
      <w:rFonts w:ascii="Times New Roman" w:hAnsi="Times New Roman" w:eastAsia="宋体" w:cs="Times New Roman"/>
      <w:lang w:val="en-US" w:eastAsia="zh-CN" w:bidi="ar-SA"/>
    </w:rPr>
  </w:style>
  <w:style w:type="paragraph" w:customStyle="1" w:styleId="6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67">
    <w:name w:val="正文-规划"/>
    <w:basedOn w:val="1"/>
    <w:qFormat/>
    <w:uiPriority w:val="0"/>
    <w:pPr>
      <w:snapToGrid w:val="0"/>
      <w:spacing w:line="580" w:lineRule="atLeast"/>
    </w:pPr>
  </w:style>
  <w:style w:type="character" w:customStyle="1" w:styleId="68">
    <w:name w:val="标题2 Char"/>
    <w:link w:val="69"/>
    <w:qFormat/>
    <w:uiPriority w:val="0"/>
    <w:rPr>
      <w:rFonts w:eastAsia="方正楷体_GBK"/>
      <w:kern w:val="0"/>
      <w:sz w:val="32"/>
      <w:szCs w:val="20"/>
    </w:rPr>
  </w:style>
  <w:style w:type="paragraph" w:customStyle="1" w:styleId="69">
    <w:name w:val="标题2"/>
    <w:basedOn w:val="1"/>
    <w:next w:val="1"/>
    <w:link w:val="68"/>
    <w:qFormat/>
    <w:uiPriority w:val="0"/>
    <w:pPr>
      <w:autoSpaceDE w:val="0"/>
      <w:autoSpaceDN w:val="0"/>
      <w:snapToGrid w:val="0"/>
      <w:spacing w:line="590" w:lineRule="atLeast"/>
      <w:jc w:val="center"/>
    </w:pPr>
    <w:rPr>
      <w:rFonts w:eastAsia="方正楷体_GBK"/>
      <w:kern w:val="0"/>
      <w:szCs w:val="20"/>
    </w:rPr>
  </w:style>
  <w:style w:type="paragraph" w:customStyle="1" w:styleId="70">
    <w:name w:val="正文1"/>
    <w:basedOn w:val="1"/>
    <w:qFormat/>
    <w:uiPriority w:val="0"/>
    <w:pPr>
      <w:spacing w:line="560" w:lineRule="exact"/>
      <w:ind w:firstLine="200"/>
    </w:pPr>
    <w:rPr>
      <w:rFonts w:eastAsia="仿宋_GB2312"/>
      <w:bCs/>
      <w:sz w:val="28"/>
      <w:szCs w:val="24"/>
    </w:rPr>
  </w:style>
  <w:style w:type="paragraph" w:customStyle="1" w:styleId="71">
    <w:name w:val="2018年度计划正文标题"/>
    <w:basedOn w:val="1"/>
    <w:qFormat/>
    <w:uiPriority w:val="0"/>
    <w:pPr>
      <w:autoSpaceDE w:val="0"/>
      <w:autoSpaceDN w:val="0"/>
      <w:snapToGrid w:val="0"/>
      <w:spacing w:line="590" w:lineRule="atLeast"/>
      <w:ind w:firstLine="630"/>
    </w:pPr>
    <w:rPr>
      <w:rFonts w:eastAsia="方正仿宋_GBK" w:cs="Times New Roman"/>
      <w:snapToGrid w:val="0"/>
      <w:kern w:val="0"/>
    </w:rPr>
  </w:style>
  <w:style w:type="paragraph" w:customStyle="1" w:styleId="72">
    <w:name w:val="样式 行距: 固定值 23 磅"/>
    <w:basedOn w:val="1"/>
    <w:qFormat/>
    <w:uiPriority w:val="0"/>
    <w:pPr>
      <w:spacing w:line="590" w:lineRule="exact"/>
      <w:ind w:firstLine="578"/>
    </w:pPr>
    <w:rPr>
      <w:rFonts w:eastAsia="仿宋_GB2312" w:cs="宋体"/>
    </w:rPr>
  </w:style>
  <w:style w:type="paragraph" w:customStyle="1" w:styleId="73">
    <w:name w:val="表格标题"/>
    <w:basedOn w:val="1"/>
    <w:qFormat/>
    <w:uiPriority w:val="0"/>
    <w:pPr>
      <w:spacing w:before="120"/>
      <w:ind w:firstLine="0"/>
      <w:jc w:val="center"/>
    </w:pPr>
    <w:rPr>
      <w:rFonts w:eastAsia="文鼎CS中宋"/>
      <w:sz w:val="24"/>
    </w:rPr>
  </w:style>
  <w:style w:type="paragraph" w:customStyle="1" w:styleId="74">
    <w:name w:val="正文4"/>
    <w:basedOn w:val="1"/>
    <w:qFormat/>
    <w:uiPriority w:val="0"/>
    <w:pPr>
      <w:spacing w:line="440" w:lineRule="exact"/>
    </w:pPr>
  </w:style>
  <w:style w:type="paragraph" w:customStyle="1" w:styleId="75">
    <w:name w:val="班图表标题"/>
    <w:basedOn w:val="1"/>
    <w:qFormat/>
    <w:uiPriority w:val="0"/>
    <w:pPr>
      <w:ind w:firstLine="0" w:firstLineChars="0"/>
      <w:jc w:val="center"/>
    </w:pPr>
    <w:rPr>
      <w:b/>
    </w:rPr>
  </w:style>
  <w:style w:type="paragraph" w:customStyle="1" w:styleId="76">
    <w:name w:val="班表格内容"/>
    <w:basedOn w:val="1"/>
    <w:qFormat/>
    <w:uiPriority w:val="0"/>
    <w:pPr>
      <w:spacing w:line="240" w:lineRule="auto"/>
      <w:ind w:firstLine="0" w:firstLineChars="0"/>
      <w:jc w:val="center"/>
    </w:pPr>
    <w:rPr>
      <w:sz w:val="21"/>
    </w:rPr>
  </w:style>
  <w:style w:type="table" w:customStyle="1" w:styleId="77">
    <w:name w:val="网格型1"/>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8">
    <w:name w:val="班图片"/>
    <w:basedOn w:val="1"/>
    <w:qFormat/>
    <w:uiPriority w:val="0"/>
    <w:pPr>
      <w:spacing w:line="240" w:lineRule="auto"/>
      <w:ind w:firstLine="0" w:firstLineChars="0"/>
      <w:jc w:val="center"/>
    </w:pPr>
  </w:style>
  <w:style w:type="paragraph" w:customStyle="1" w:styleId="79">
    <w:name w:val="表格内容"/>
    <w:basedOn w:val="1"/>
    <w:qFormat/>
    <w:uiPriority w:val="0"/>
    <w:pPr>
      <w:spacing w:line="240" w:lineRule="auto"/>
      <w:ind w:firstLine="0" w:firstLineChars="0"/>
      <w:jc w:val="center"/>
    </w:pPr>
    <w:rPr>
      <w:sz w:val="21"/>
    </w:rPr>
  </w:style>
  <w:style w:type="paragraph" w:customStyle="1" w:styleId="80">
    <w:name w:val="标题1"/>
    <w:basedOn w:val="1"/>
    <w:next w:val="1"/>
    <w:qFormat/>
    <w:uiPriority w:val="0"/>
    <w:pPr>
      <w:tabs>
        <w:tab w:val="left" w:pos="9193"/>
        <w:tab w:val="left" w:pos="9827"/>
      </w:tabs>
      <w:spacing w:line="640" w:lineRule="atLeast"/>
      <w:ind w:firstLine="0"/>
      <w:jc w:val="center"/>
    </w:pPr>
    <w:rPr>
      <w:rFonts w:eastAsia="方正小标宋_GBK"/>
      <w:sz w:val="44"/>
    </w:rPr>
  </w:style>
  <w:style w:type="paragraph" w:customStyle="1" w:styleId="81">
    <w:name w:val="Default"/>
    <w:qFormat/>
    <w:uiPriority w:val="0"/>
    <w:pPr>
      <w:widowControl w:val="0"/>
      <w:autoSpaceDE w:val="0"/>
      <w:autoSpaceDN w:val="0"/>
      <w:adjustRightInd w:val="0"/>
    </w:pPr>
    <w:rPr>
      <w:rFonts w:ascii="楷体" w:eastAsia="楷体" w:cs="楷体" w:hAnsiTheme="minorHAnsi"/>
      <w:color w:val="000000"/>
      <w:sz w:val="24"/>
      <w:szCs w:val="24"/>
      <w:lang w:val="en-US" w:eastAsia="zh-CN" w:bidi="ar-SA"/>
    </w:rPr>
  </w:style>
  <w:style w:type="paragraph" w:customStyle="1" w:styleId="82">
    <w:name w:val="Table Paragraph"/>
    <w:basedOn w:val="1"/>
    <w:qFormat/>
    <w:uiPriority w:val="1"/>
    <w:pPr>
      <w:spacing w:before="20"/>
      <w:ind w:left="9"/>
      <w:jc w:val="center"/>
    </w:pPr>
    <w:rPr>
      <w:rFonts w:ascii="仿宋" w:hAnsi="仿宋" w:cs="仿宋"/>
      <w:lang w:val="zh-CN" w:bidi="zh-CN"/>
    </w:rPr>
  </w:style>
  <w:style w:type="paragraph" w:customStyle="1" w:styleId="83">
    <w:name w:val="表头"/>
    <w:qFormat/>
    <w:uiPriority w:val="0"/>
    <w:pPr>
      <w:widowControl w:val="0"/>
      <w:adjustRightInd w:val="0"/>
      <w:snapToGrid w:val="0"/>
      <w:spacing w:line="320" w:lineRule="atLeast"/>
      <w:jc w:val="center"/>
      <w:textAlignment w:val="baseline"/>
    </w:pPr>
    <w:rPr>
      <w:rFonts w:ascii="Times New Roman" w:hAnsi="Times New Roman" w:eastAsia="黑体" w:cs="Times New Roman"/>
      <w:spacing w:val="-10"/>
      <w:sz w:val="21"/>
      <w:lang w:val="en-US" w:eastAsia="zh-CN" w:bidi="ar-SA"/>
    </w:rPr>
  </w:style>
  <w:style w:type="paragraph" w:customStyle="1" w:styleId="84">
    <w:name w:val="表蕊"/>
    <w:qFormat/>
    <w:uiPriority w:val="0"/>
    <w:pPr>
      <w:widowControl w:val="0"/>
      <w:adjustRightInd w:val="0"/>
      <w:spacing w:line="320" w:lineRule="atLeast"/>
      <w:textAlignment w:val="baseline"/>
    </w:pPr>
    <w:rPr>
      <w:rFonts w:ascii="Times New Roman" w:hAnsi="Times New Roman" w:eastAsia="楷体_GB2312" w:cs="Times New Roman"/>
      <w:spacing w:val="-10"/>
      <w:sz w:val="21"/>
      <w:lang w:val="en-US" w:eastAsia="zh-CN" w:bidi="ar-SA"/>
    </w:rPr>
  </w:style>
  <w:style w:type="character" w:customStyle="1" w:styleId="85">
    <w:name w:val="标题 2 Char1"/>
    <w:basedOn w:val="25"/>
    <w:qFormat/>
    <w:uiPriority w:val="9"/>
    <w:rPr>
      <w:rFonts w:ascii="Times New Roman" w:hAnsi="Times New Roman" w:eastAsia="仿宋_GB2312"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政府公文-z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71</Pages>
  <Words>33395</Words>
  <Characters>34915</Characters>
  <Lines>53</Lines>
  <Paragraphs>81</Paragraphs>
  <TotalTime>4</TotalTime>
  <ScaleCrop>false</ScaleCrop>
  <LinksUpToDate>false</LinksUpToDate>
  <CharactersWithSpaces>38867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2021-02-09T02:55:00Z</dcterms:created>
  <dc:creator>tan junyi</dc:creator>
  <cp:lastModifiedBy>武瑾</cp:lastModifiedBy>
  <cp:lastPrinted>2021-06-25T02:16:00Z</cp:lastPrinted>
  <dcterms:modified xsi:type="dcterms:W3CDTF">2023-05-12T02:34:09Z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C96C78AD09EB4CE29830B2362D4EA8ED</vt:lpwstr>
  </property>
  <property fmtid="{D5CDD505-2E9C-101B-9397-08002B2CF9AE}" pid="4" name="KSOSaveFontToCloudKey">
    <vt:lpwstr>272402453_cloud</vt:lpwstr>
  </property>
</Properties>
</file>