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Fonts w:ascii="Times New Roman"/>
          <w:sz w:val="18"/>
          <w:szCs w:val="18"/>
        </w:rPr>
      </w:pPr>
      <w:r>
        <w:rPr>
          <w:rFonts w:ascii="Times New Roman" w:eastAsia="黑体"/>
          <w:szCs w:val="32"/>
        </w:rPr>
        <w:t>附件2</w:t>
      </w:r>
    </w:p>
    <w:tbl>
      <w:tblPr>
        <w:tblStyle w:val="4"/>
        <w:tblW w:w="141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855"/>
        <w:gridCol w:w="957"/>
        <w:gridCol w:w="775"/>
        <w:gridCol w:w="765"/>
        <w:gridCol w:w="1500"/>
        <w:gridCol w:w="1020"/>
        <w:gridCol w:w="365"/>
        <w:gridCol w:w="1095"/>
        <w:gridCol w:w="210"/>
        <w:gridCol w:w="970"/>
        <w:gridCol w:w="140"/>
        <w:gridCol w:w="1120"/>
        <w:gridCol w:w="215"/>
        <w:gridCol w:w="1720"/>
        <w:gridCol w:w="7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417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方正小标宋简体"/>
                <w:sz w:val="44"/>
                <w:szCs w:val="44"/>
                <w:lang w:bidi="ar"/>
              </w:rPr>
              <w:t>新兴服务业细分领域2023年重点目标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17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spacing w:line="240" w:lineRule="auto"/>
              <w:ind w:firstLine="0"/>
              <w:jc w:val="center"/>
              <w:textAlignment w:val="top"/>
              <w:rPr>
                <w:rFonts w:ascii="Times New Roman" w:eastAsia="楷体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noWrap w:val="0"/>
            <w:vAlign w:val="top"/>
          </w:tcPr>
          <w:p>
            <w:pPr>
              <w:widowControl/>
              <w:spacing w:line="240" w:lineRule="auto"/>
              <w:ind w:firstLine="0"/>
              <w:jc w:val="left"/>
              <w:textAlignment w:val="top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 xml:space="preserve"> 指标      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 xml:space="preserve">                   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 xml:space="preserve">       </w:t>
            </w:r>
            <w:r>
              <w:rPr>
                <w:rFonts w:hint="eastAsia" w:ascii="Times New Roman" w:eastAsia="黑体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>细分领域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产业规模、增速（亿元）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开展行业活动</w:t>
            </w:r>
            <w:r>
              <w:rPr>
                <w:rFonts w:hint="eastAsia" w:ascii="Times New Roman" w:eastAsia="黑体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>场</w:t>
            </w:r>
            <w:r>
              <w:rPr>
                <w:rFonts w:hint="eastAsia" w:ascii="Times New Roman" w:eastAsia="黑体"/>
                <w:sz w:val="18"/>
                <w:szCs w:val="18"/>
                <w:lang w:bidi="ar"/>
              </w:rPr>
              <w:t>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建立特色产业园（个）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培育龙头领军企业（家）</w:t>
            </w:r>
          </w:p>
        </w:tc>
        <w:tc>
          <w:tcPr>
            <w:tcW w:w="835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个性指标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责任单位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现代物贸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1400</w:t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br w:type="textWrapping"/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t>8%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出台现代物贸专项政策</w:t>
            </w:r>
          </w:p>
        </w:tc>
        <w:tc>
          <w:tcPr>
            <w:tcW w:w="1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新增1幢产业特色楼宇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新增规上物贸企业90家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3A级以上物流企业达16家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新竣工物贸产业项目3个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苏州市服务业重点项目中物贸产业领域重点项目年度投资超20亿元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市发改委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2" w:hRule="atLeast"/>
          <w:jc w:val="center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现代商业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541.1</w:t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br w:type="textWrapping"/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t>6%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15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出台《关于促进汽车消费加快新能源汽车推广若干措施》，积极开展汽车大乐购系列活动。修订完善《太仓市促进商务经济转型升级若干政策》</w:t>
            </w:r>
          </w:p>
        </w:tc>
        <w:tc>
          <w:tcPr>
            <w:tcW w:w="1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建成1个苏州市级及以上示范（特色）商业街，争创1个苏州市级及以上夜经济消费示范商圈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力争引进苏州市级及以上品牌首店3家。获评苏州市级及以上各项首店荣誉不低于3家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争创一批苏州市级及以上老字号企业。全市建成3个一刻钟便民生活圈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制定实施重点商圈建设提升工作专班运行方案，围绕21个重点项目、37项重点活动加快推进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积极举办五五购物节、夏季购物节、双十二购物节。强化数字赋能，举办第二届电商直播大赛，联合金融机构、商家等积极开展数币红包系列促消费活动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市商务局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noWrap w:val="0"/>
            <w:vAlign w:val="top"/>
          </w:tcPr>
          <w:p>
            <w:pPr>
              <w:widowControl/>
              <w:spacing w:line="240" w:lineRule="auto"/>
              <w:ind w:firstLine="0"/>
              <w:jc w:val="left"/>
              <w:textAlignment w:val="top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 xml:space="preserve"> 指标      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 xml:space="preserve">                   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 xml:space="preserve">       </w:t>
            </w:r>
            <w:r>
              <w:rPr>
                <w:rFonts w:hint="eastAsia" w:ascii="Times New Roman" w:eastAsia="黑体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>细分领域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产业规模、增速（亿元）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开展行业活动</w:t>
            </w:r>
            <w:r>
              <w:rPr>
                <w:rFonts w:hint="eastAsia" w:ascii="Times New Roman" w:eastAsia="黑体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>场</w:t>
            </w:r>
            <w:r>
              <w:rPr>
                <w:rFonts w:hint="eastAsia" w:ascii="Times New Roman" w:eastAsia="黑体"/>
                <w:sz w:val="18"/>
                <w:szCs w:val="18"/>
                <w:lang w:bidi="ar"/>
              </w:rPr>
              <w:t>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建立特色产业园（个）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培育龙头领军企业（家）</w:t>
            </w:r>
          </w:p>
        </w:tc>
        <w:tc>
          <w:tcPr>
            <w:tcW w:w="835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个性指标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责任单位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2" w:hRule="atLeast"/>
          <w:jc w:val="center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文化创意和旅游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  <w:lang w:bidi="ar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135</w:t>
            </w:r>
          </w:p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30%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━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培育发展1个特色文化产业园区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建设提升1个苏州市级夜间文旅消费集聚区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推出乡村旅游5大精品民宿、打造乡村旅游精品线路</w:t>
            </w:r>
          </w:p>
        </w:tc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围绕传统节庆，加快南园夜游系列产品开发，吸引更多市民游客和外来游客。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overflowPunct w:val="0"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举办电竞赛事不少于50场，举办2023王者荣耀资格赛、举办2023年QQ飞车手游S联赛春季总决赛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举办2023年全国竞走大奖赛（第2站）暨世界田联竞走巡回赛、2023年“全能王”全国钓鱼锦标赛（江苏太仓站）、2023长三角马术联赛、2023年全国桥牌A类俱乐部联赛（总决赛）。推动复星复游城冰雪世界对外营业，积极培育冰雪运动体育旅游新业态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市文体广旅局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知识产权和检验检测认证服务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4.5</w:t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br w:type="textWrapping"/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t>28%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━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新增发明专利授权700件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知识产权质押融资8亿元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引育知名检测机构1家</w:t>
            </w:r>
          </w:p>
        </w:tc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培育知识产权成长型企业100家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引进知识产权等无形资产评估机构1家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重点布局航空航天、汽车零部件、光伏组件、新材料领域的检验检测认证能力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市市场监管局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人力资源服务与教育培训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12</w:t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br w:type="textWrapping"/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t>8%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参与评选苏州人力资源服务业专精特新企业2家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新增行业杰出人物1人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参与苏州市人力资源服务业高端人才培训，培训10人次</w:t>
            </w:r>
          </w:p>
        </w:tc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参与评选市级人力资源服务业诚信机构2家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参与评选省级人力资源服务业诚信机构1家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开展市人力资源服务产业园评估，作为AHK学院产业园配套建设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市人社局</w:t>
            </w: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04012CE3"/>
    <w:rsid w:val="04012CE3"/>
    <w:rsid w:val="1D49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2023-06-01T07:10:00Z</dcterms:created>
  <dc:creator>fight for myself</dc:creator>
  <cp:lastModifiedBy>fight for myself</cp:lastModifiedBy>
  <dcterms:modified xsi:type="dcterms:W3CDTF">2023-06-01T07:11:01Z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AFB71CC69FCC4EE885F09B2EE15DE8A9_11</vt:lpwstr>
  </property>
</Properties>
</file>