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太仓市行政村（涉农社区）生活垃圾分类工作检查标准</w:t>
      </w:r>
    </w:p>
    <w:p>
      <w:pPr>
        <w:ind w:firstLine="723" w:firstLineChars="300"/>
        <w:jc w:val="left"/>
        <w:rPr>
          <w:rFonts w:ascii="Times New Roman" w:hAnsi="Times New Roman" w:eastAsia="仿宋_GB2312"/>
          <w:b/>
          <w:sz w:val="32"/>
          <w:szCs w:val="32"/>
          <w:highlight w:val="none"/>
        </w:rPr>
      </w:pPr>
      <w:r>
        <w:rPr>
          <w:rFonts w:ascii="Times New Roman" w:hAnsi="Times New Roman" w:eastAsia="仿宋_GB2312"/>
          <w:b/>
          <w:sz w:val="24"/>
          <w:highlight w:val="none"/>
          <w:u w:val="single"/>
        </w:rPr>
        <w:t xml:space="preserve">            </w:t>
      </w:r>
      <w:r>
        <w:rPr>
          <w:rFonts w:ascii="Times New Roman" w:hAnsi="Times New Roman" w:eastAsia="仿宋_GB2312"/>
          <w:b/>
          <w:sz w:val="24"/>
          <w:highlight w:val="none"/>
        </w:rPr>
        <w:t>镇</w:t>
      </w:r>
      <w:r>
        <w:rPr>
          <w:rFonts w:ascii="Times New Roman" w:hAnsi="Times New Roman" w:eastAsia="仿宋_GB2312"/>
          <w:b/>
          <w:sz w:val="24"/>
          <w:highlight w:val="none"/>
          <w:u w:val="single"/>
        </w:rPr>
        <w:t xml:space="preserve">            </w:t>
      </w:r>
      <w:r>
        <w:rPr>
          <w:rFonts w:ascii="Times New Roman" w:hAnsi="Times New Roman" w:eastAsia="仿宋_GB2312"/>
          <w:b/>
          <w:sz w:val="24"/>
          <w:highlight w:val="none"/>
        </w:rPr>
        <w:t>村（涉农社区）                                               考核日期：</w:t>
      </w:r>
    </w:p>
    <w:tbl>
      <w:tblPr>
        <w:tblStyle w:val="3"/>
        <w:tblW w:w="4823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1131"/>
        <w:gridCol w:w="3293"/>
        <w:gridCol w:w="389"/>
        <w:gridCol w:w="6779"/>
        <w:gridCol w:w="92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tblHeader/>
          <w:jc w:val="center"/>
        </w:trPr>
        <w:tc>
          <w:tcPr>
            <w:tcW w:w="33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检查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内容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检查项目</w:t>
            </w: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    项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分值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评  分  细  则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得分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  <w:jc w:val="center"/>
        </w:trPr>
        <w:tc>
          <w:tcPr>
            <w:tcW w:w="33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一. 组织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管理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（</w:t>
            </w:r>
            <w:r>
              <w:rPr>
                <w:rStyle w:val="6"/>
                <w:rFonts w:hint="eastAsia" w:eastAsia="仿宋_GB2312"/>
                <w:highlight w:val="none"/>
                <w:lang w:val="en-US" w:eastAsia="zh-CN"/>
              </w:rPr>
              <w:t>35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分）</w:t>
            </w: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5"/>
                <w:rFonts w:hint="eastAsia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Style w:val="6"/>
                <w:rFonts w:eastAsia="仿宋_GB2312"/>
                <w:highlight w:val="none"/>
              </w:rPr>
              <w:t>1.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工作机制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（</w:t>
            </w:r>
            <w:r>
              <w:rPr>
                <w:rStyle w:val="6"/>
                <w:rFonts w:hint="eastAsia" w:eastAsia="仿宋_GB2312"/>
                <w:highlight w:val="none"/>
                <w:lang w:val="en-US" w:eastAsia="zh-CN"/>
              </w:rPr>
              <w:t>12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分）</w:t>
            </w: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村级组织领导机构健全，有专门的管理、考核制度。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明确管理组织领导机构的得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分；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有垃圾分类管理、考核制度制度得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分；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有村对自然村点位垃圾分类运行考核台账的得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分；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垃圾分类专职人员、联络员配置到位得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农村生活垃圾分类专项资金做到专款专用。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资金管理到位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做到奖补资金专款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的得2分。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村级建立农村生活垃圾分类相关激励制度。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村级制定农村生活垃圾分类相关激励制度，如红黑榜、积分兑换、文明户评比、点赞墙等的，得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Style w:val="5"/>
                <w:rFonts w:hint="eastAsia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Style w:val="6"/>
                <w:rFonts w:eastAsia="仿宋_GB2312"/>
                <w:highlight w:val="none"/>
              </w:rPr>
              <w:t>2.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工作推进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（</w:t>
            </w:r>
            <w:r>
              <w:rPr>
                <w:rStyle w:val="6"/>
                <w:rFonts w:hint="eastAsia" w:eastAsia="仿宋_GB2312"/>
                <w:highlight w:val="none"/>
                <w:lang w:val="en-US" w:eastAsia="zh-CN"/>
              </w:rPr>
              <w:t>11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分）</w:t>
            </w: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每季度村级召开农村生活分类相关工作会议（村两委、党员、村民代表、妇女等层面）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5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有开展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相关垃圾分类工作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会议的得5分。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合理配备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垃圾分类工作人员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，并进行岗前培训与日常培训。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5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有村级劳务合作社或市场化</w:t>
            </w:r>
            <w:r>
              <w:rPr>
                <w:rStyle w:val="7"/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  <w:t>运作的垃圾分类工作人员工资发放表的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得3分；</w:t>
            </w:r>
          </w:p>
          <w:p>
            <w:pPr>
              <w:widowControl/>
              <w:spacing w:line="310" w:lineRule="exact"/>
              <w:jc w:val="left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有相关培训信息台账的</w:t>
            </w:r>
            <w:r>
              <w:rPr>
                <w:rStyle w:val="7"/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  <w:t>得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2分。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行政村（涉农社区）全域开展农村生活垃圾分类。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pacing w:val="-6"/>
                <w:highlight w:val="none"/>
              </w:rPr>
              <w:t>行政村（涉农社区）开展农村生活垃圾分类的自然村占比100</w:t>
            </w:r>
            <w:r>
              <w:rPr>
                <w:rStyle w:val="8"/>
                <w:rFonts w:eastAsia="仿宋_GB2312"/>
                <w:spacing w:val="-6"/>
                <w:highlight w:val="none"/>
              </w:rPr>
              <w:t>%</w:t>
            </w:r>
            <w:r>
              <w:rPr>
                <w:rStyle w:val="7"/>
                <w:rFonts w:hint="default" w:ascii="Times New Roman" w:hAnsi="Times New Roman" w:eastAsia="仿宋_GB2312" w:cs="Times New Roman"/>
                <w:spacing w:val="-6"/>
                <w:highlight w:val="none"/>
              </w:rPr>
              <w:t>，得</w:t>
            </w:r>
            <w:r>
              <w:rPr>
                <w:rStyle w:val="8"/>
                <w:rFonts w:hint="eastAsia" w:eastAsia="仿宋_GB2312"/>
                <w:spacing w:val="-6"/>
                <w:highlight w:val="none"/>
                <w:lang w:val="en-US" w:eastAsia="zh-CN"/>
              </w:rPr>
              <w:t>1</w:t>
            </w:r>
            <w:r>
              <w:rPr>
                <w:rStyle w:val="7"/>
                <w:rFonts w:hint="default" w:ascii="Times New Roman" w:hAnsi="Times New Roman" w:eastAsia="仿宋_GB2312" w:cs="Times New Roman"/>
                <w:spacing w:val="-6"/>
                <w:highlight w:val="none"/>
              </w:rPr>
              <w:t>分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5"/>
                <w:rFonts w:hint="eastAsia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Style w:val="6"/>
                <w:rFonts w:eastAsia="仿宋_GB2312"/>
                <w:highlight w:val="none"/>
              </w:rPr>
              <w:t>3.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宣传教育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（</w:t>
            </w:r>
            <w:r>
              <w:rPr>
                <w:rStyle w:val="6"/>
                <w:rFonts w:eastAsia="仿宋_GB2312"/>
                <w:highlight w:val="none"/>
              </w:rPr>
              <w:t>1</w:t>
            </w:r>
            <w:r>
              <w:rPr>
                <w:rStyle w:val="6"/>
                <w:rFonts w:hint="eastAsia" w:eastAsia="仿宋_GB2312"/>
                <w:highlight w:val="none"/>
                <w:lang w:val="en-US" w:eastAsia="zh-CN"/>
              </w:rPr>
              <w:t>2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分）</w:t>
            </w: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行政村（涉农社区）对村民开展农村生活垃圾分类专题宣传或教育。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行政村（涉农社区）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季度内对村民开展农村生活垃圾分类专题宣传或教育的，每</w:t>
            </w:r>
            <w:r>
              <w:rPr>
                <w:rStyle w:val="7"/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  <w:t>月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开展一次得</w:t>
            </w:r>
            <w:r>
              <w:rPr>
                <w:rStyle w:val="8"/>
                <w:rFonts w:eastAsia="仿宋_GB2312"/>
                <w:highlight w:val="none"/>
              </w:rPr>
              <w:t>2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村内有农村生活垃圾分类宣传阵地。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6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村内有农村生活垃圾分类宣传阵地，如宣传栏、宣传墙、宣传亭等，得</w:t>
            </w:r>
            <w:r>
              <w:rPr>
                <w:rStyle w:val="8"/>
                <w:rFonts w:eastAsia="仿宋_GB2312"/>
                <w:highlight w:val="none"/>
              </w:rPr>
              <w:t>6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3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二. 设施配置  （</w:t>
            </w:r>
            <w:r>
              <w:rPr>
                <w:rStyle w:val="5"/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  <w:t>15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分）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highlight w:val="none"/>
              </w:rPr>
              <w:t>4.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收运设施（</w:t>
            </w:r>
            <w:r>
              <w:rPr>
                <w:rStyle w:val="6"/>
                <w:rFonts w:hint="eastAsia" w:eastAsia="仿宋_GB2312"/>
                <w:highlight w:val="none"/>
                <w:lang w:val="en-US" w:eastAsia="zh-CN"/>
              </w:rPr>
              <w:t>15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分）</w:t>
            </w: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行政村（涉农社区）配有垃圾分类收集车辆，标识明确，运输能力与实际垃圾产生量相匹配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15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1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行政村（涉农社区）合理配有厨余垃圾、其他垃圾</w:t>
            </w:r>
            <w:r>
              <w:rPr>
                <w:rStyle w:val="7"/>
                <w:rFonts w:hint="eastAsia" w:ascii="Times New Roman" w:hAnsi="Times New Roman" w:eastAsia="仿宋_GB2312" w:cs="Times New Roman"/>
                <w:highlight w:val="none"/>
                <w:lang w:eastAsia="zh-CN"/>
              </w:rPr>
              <w:t>、</w:t>
            </w:r>
            <w:r>
              <w:rPr>
                <w:rStyle w:val="7"/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  <w:t>可回收物、有害垃圾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收集车辆，得</w:t>
            </w:r>
            <w:r>
              <w:rPr>
                <w:rStyle w:val="7"/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  <w:t>8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分；垃圾分类收集车辆有属地与垃圾类别标识的得</w:t>
            </w:r>
            <w:r>
              <w:rPr>
                <w:rStyle w:val="7"/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  <w:t>2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分；有垃圾分类收运车辆信息表（包括收运人员信息、收运垃圾类别、收运周期</w:t>
            </w:r>
            <w:r>
              <w:rPr>
                <w:rStyle w:val="7"/>
                <w:rFonts w:hint="eastAsia" w:ascii="Times New Roman" w:hAnsi="Times New Roman" w:eastAsia="仿宋_GB2312" w:cs="Times New Roman"/>
                <w:highlight w:val="none"/>
                <w:lang w:eastAsia="zh-CN"/>
              </w:rPr>
              <w:t>、收运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范围、垃圾去向）得</w:t>
            </w:r>
            <w:r>
              <w:rPr>
                <w:rStyle w:val="7"/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  <w:t>5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33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三</w:t>
            </w:r>
            <w:r>
              <w:rPr>
                <w:rStyle w:val="6"/>
                <w:rFonts w:eastAsia="仿宋_GB2312"/>
                <w:highlight w:val="none"/>
              </w:rPr>
              <w:t>.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分类全链条（</w:t>
            </w:r>
            <w:r>
              <w:rPr>
                <w:rStyle w:val="6"/>
                <w:rFonts w:hint="eastAsia" w:eastAsia="仿宋_GB2312"/>
                <w:highlight w:val="none"/>
                <w:lang w:val="en-US" w:eastAsia="zh-CN"/>
              </w:rPr>
              <w:t>50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分）</w:t>
            </w: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highlight w:val="none"/>
              </w:rPr>
              <w:t>5.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分类收运（</w:t>
            </w:r>
            <w:r>
              <w:rPr>
                <w:rStyle w:val="6"/>
                <w:rFonts w:hint="eastAsia" w:eastAsia="仿宋_GB2312"/>
                <w:highlight w:val="none"/>
                <w:lang w:val="en-US" w:eastAsia="zh-CN"/>
              </w:rPr>
              <w:t>20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分）</w:t>
            </w: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有害垃圾归集点（暂存点）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eastAsia="仿宋_GB2312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行政村（涉农社区）设置有害垃圾归集点（暂存点）的，得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有详细的出入库记录台账的，得5分。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可回收物归集点（暂存点）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行政村（涉农社区）设置可回收物归集点（暂存点）的，得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有详细的出入库记录台账的，得5分。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四分类收运计划公示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村庄生活垃圾四分类收运计划公示清晰的得</w:t>
            </w:r>
            <w:r>
              <w:rPr>
                <w:rStyle w:val="8"/>
                <w:rFonts w:hint="eastAsia" w:eastAsia="仿宋_GB2312"/>
                <w:highlight w:val="none"/>
                <w:lang w:val="en-US" w:eastAsia="zh-CN"/>
              </w:rPr>
              <w:t>4</w:t>
            </w: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分；</w:t>
            </w:r>
          </w:p>
          <w:p>
            <w:pPr>
              <w:widowControl/>
              <w:spacing w:line="35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>村内垃圾分类亭点位布置合理且有点位分布公示的得4分。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highlight w:val="none"/>
              </w:rPr>
              <w:t>6.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分类处理（</w:t>
            </w:r>
            <w:r>
              <w:rPr>
                <w:rStyle w:val="6"/>
                <w:rFonts w:hint="eastAsia" w:eastAsia="仿宋_GB2312"/>
                <w:highlight w:val="none"/>
                <w:lang w:val="en-US" w:eastAsia="zh-CN"/>
              </w:rPr>
              <w:t>30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分）</w:t>
            </w: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有害垃圾定期清运处理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有有害垃圾处理协议、处理台账得4分。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</w:rPr>
              <w:t>可回收物定期处理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有可回收物处理协议、处理台账得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  <w:t xml:space="preserve">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大件垃圾定期清运处理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hint="default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有大件垃圾处理协议、处理台账得2分。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厨余垃圾日产日清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  <w:t>厨余垃圾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日产日清，</w:t>
            </w:r>
            <w:r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  <w:t>有厨余垃圾处理协议、处理台账得4分</w:t>
            </w:r>
            <w:r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highlight w:val="none"/>
                <w:lang w:eastAsia="zh-CN"/>
              </w:rPr>
              <w:t>；</w:t>
            </w:r>
          </w:p>
        </w:tc>
        <w:tc>
          <w:tcPr>
            <w:tcW w:w="345" w:type="pct"/>
            <w:vMerge w:val="restar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20" w:lineRule="exact"/>
              <w:jc w:val="center"/>
              <w:textAlignment w:val="center"/>
              <w:rPr>
                <w:rStyle w:val="7"/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highlight w:val="none"/>
              </w:rPr>
            </w:pPr>
          </w:p>
        </w:tc>
        <w:tc>
          <w:tcPr>
            <w:tcW w:w="122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</w:pP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center"/>
              <w:textAlignment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扫码率低于80%（不含）不得分，在80%～85%（含）得8分，85%～90%（含）得10分；90%～95%（含）得12分；95%以上得14分”。</w:t>
            </w:r>
            <w:bookmarkStart w:id="0" w:name="_GoBack"/>
            <w:bookmarkEnd w:id="0"/>
          </w:p>
        </w:tc>
        <w:tc>
          <w:tcPr>
            <w:tcW w:w="345" w:type="pct"/>
            <w:vMerge w:val="continue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33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highlight w:val="none"/>
              </w:rPr>
              <w:t>其他垃圾日产日清</w:t>
            </w: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50" w:lineRule="exact"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  <w:t>有其他垃圾处理协议、处理台账得4分。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3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2"/>
                <w:szCs w:val="22"/>
                <w:highlight w:val="none"/>
              </w:rPr>
              <w:t>总分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Style w:val="6"/>
                <w:rFonts w:eastAsia="仿宋_GB2312"/>
                <w:highlight w:val="none"/>
              </w:rPr>
              <w:t>100</w:t>
            </w:r>
            <w:r>
              <w:rPr>
                <w:rStyle w:val="5"/>
                <w:rFonts w:hint="default" w:ascii="Times New Roman" w:hAnsi="Times New Roman" w:eastAsia="仿宋_GB2312" w:cs="Times New Roman"/>
                <w:highlight w:val="none"/>
              </w:rPr>
              <w:t>分</w:t>
            </w:r>
          </w:p>
        </w:tc>
        <w:tc>
          <w:tcPr>
            <w:tcW w:w="1226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5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2"/>
                <w:szCs w:val="22"/>
                <w:highlight w:val="none"/>
              </w:rPr>
              <w:t>100</w:t>
            </w:r>
          </w:p>
        </w:tc>
        <w:tc>
          <w:tcPr>
            <w:tcW w:w="2524" w:type="pct"/>
            <w:tcBorders>
              <w:tl2br w:val="nil"/>
              <w:tr2bl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仿宋_GB2312"/>
                <w:b/>
                <w:color w:val="000000"/>
                <w:sz w:val="22"/>
                <w:szCs w:val="22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_GB2312"/>
        </w:rPr>
      </w:pPr>
    </w:p>
    <w:p>
      <w:pPr>
        <w:pStyle w:val="2"/>
      </w:pPr>
    </w:p>
    <w:sectPr>
      <w:pgSz w:w="16838" w:h="11906" w:orient="landscape"/>
      <w:pgMar w:top="1134" w:right="1474" w:bottom="1134" w:left="147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OGJlZTBiYmI2ZWE3OWU5MWU3MjRmZTYzY2RjZTQifQ=="/>
  </w:docVars>
  <w:rsids>
    <w:rsidRoot w:val="6B1331AF"/>
    <w:rsid w:val="05024980"/>
    <w:rsid w:val="4D2E59CA"/>
    <w:rsid w:val="570F4B11"/>
    <w:rsid w:val="649E0A35"/>
    <w:rsid w:val="6B1331AF"/>
    <w:rsid w:val="7D1D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adjustRightInd w:val="0"/>
      <w:snapToGrid w:val="0"/>
      <w:spacing w:line="360" w:lineRule="auto"/>
      <w:ind w:firstLine="480" w:firstLineChars="200"/>
      <w:jc w:val="left"/>
    </w:pPr>
    <w:rPr>
      <w:rFonts w:ascii="宋体" w:hAnsi="宋体" w:eastAsia="方正仿宋_GBK" w:cs="Times New Roman"/>
      <w:sz w:val="24"/>
    </w:rPr>
  </w:style>
  <w:style w:type="character" w:customStyle="1" w:styleId="5">
    <w:name w:val="font31"/>
    <w:qFormat/>
    <w:uiPriority w:val="0"/>
    <w:rPr>
      <w:rFonts w:hint="eastAsia" w:ascii="方正仿宋_GBK" w:hAnsi="方正仿宋_GBK" w:eastAsia="方正仿宋_GBK" w:cs="方正仿宋_GBK"/>
      <w:b/>
      <w:color w:val="000000"/>
      <w:sz w:val="22"/>
      <w:szCs w:val="22"/>
      <w:u w:val="none"/>
    </w:rPr>
  </w:style>
  <w:style w:type="character" w:customStyle="1" w:styleId="6">
    <w:name w:val="font41"/>
    <w:qFormat/>
    <w:uiPriority w:val="0"/>
    <w:rPr>
      <w:rFonts w:hint="default" w:ascii="Times New Roman" w:hAnsi="Times New Roman" w:cs="Times New Roman"/>
      <w:b/>
      <w:color w:val="000000"/>
      <w:sz w:val="22"/>
      <w:szCs w:val="22"/>
      <w:u w:val="none"/>
    </w:rPr>
  </w:style>
  <w:style w:type="character" w:customStyle="1" w:styleId="7">
    <w:name w:val="font81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8">
    <w:name w:val="font5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1236</Characters>
  <Lines>0</Lines>
  <Paragraphs>0</Paragraphs>
  <TotalTime>5</TotalTime>
  <ScaleCrop>false</ScaleCrop>
  <LinksUpToDate>false</LinksUpToDate>
  <CharactersWithSpaces>1323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2023-08-02T01:12:00Z</dcterms:created>
  <dc:creator>WPS_1540523362</dc:creator>
  <cp:lastModifiedBy>Administrator</cp:lastModifiedBy>
  <dcterms:modified xsi:type="dcterms:W3CDTF">2023-10-11T09:23:13Z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56312ABD3C444134B5F7A9677B292680_13</vt:lpwstr>
  </property>
</Properties>
</file>