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line="580" w:lineRule="exact"/>
        <w:ind w:firstLine="0"/>
        <w:jc w:val="center"/>
        <w:rPr>
          <w:rFonts w:ascii="Times New Roman" w:eastAsia="方正小标宋简体"/>
          <w:sz w:val="44"/>
          <w:szCs w:val="44"/>
        </w:rPr>
      </w:pPr>
      <w:r>
        <w:rPr>
          <w:rFonts w:ascii="Times New Roman" w:eastAsia="方正小标宋简体"/>
          <w:sz w:val="44"/>
          <w:szCs w:val="44"/>
        </w:rPr>
        <w:t>太仓市重点场所“瓶改管”“瓶改电”</w:t>
      </w:r>
    </w:p>
    <w:p>
      <w:pPr>
        <w:autoSpaceDE/>
        <w:autoSpaceDN/>
        <w:snapToGrid/>
        <w:spacing w:line="580" w:lineRule="exact"/>
        <w:ind w:firstLine="0"/>
        <w:jc w:val="center"/>
        <w:rPr>
          <w:rFonts w:ascii="Times New Roman" w:eastAsia="方正小标宋简体"/>
          <w:sz w:val="44"/>
          <w:szCs w:val="44"/>
        </w:rPr>
      </w:pPr>
      <w:r>
        <w:rPr>
          <w:rFonts w:ascii="Times New Roman" w:eastAsia="方正小标宋简体"/>
          <w:sz w:val="44"/>
          <w:szCs w:val="44"/>
        </w:rPr>
        <w:t>补贴方案</w:t>
      </w:r>
    </w:p>
    <w:p>
      <w:pPr>
        <w:autoSpaceDE/>
        <w:autoSpaceDN/>
        <w:snapToGrid/>
        <w:spacing w:line="580" w:lineRule="exact"/>
        <w:ind w:firstLine="0"/>
        <w:rPr>
          <w:rFonts w:ascii="Times New Roman"/>
        </w:rPr>
      </w:pPr>
    </w:p>
    <w:p>
      <w:pPr>
        <w:autoSpaceDE/>
        <w:autoSpaceDN/>
        <w:snapToGrid/>
        <w:spacing w:line="580" w:lineRule="exact"/>
        <w:ind w:firstLine="640" w:firstLineChars="200"/>
        <w:rPr>
          <w:rFonts w:ascii="Times New Roman" w:eastAsia="仿宋_GB2312"/>
          <w:szCs w:val="32"/>
        </w:rPr>
      </w:pPr>
      <w:r>
        <w:rPr>
          <w:rFonts w:ascii="Times New Roman" w:eastAsia="仿宋_GB2312"/>
          <w:szCs w:val="32"/>
          <w:lang w:bidi="ar"/>
        </w:rPr>
        <w:t>根据苏州市安委会办公室《关于全市开展重点场所瓶装液化气用户减量专项整治百日攻坚行动的通知》（苏安办〔2023〕108号）要求，为深入推进全市</w:t>
      </w:r>
      <w:r>
        <w:rPr>
          <w:rFonts w:ascii="Times New Roman" w:eastAsia="仿宋_GB2312"/>
          <w:szCs w:val="32"/>
        </w:rPr>
        <w:t>餐饮等</w:t>
      </w:r>
      <w:r>
        <w:rPr>
          <w:rFonts w:ascii="Times New Roman" w:eastAsia="仿宋_GB2312"/>
          <w:szCs w:val="32"/>
          <w:lang w:bidi="ar"/>
        </w:rPr>
        <w:t>重点场所“瓶改”工作，</w:t>
      </w:r>
      <w:r>
        <w:rPr>
          <w:rFonts w:ascii="Times New Roman" w:eastAsia="仿宋_GB2312"/>
          <w:szCs w:val="32"/>
        </w:rPr>
        <w:t>有效消除潜在隐患，决定对全市重点场所“瓶改管”“瓶改电”实行财政等补贴，具体方案如下：</w:t>
      </w:r>
    </w:p>
    <w:p>
      <w:pPr>
        <w:autoSpaceDE/>
        <w:autoSpaceDN/>
        <w:snapToGrid/>
        <w:spacing w:line="580" w:lineRule="exact"/>
        <w:ind w:firstLine="640" w:firstLineChars="200"/>
        <w:rPr>
          <w:rFonts w:ascii="Times New Roman" w:eastAsia="黑体"/>
          <w:szCs w:val="32"/>
        </w:rPr>
      </w:pPr>
      <w:r>
        <w:rPr>
          <w:rFonts w:ascii="Times New Roman" w:eastAsia="黑体"/>
          <w:szCs w:val="32"/>
        </w:rPr>
        <w:t>一、重点场所“瓶改管”</w:t>
      </w:r>
    </w:p>
    <w:p>
      <w:pPr>
        <w:autoSpaceDE/>
        <w:autoSpaceDN/>
        <w:snapToGrid/>
        <w:spacing w:line="580" w:lineRule="exact"/>
        <w:ind w:firstLine="640" w:firstLineChars="200"/>
        <w:rPr>
          <w:rFonts w:ascii="Times New Roman" w:eastAsia="楷体_GB2312"/>
          <w:szCs w:val="32"/>
        </w:rPr>
      </w:pPr>
      <w:r>
        <w:rPr>
          <w:rFonts w:ascii="Times New Roman" w:eastAsia="楷体_GB2312"/>
          <w:szCs w:val="32"/>
        </w:rPr>
        <w:t>（一）补贴对象及范围</w:t>
      </w:r>
    </w:p>
    <w:p>
      <w:pPr>
        <w:autoSpaceDE/>
        <w:autoSpaceDN/>
        <w:snapToGrid/>
        <w:spacing w:line="580" w:lineRule="exact"/>
        <w:ind w:firstLine="643" w:firstLineChars="200"/>
        <w:rPr>
          <w:rFonts w:ascii="Times New Roman" w:eastAsia="仿宋_GB2312"/>
          <w:b/>
          <w:bCs/>
          <w:szCs w:val="32"/>
        </w:rPr>
      </w:pPr>
      <w:r>
        <w:rPr>
          <w:rFonts w:ascii="Times New Roman" w:eastAsia="仿宋_GB2312"/>
          <w:b/>
          <w:bCs/>
          <w:szCs w:val="32"/>
        </w:rPr>
        <w:t>1.</w:t>
      </w:r>
      <w:r>
        <w:rPr>
          <w:rFonts w:hint="eastAsia" w:ascii="Times New Roman" w:eastAsia="仿宋_GB2312"/>
          <w:b/>
          <w:bCs/>
          <w:szCs w:val="32"/>
        </w:rPr>
        <w:t xml:space="preserve"> </w:t>
      </w:r>
      <w:r>
        <w:rPr>
          <w:rFonts w:ascii="Times New Roman" w:eastAsia="仿宋_GB2312"/>
          <w:b/>
          <w:bCs/>
          <w:szCs w:val="32"/>
        </w:rPr>
        <w:t>餐饮用户</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取得经营许可证且经营面积小于500㎡的餐饮用户，使用选型G10表及以下燃气表具的燃气工程建设相关费用。包含新增餐饮用户和使用瓶装液化气、环保油的既有餐饮用户。</w:t>
      </w:r>
    </w:p>
    <w:p>
      <w:pPr>
        <w:autoSpaceDE/>
        <w:autoSpaceDN/>
        <w:snapToGrid/>
        <w:spacing w:line="580" w:lineRule="exact"/>
        <w:ind w:firstLine="643" w:firstLineChars="200"/>
        <w:rPr>
          <w:rFonts w:ascii="Times New Roman" w:eastAsia="仿宋_GB2312"/>
          <w:b/>
          <w:bCs/>
          <w:szCs w:val="32"/>
        </w:rPr>
      </w:pPr>
      <w:r>
        <w:rPr>
          <w:rFonts w:ascii="Times New Roman" w:eastAsia="仿宋_GB2312"/>
          <w:b/>
          <w:bCs/>
          <w:szCs w:val="32"/>
        </w:rPr>
        <w:t>2.</w:t>
      </w:r>
      <w:r>
        <w:rPr>
          <w:rFonts w:hint="eastAsia" w:ascii="Times New Roman" w:eastAsia="仿宋_GB2312"/>
          <w:b/>
          <w:bCs/>
          <w:szCs w:val="32"/>
        </w:rPr>
        <w:t xml:space="preserve"> </w:t>
      </w:r>
      <w:r>
        <w:rPr>
          <w:rFonts w:ascii="Times New Roman" w:eastAsia="仿宋_GB2312"/>
          <w:b/>
          <w:bCs/>
          <w:szCs w:val="32"/>
        </w:rPr>
        <w:t>工业企业（食堂）等其它重点场所用户</w:t>
      </w:r>
    </w:p>
    <w:p>
      <w:pPr>
        <w:autoSpaceDE/>
        <w:autoSpaceDN/>
        <w:snapToGrid/>
        <w:spacing w:line="580" w:lineRule="exact"/>
        <w:ind w:firstLine="640" w:firstLineChars="200"/>
        <w:rPr>
          <w:rFonts w:hint="eastAsia" w:ascii="Times New Roman" w:eastAsia="仿宋_GB2312"/>
          <w:szCs w:val="32"/>
        </w:rPr>
      </w:pPr>
      <w:r>
        <w:rPr>
          <w:rFonts w:ascii="Times New Roman" w:eastAsia="仿宋_GB2312"/>
          <w:szCs w:val="32"/>
        </w:rPr>
        <w:t>工业企业（食堂）、学校及教育培训机构、宗教活动场所、养老服务机构、星级酒店及备案民宿、医疗卫生机构、机关事业单位7类重点场所用户红线内燃气工程建设相关费用。包含新增重点场所用户和使用瓶装液化气、环保油的既有重点场所用户。</w:t>
      </w:r>
    </w:p>
    <w:p>
      <w:pPr>
        <w:autoSpaceDE/>
        <w:autoSpaceDN/>
        <w:snapToGrid/>
        <w:spacing w:line="580" w:lineRule="exact"/>
        <w:ind w:firstLine="640" w:firstLineChars="200"/>
        <w:rPr>
          <w:rFonts w:ascii="Times New Roman" w:eastAsia="仿宋_GB2312"/>
          <w:szCs w:val="32"/>
        </w:rPr>
      </w:pPr>
    </w:p>
    <w:p>
      <w:pPr>
        <w:autoSpaceDE/>
        <w:autoSpaceDN/>
        <w:snapToGrid/>
        <w:spacing w:line="580" w:lineRule="exact"/>
        <w:ind w:firstLine="640" w:firstLineChars="200"/>
        <w:rPr>
          <w:rFonts w:ascii="Times New Roman" w:eastAsia="楷体_GB2312"/>
          <w:szCs w:val="32"/>
        </w:rPr>
      </w:pPr>
      <w:r>
        <w:rPr>
          <w:rFonts w:ascii="Times New Roman" w:eastAsia="楷体_GB2312"/>
          <w:szCs w:val="32"/>
        </w:rPr>
        <w:t>（二）补贴标准</w:t>
      </w:r>
    </w:p>
    <w:p>
      <w:pPr>
        <w:autoSpaceDE/>
        <w:autoSpaceDN/>
        <w:snapToGrid/>
        <w:spacing w:line="580" w:lineRule="exact"/>
        <w:ind w:firstLine="643" w:firstLineChars="200"/>
        <w:rPr>
          <w:rFonts w:ascii="Times New Roman" w:eastAsia="仿宋_GB2312"/>
          <w:b/>
          <w:bCs/>
          <w:szCs w:val="32"/>
        </w:rPr>
      </w:pPr>
      <w:r>
        <w:rPr>
          <w:rFonts w:ascii="Times New Roman" w:eastAsia="仿宋_GB2312"/>
          <w:b/>
          <w:bCs/>
          <w:szCs w:val="32"/>
        </w:rPr>
        <w:t>1.</w:t>
      </w:r>
      <w:r>
        <w:rPr>
          <w:rFonts w:hint="eastAsia" w:ascii="Times New Roman" w:eastAsia="仿宋_GB2312"/>
          <w:b/>
          <w:bCs/>
          <w:szCs w:val="32"/>
        </w:rPr>
        <w:t xml:space="preserve"> </w:t>
      </w:r>
      <w:r>
        <w:rPr>
          <w:rFonts w:ascii="Times New Roman" w:eastAsia="仿宋_GB2312"/>
          <w:b/>
          <w:bCs/>
          <w:szCs w:val="32"/>
        </w:rPr>
        <w:t>餐饮用户</w:t>
      </w:r>
    </w:p>
    <w:p>
      <w:pPr>
        <w:widowControl/>
        <w:snapToGrid/>
        <w:spacing w:line="580" w:lineRule="exact"/>
        <w:ind w:firstLine="640" w:firstLineChars="200"/>
        <w:jc w:val="left"/>
        <w:rPr>
          <w:rFonts w:ascii="Times New Roman" w:eastAsia="仿宋_GB2312"/>
          <w:szCs w:val="32"/>
        </w:rPr>
      </w:pPr>
      <w:r>
        <w:rPr>
          <w:rFonts w:ascii="Times New Roman" w:eastAsia="仿宋_GB2312"/>
          <w:szCs w:val="32"/>
        </w:rPr>
        <w:t>按照《太仓市着力提升城镇燃气本质安全水平三年行动方案》执行，用户承担2-3万元，财政补贴2万元（市级、区镇财政各1万），其余部分由燃气企业承担。</w:t>
      </w:r>
    </w:p>
    <w:p>
      <w:pPr>
        <w:widowControl/>
        <w:snapToGrid/>
        <w:spacing w:line="580" w:lineRule="exact"/>
        <w:ind w:firstLine="0"/>
        <w:jc w:val="center"/>
        <w:rPr>
          <w:rFonts w:hint="eastAsia" w:ascii="仿宋_GB2312" w:hAnsi="黑体" w:eastAsia="仿宋_GB2312"/>
          <w:b/>
          <w:szCs w:val="32"/>
        </w:rPr>
      </w:pPr>
      <w:r>
        <w:rPr>
          <w:rFonts w:hint="eastAsia" w:ascii="仿宋_GB2312" w:hAnsi="黑体" w:eastAsia="仿宋_GB2312"/>
          <w:b/>
          <w:color w:val="000000"/>
          <w:szCs w:val="32"/>
          <w:lang w:bidi="ar"/>
        </w:rPr>
        <w:t>餐饮用户“瓶改管”补贴标准</w:t>
      </w:r>
    </w:p>
    <w:tbl>
      <w:tblPr>
        <w:tblStyle w:val="2"/>
        <w:tblpPr w:leftFromText="180" w:rightFromText="180" w:vertAnchor="text" w:horzAnchor="page" w:tblpXSpec="center" w:tblpY="155"/>
        <w:tblOverlap w:val="never"/>
        <w:tblW w:w="4885" w:type="pct"/>
        <w:jc w:val="center"/>
        <w:tblLayout w:type="fixed"/>
        <w:tblCellMar>
          <w:top w:w="0" w:type="dxa"/>
          <w:left w:w="108" w:type="dxa"/>
          <w:bottom w:w="0" w:type="dxa"/>
          <w:right w:w="108" w:type="dxa"/>
        </w:tblCellMar>
      </w:tblPr>
      <w:tblGrid>
        <w:gridCol w:w="1518"/>
        <w:gridCol w:w="1332"/>
        <w:gridCol w:w="3542"/>
        <w:gridCol w:w="1935"/>
      </w:tblGrid>
      <w:tr>
        <w:tblPrEx>
          <w:tblCellMar>
            <w:top w:w="0" w:type="dxa"/>
            <w:left w:w="108" w:type="dxa"/>
            <w:bottom w:w="0" w:type="dxa"/>
            <w:right w:w="108" w:type="dxa"/>
          </w:tblCellMar>
        </w:tblPrEx>
        <w:trPr>
          <w:trHeight w:val="641" w:hRule="atLeast"/>
          <w:jc w:val="center"/>
        </w:trPr>
        <w:tc>
          <w:tcPr>
            <w:tcW w:w="1710" w:type="pct"/>
            <w:gridSpan w:val="2"/>
            <w:tcBorders>
              <w:top w:val="single" w:color="000000" w:sz="4" w:space="0"/>
              <w:left w:val="single" w:color="000000" w:sz="4" w:space="0"/>
              <w:bottom w:val="single" w:color="000000" w:sz="4" w:space="0"/>
              <w:right w:val="single" w:color="000000" w:sz="4" w:space="0"/>
            </w:tcBorders>
            <w:noWrap/>
            <w:vAlign w:val="center"/>
          </w:tcPr>
          <w:p>
            <w:pPr>
              <w:widowControl/>
              <w:snapToGrid/>
              <w:spacing w:line="580" w:lineRule="exact"/>
              <w:ind w:firstLine="0"/>
              <w:jc w:val="center"/>
              <w:textAlignment w:val="center"/>
              <w:rPr>
                <w:rFonts w:ascii="Times New Roman" w:eastAsia="黑体"/>
                <w:sz w:val="24"/>
                <w:szCs w:val="24"/>
              </w:rPr>
            </w:pPr>
            <w:r>
              <w:rPr>
                <w:rFonts w:ascii="Times New Roman" w:eastAsia="黑体"/>
                <w:sz w:val="24"/>
                <w:szCs w:val="24"/>
              </w:rPr>
              <w:t>用户承担（万元）</w:t>
            </w:r>
          </w:p>
        </w:tc>
        <w:tc>
          <w:tcPr>
            <w:tcW w:w="2126" w:type="pct"/>
            <w:tcBorders>
              <w:top w:val="single" w:color="000000" w:sz="4" w:space="0"/>
              <w:left w:val="single" w:color="000000" w:sz="4" w:space="0"/>
              <w:bottom w:val="single" w:color="000000" w:sz="4" w:space="0"/>
              <w:right w:val="single" w:color="000000" w:sz="4" w:space="0"/>
            </w:tcBorders>
            <w:noWrap/>
            <w:vAlign w:val="center"/>
          </w:tcPr>
          <w:p>
            <w:pPr>
              <w:widowControl/>
              <w:snapToGrid/>
              <w:spacing w:line="580" w:lineRule="exact"/>
              <w:ind w:firstLine="0"/>
              <w:jc w:val="center"/>
              <w:textAlignment w:val="center"/>
              <w:rPr>
                <w:rFonts w:ascii="Times New Roman" w:eastAsia="黑体"/>
                <w:sz w:val="24"/>
                <w:szCs w:val="24"/>
              </w:rPr>
            </w:pPr>
            <w:r>
              <w:rPr>
                <w:rFonts w:ascii="Times New Roman" w:eastAsia="黑体"/>
                <w:sz w:val="24"/>
                <w:szCs w:val="24"/>
              </w:rPr>
              <w:t>政府补贴（万元）</w:t>
            </w:r>
          </w:p>
        </w:tc>
        <w:tc>
          <w:tcPr>
            <w:tcW w:w="1162" w:type="pct"/>
            <w:tcBorders>
              <w:top w:val="single" w:color="000000" w:sz="4" w:space="0"/>
              <w:left w:val="single" w:color="000000" w:sz="4" w:space="0"/>
              <w:bottom w:val="single" w:color="000000" w:sz="4" w:space="0"/>
              <w:right w:val="single" w:color="000000" w:sz="4" w:space="0"/>
            </w:tcBorders>
            <w:noWrap/>
            <w:vAlign w:val="center"/>
          </w:tcPr>
          <w:p>
            <w:pPr>
              <w:widowControl/>
              <w:snapToGrid/>
              <w:spacing w:line="580" w:lineRule="exact"/>
              <w:ind w:firstLine="0"/>
              <w:jc w:val="center"/>
              <w:textAlignment w:val="center"/>
              <w:rPr>
                <w:rFonts w:ascii="Times New Roman" w:eastAsia="黑体"/>
                <w:sz w:val="24"/>
                <w:szCs w:val="24"/>
              </w:rPr>
            </w:pPr>
            <w:r>
              <w:rPr>
                <w:rFonts w:ascii="Times New Roman" w:eastAsia="黑体"/>
                <w:sz w:val="24"/>
                <w:szCs w:val="24"/>
              </w:rPr>
              <w:t>燃气企业</w:t>
            </w:r>
          </w:p>
        </w:tc>
      </w:tr>
      <w:tr>
        <w:tblPrEx>
          <w:tblCellMar>
            <w:top w:w="0" w:type="dxa"/>
            <w:left w:w="108" w:type="dxa"/>
            <w:bottom w:w="0" w:type="dxa"/>
            <w:right w:w="108" w:type="dxa"/>
          </w:tblCellMar>
        </w:tblPrEx>
        <w:trPr>
          <w:trHeight w:val="468" w:hRule="atLeast"/>
          <w:jc w:val="center"/>
        </w:trPr>
        <w:tc>
          <w:tcPr>
            <w:tcW w:w="911" w:type="pct"/>
            <w:tcBorders>
              <w:top w:val="single" w:color="000000" w:sz="4" w:space="0"/>
              <w:left w:val="single" w:color="000000" w:sz="4" w:space="0"/>
              <w:bottom w:val="single" w:color="000000" w:sz="4" w:space="0"/>
              <w:right w:val="single" w:color="000000" w:sz="4" w:space="0"/>
            </w:tcBorders>
            <w:noWrap/>
            <w:vAlign w:val="center"/>
          </w:tcPr>
          <w:p>
            <w:pPr>
              <w:widowControl/>
              <w:snapToGrid/>
              <w:spacing w:line="580" w:lineRule="exact"/>
              <w:ind w:firstLine="0"/>
              <w:jc w:val="center"/>
              <w:textAlignment w:val="center"/>
              <w:rPr>
                <w:rFonts w:ascii="Times New Roman" w:eastAsia="黑体"/>
                <w:sz w:val="24"/>
                <w:szCs w:val="24"/>
              </w:rPr>
            </w:pPr>
            <w:r>
              <w:rPr>
                <w:rFonts w:ascii="Times New Roman" w:eastAsia="黑体"/>
                <w:sz w:val="24"/>
                <w:szCs w:val="24"/>
              </w:rPr>
              <w:t>G2.5-G4表</w:t>
            </w:r>
          </w:p>
        </w:tc>
        <w:tc>
          <w:tcPr>
            <w:tcW w:w="799" w:type="pct"/>
            <w:tcBorders>
              <w:top w:val="single" w:color="000000" w:sz="4" w:space="0"/>
              <w:left w:val="single" w:color="000000" w:sz="4" w:space="0"/>
              <w:bottom w:val="single" w:color="000000" w:sz="4" w:space="0"/>
              <w:right w:val="single" w:color="000000" w:sz="4" w:space="0"/>
            </w:tcBorders>
            <w:noWrap w:val="0"/>
            <w:vAlign w:val="center"/>
          </w:tcPr>
          <w:p>
            <w:pPr>
              <w:widowControl/>
              <w:snapToGrid/>
              <w:spacing w:line="580" w:lineRule="exact"/>
              <w:ind w:firstLine="0"/>
              <w:jc w:val="center"/>
              <w:textAlignment w:val="center"/>
              <w:rPr>
                <w:rFonts w:ascii="Times New Roman" w:eastAsia="黑体"/>
                <w:sz w:val="24"/>
                <w:szCs w:val="24"/>
              </w:rPr>
            </w:pPr>
            <w:r>
              <w:rPr>
                <w:rFonts w:ascii="Times New Roman" w:eastAsia="黑体"/>
                <w:sz w:val="24"/>
                <w:szCs w:val="24"/>
              </w:rPr>
              <w:t>G6-G10表</w:t>
            </w:r>
          </w:p>
        </w:tc>
        <w:tc>
          <w:tcPr>
            <w:tcW w:w="2126" w:type="pct"/>
            <w:vMerge w:val="restart"/>
            <w:tcBorders>
              <w:top w:val="single" w:color="000000" w:sz="4" w:space="0"/>
              <w:left w:val="single" w:color="000000" w:sz="4" w:space="0"/>
              <w:right w:val="single" w:color="000000" w:sz="4" w:space="0"/>
            </w:tcBorders>
            <w:noWrap/>
            <w:vAlign w:val="center"/>
          </w:tcPr>
          <w:p>
            <w:pPr>
              <w:widowControl/>
              <w:snapToGrid/>
              <w:spacing w:line="580" w:lineRule="exact"/>
              <w:ind w:firstLine="0"/>
              <w:jc w:val="center"/>
              <w:textAlignment w:val="center"/>
              <w:rPr>
                <w:rFonts w:ascii="Times New Roman" w:eastAsia="黑体"/>
                <w:sz w:val="24"/>
                <w:szCs w:val="24"/>
              </w:rPr>
            </w:pPr>
            <w:r>
              <w:rPr>
                <w:rFonts w:ascii="Times New Roman" w:eastAsia="黑体"/>
                <w:sz w:val="24"/>
                <w:szCs w:val="24"/>
              </w:rPr>
              <w:t>2（区镇、市级财政各1万元）</w:t>
            </w:r>
          </w:p>
        </w:tc>
        <w:tc>
          <w:tcPr>
            <w:tcW w:w="1162" w:type="pct"/>
            <w:vMerge w:val="restart"/>
            <w:tcBorders>
              <w:top w:val="single" w:color="000000" w:sz="4" w:space="0"/>
              <w:left w:val="single" w:color="000000" w:sz="4" w:space="0"/>
              <w:right w:val="single" w:color="000000" w:sz="4" w:space="0"/>
            </w:tcBorders>
            <w:noWrap/>
            <w:vAlign w:val="center"/>
          </w:tcPr>
          <w:p>
            <w:pPr>
              <w:widowControl/>
              <w:snapToGrid/>
              <w:spacing w:line="580" w:lineRule="exact"/>
              <w:ind w:firstLine="0"/>
              <w:jc w:val="center"/>
              <w:textAlignment w:val="center"/>
              <w:rPr>
                <w:rFonts w:ascii="Times New Roman" w:eastAsia="黑体"/>
                <w:sz w:val="24"/>
                <w:szCs w:val="24"/>
              </w:rPr>
            </w:pPr>
            <w:r>
              <w:rPr>
                <w:rFonts w:ascii="Times New Roman" w:eastAsia="黑体"/>
                <w:sz w:val="24"/>
                <w:szCs w:val="24"/>
              </w:rPr>
              <w:t>不足部分</w:t>
            </w:r>
          </w:p>
        </w:tc>
      </w:tr>
      <w:tr>
        <w:tblPrEx>
          <w:tblCellMar>
            <w:top w:w="0" w:type="dxa"/>
            <w:left w:w="108" w:type="dxa"/>
            <w:bottom w:w="0" w:type="dxa"/>
            <w:right w:w="108" w:type="dxa"/>
          </w:tblCellMar>
        </w:tblPrEx>
        <w:trPr>
          <w:trHeight w:val="468" w:hRule="atLeast"/>
          <w:jc w:val="center"/>
        </w:trPr>
        <w:tc>
          <w:tcPr>
            <w:tcW w:w="911" w:type="pct"/>
            <w:tcBorders>
              <w:top w:val="single" w:color="000000" w:sz="4" w:space="0"/>
              <w:left w:val="single" w:color="000000" w:sz="4" w:space="0"/>
              <w:bottom w:val="single" w:color="000000" w:sz="4" w:space="0"/>
              <w:right w:val="single" w:color="000000" w:sz="4" w:space="0"/>
            </w:tcBorders>
            <w:noWrap/>
            <w:vAlign w:val="center"/>
          </w:tcPr>
          <w:p>
            <w:pPr>
              <w:widowControl/>
              <w:snapToGrid/>
              <w:spacing w:line="580" w:lineRule="exact"/>
              <w:ind w:firstLine="0"/>
              <w:jc w:val="center"/>
              <w:textAlignment w:val="center"/>
              <w:rPr>
                <w:rFonts w:ascii="Times New Roman" w:eastAsia="黑体"/>
                <w:sz w:val="24"/>
                <w:szCs w:val="24"/>
              </w:rPr>
            </w:pPr>
            <w:r>
              <w:rPr>
                <w:rFonts w:ascii="Times New Roman" w:eastAsia="黑体"/>
                <w:sz w:val="24"/>
                <w:szCs w:val="24"/>
              </w:rPr>
              <w:t>2</w:t>
            </w:r>
          </w:p>
        </w:tc>
        <w:tc>
          <w:tcPr>
            <w:tcW w:w="799" w:type="pct"/>
            <w:tcBorders>
              <w:top w:val="single" w:color="000000" w:sz="4" w:space="0"/>
              <w:left w:val="single" w:color="000000" w:sz="4" w:space="0"/>
              <w:bottom w:val="single" w:color="000000" w:sz="4" w:space="0"/>
              <w:right w:val="single" w:color="000000" w:sz="4" w:space="0"/>
            </w:tcBorders>
            <w:noWrap w:val="0"/>
            <w:vAlign w:val="center"/>
          </w:tcPr>
          <w:p>
            <w:pPr>
              <w:widowControl/>
              <w:snapToGrid/>
              <w:spacing w:line="580" w:lineRule="exact"/>
              <w:ind w:firstLine="0"/>
              <w:jc w:val="center"/>
              <w:textAlignment w:val="center"/>
              <w:rPr>
                <w:rFonts w:ascii="Times New Roman" w:eastAsia="黑体"/>
                <w:sz w:val="24"/>
                <w:szCs w:val="24"/>
              </w:rPr>
            </w:pPr>
            <w:r>
              <w:rPr>
                <w:rFonts w:ascii="Times New Roman" w:eastAsia="黑体"/>
                <w:sz w:val="24"/>
                <w:szCs w:val="24"/>
              </w:rPr>
              <w:t>3</w:t>
            </w:r>
          </w:p>
        </w:tc>
        <w:tc>
          <w:tcPr>
            <w:tcW w:w="2126" w:type="pct"/>
            <w:vMerge w:val="continue"/>
            <w:tcBorders>
              <w:left w:val="single" w:color="000000" w:sz="4" w:space="0"/>
              <w:bottom w:val="single" w:color="000000" w:sz="4" w:space="0"/>
              <w:right w:val="single" w:color="000000" w:sz="4" w:space="0"/>
            </w:tcBorders>
            <w:noWrap/>
            <w:vAlign w:val="center"/>
          </w:tcPr>
          <w:p>
            <w:pPr>
              <w:widowControl/>
              <w:snapToGrid/>
              <w:spacing w:line="580" w:lineRule="exact"/>
              <w:ind w:firstLine="0"/>
              <w:jc w:val="center"/>
              <w:textAlignment w:val="center"/>
              <w:rPr>
                <w:rFonts w:ascii="Times New Roman" w:eastAsia="黑体"/>
                <w:sz w:val="24"/>
                <w:szCs w:val="24"/>
              </w:rPr>
            </w:pPr>
          </w:p>
        </w:tc>
        <w:tc>
          <w:tcPr>
            <w:tcW w:w="1162" w:type="pct"/>
            <w:vMerge w:val="continue"/>
            <w:tcBorders>
              <w:left w:val="single" w:color="000000" w:sz="4" w:space="0"/>
              <w:bottom w:val="single" w:color="000000" w:sz="4" w:space="0"/>
              <w:right w:val="single" w:color="000000" w:sz="4" w:space="0"/>
            </w:tcBorders>
            <w:noWrap/>
            <w:vAlign w:val="center"/>
          </w:tcPr>
          <w:p>
            <w:pPr>
              <w:widowControl/>
              <w:snapToGrid/>
              <w:spacing w:line="580" w:lineRule="exact"/>
              <w:ind w:firstLine="0"/>
              <w:jc w:val="center"/>
              <w:textAlignment w:val="center"/>
              <w:rPr>
                <w:rFonts w:ascii="Times New Roman" w:eastAsia="黑体"/>
                <w:sz w:val="24"/>
                <w:szCs w:val="24"/>
              </w:rPr>
            </w:pPr>
          </w:p>
        </w:tc>
      </w:tr>
    </w:tbl>
    <w:p>
      <w:pPr>
        <w:autoSpaceDE/>
        <w:autoSpaceDN/>
        <w:snapToGrid/>
        <w:spacing w:line="580" w:lineRule="exact"/>
        <w:ind w:firstLine="643" w:firstLineChars="200"/>
        <w:rPr>
          <w:rFonts w:ascii="Times New Roman" w:eastAsia="仿宋_GB2312"/>
          <w:b/>
          <w:bCs/>
          <w:szCs w:val="32"/>
        </w:rPr>
      </w:pPr>
      <w:r>
        <w:rPr>
          <w:rFonts w:ascii="Times New Roman" w:eastAsia="仿宋_GB2312"/>
          <w:b/>
          <w:bCs/>
          <w:szCs w:val="32"/>
        </w:rPr>
        <w:t>2.</w:t>
      </w:r>
      <w:r>
        <w:rPr>
          <w:rFonts w:hint="eastAsia" w:ascii="Times New Roman" w:eastAsia="仿宋_GB2312"/>
          <w:b/>
          <w:bCs/>
          <w:szCs w:val="32"/>
        </w:rPr>
        <w:t xml:space="preserve"> </w:t>
      </w:r>
      <w:r>
        <w:rPr>
          <w:rFonts w:ascii="Times New Roman" w:eastAsia="仿宋_GB2312"/>
          <w:b/>
          <w:bCs/>
          <w:szCs w:val="32"/>
        </w:rPr>
        <w:t>工业企业（食堂）等其它重点场所用户</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由燃气企业对工业企业（食堂）等其它重点场所用户“瓶改管”工程建设进行设计并做造价报告，用户支付“瓶改管”工程建设费用的70%，剩余30%由燃气企业承担。</w:t>
      </w:r>
    </w:p>
    <w:p>
      <w:pPr>
        <w:autoSpaceDE/>
        <w:autoSpaceDN/>
        <w:snapToGrid/>
        <w:spacing w:line="580" w:lineRule="exact"/>
        <w:ind w:firstLine="640" w:firstLineChars="200"/>
        <w:rPr>
          <w:rFonts w:ascii="Times New Roman" w:eastAsia="楷体_GB2312"/>
          <w:szCs w:val="32"/>
        </w:rPr>
      </w:pPr>
      <w:r>
        <w:rPr>
          <w:rFonts w:ascii="Times New Roman" w:eastAsia="楷体_GB2312"/>
          <w:szCs w:val="32"/>
        </w:rPr>
        <w:t>（三）实施流程</w:t>
      </w:r>
    </w:p>
    <w:p>
      <w:pPr>
        <w:autoSpaceDE/>
        <w:autoSpaceDN/>
        <w:snapToGrid/>
        <w:spacing w:line="580" w:lineRule="exact"/>
        <w:ind w:firstLine="643" w:firstLineChars="200"/>
        <w:rPr>
          <w:rFonts w:ascii="Times New Roman" w:eastAsia="仿宋_GB2312"/>
          <w:b/>
          <w:bCs/>
          <w:szCs w:val="32"/>
        </w:rPr>
      </w:pPr>
      <w:r>
        <w:rPr>
          <w:rFonts w:ascii="Times New Roman" w:eastAsia="仿宋_GB2312"/>
          <w:b/>
          <w:bCs/>
          <w:szCs w:val="32"/>
        </w:rPr>
        <w:t>1.</w:t>
      </w:r>
      <w:r>
        <w:rPr>
          <w:rFonts w:hint="eastAsia" w:ascii="Times New Roman" w:eastAsia="仿宋_GB2312"/>
          <w:b/>
          <w:bCs/>
          <w:szCs w:val="32"/>
        </w:rPr>
        <w:t xml:space="preserve"> </w:t>
      </w:r>
      <w:r>
        <w:rPr>
          <w:rFonts w:ascii="Times New Roman" w:eastAsia="仿宋_GB2312"/>
          <w:b/>
          <w:bCs/>
          <w:szCs w:val="32"/>
        </w:rPr>
        <w:t>餐饮用户</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（1）由餐饮用户向燃气企业提出“瓶改管”申请，经燃气企业现场踏勘和区镇确认后，企业与用户确认选用表型并出具设计图纸。</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（2）燃气企业与用户就施工时间达成一致后，用户先期支付需承担的建设费用，企业组织队伍及时进场施工。</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（3）项目完工后，燃气企业将工程合同和竣工验收表报各区镇汇总，各区镇对项目完成情况进行确认并报市住建局备案，相应补助款由区镇、市住建局分别拨付给燃气企业。</w:t>
      </w:r>
    </w:p>
    <w:p>
      <w:pPr>
        <w:autoSpaceDE/>
        <w:autoSpaceDN/>
        <w:snapToGrid/>
        <w:spacing w:line="580" w:lineRule="exact"/>
        <w:ind w:firstLine="643" w:firstLineChars="200"/>
        <w:rPr>
          <w:rFonts w:ascii="Times New Roman" w:eastAsia="仿宋_GB2312"/>
          <w:b/>
          <w:bCs/>
          <w:szCs w:val="32"/>
        </w:rPr>
      </w:pPr>
      <w:r>
        <w:rPr>
          <w:rFonts w:ascii="Times New Roman" w:eastAsia="仿宋_GB2312"/>
          <w:b/>
          <w:bCs/>
          <w:szCs w:val="32"/>
        </w:rPr>
        <w:t>2.</w:t>
      </w:r>
      <w:r>
        <w:rPr>
          <w:rFonts w:hint="eastAsia" w:ascii="Times New Roman" w:eastAsia="仿宋_GB2312"/>
          <w:b/>
          <w:bCs/>
          <w:szCs w:val="32"/>
        </w:rPr>
        <w:t xml:space="preserve"> </w:t>
      </w:r>
      <w:r>
        <w:rPr>
          <w:rFonts w:ascii="Times New Roman" w:eastAsia="仿宋_GB2312"/>
          <w:b/>
          <w:bCs/>
          <w:szCs w:val="32"/>
        </w:rPr>
        <w:t>工业企业（食堂）等其它重点场所用户</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（1）由工业企业（食堂）等重点场所用户向燃气企业提出“瓶改管”申请，经燃气企业现场踏勘并与用户确认选用表型后出具设计图纸。</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（2）燃气企业与用户就施工时间达成一致后，签订施工合同，按照合同约定组织队伍进场施工，项目完工后，燃气企业收取70%工程建设费用。</w:t>
      </w:r>
    </w:p>
    <w:p>
      <w:pPr>
        <w:autoSpaceDE/>
        <w:autoSpaceDN/>
        <w:snapToGrid/>
        <w:spacing w:line="580" w:lineRule="exact"/>
        <w:ind w:firstLine="640" w:firstLineChars="200"/>
        <w:rPr>
          <w:rFonts w:ascii="Times New Roman" w:eastAsia="黑体"/>
          <w:szCs w:val="32"/>
        </w:rPr>
      </w:pPr>
      <w:r>
        <w:rPr>
          <w:rFonts w:ascii="Times New Roman" w:eastAsia="黑体"/>
          <w:szCs w:val="32"/>
        </w:rPr>
        <w:t>二、重点场所“瓶改电”</w:t>
      </w:r>
    </w:p>
    <w:p>
      <w:pPr>
        <w:autoSpaceDE/>
        <w:autoSpaceDN/>
        <w:snapToGrid/>
        <w:spacing w:line="580" w:lineRule="exact"/>
        <w:ind w:firstLine="640" w:firstLineChars="200"/>
        <w:rPr>
          <w:rFonts w:ascii="Times New Roman" w:eastAsia="楷体_GB2312"/>
          <w:szCs w:val="32"/>
        </w:rPr>
      </w:pPr>
      <w:r>
        <w:rPr>
          <w:rFonts w:ascii="Times New Roman" w:eastAsia="楷体_GB2312"/>
          <w:szCs w:val="32"/>
        </w:rPr>
        <w:t>（一）补贴对象及范围</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餐饮用户、工业企业（食堂）、学校及教育培训机构、宗教活动场所、养老服务机构、星级酒店及备案民宿、医疗卫生机构7类重点场所用户经营场所范围或红线内供电设施改造及电热炊具购置费用。仅包含使用瓶装液化气、环保油的既有重点场所用户，新增的重点场所用户不予补贴。</w:t>
      </w:r>
    </w:p>
    <w:p>
      <w:pPr>
        <w:autoSpaceDE/>
        <w:autoSpaceDN/>
        <w:snapToGrid/>
        <w:spacing w:line="580" w:lineRule="exact"/>
        <w:ind w:firstLine="640" w:firstLineChars="200"/>
        <w:rPr>
          <w:rFonts w:ascii="Times New Roman" w:eastAsia="楷体_GB2312"/>
          <w:szCs w:val="32"/>
        </w:rPr>
      </w:pPr>
      <w:r>
        <w:rPr>
          <w:rFonts w:ascii="Times New Roman" w:eastAsia="楷体_GB2312"/>
          <w:szCs w:val="32"/>
        </w:rPr>
        <w:t>（二）补贴标准</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外部配套增容电气部分相关费用由供电公司承担，土建部分相关费用由属地政府承担。表后内部线路改造和电热炊具采购费用由用户承担，政府对用户进行限额补贴，补贴费用由市级和区镇财政各承担50%。根据场所内“瓶改电”设备增容使用的电功率数按300元/KW进行补贴。补贴金额不超过电炊具发票金额，同时满足以下限额标准。</w:t>
      </w:r>
    </w:p>
    <w:p>
      <w:pPr>
        <w:autoSpaceDE/>
        <w:autoSpaceDN/>
        <w:snapToGrid/>
        <w:spacing w:line="580" w:lineRule="exact"/>
        <w:ind w:firstLine="643" w:firstLineChars="200"/>
        <w:rPr>
          <w:rFonts w:ascii="Times New Roman" w:eastAsia="仿宋_GB2312"/>
          <w:b/>
          <w:bCs/>
          <w:szCs w:val="32"/>
        </w:rPr>
      </w:pPr>
      <w:r>
        <w:rPr>
          <w:rFonts w:ascii="Times New Roman" w:eastAsia="仿宋_GB2312"/>
          <w:b/>
          <w:bCs/>
          <w:szCs w:val="32"/>
        </w:rPr>
        <w:t>1.</w:t>
      </w:r>
      <w:r>
        <w:rPr>
          <w:rFonts w:hint="eastAsia" w:ascii="Times New Roman" w:eastAsia="仿宋_GB2312"/>
          <w:b/>
          <w:bCs/>
          <w:szCs w:val="32"/>
        </w:rPr>
        <w:t xml:space="preserve"> </w:t>
      </w:r>
      <w:r>
        <w:rPr>
          <w:rFonts w:ascii="Times New Roman" w:eastAsia="仿宋_GB2312"/>
          <w:b/>
          <w:bCs/>
          <w:szCs w:val="32"/>
        </w:rPr>
        <w:t>餐饮用户</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餐饮场所面积S≤60㎡补贴最高限额1万元，60㎡&lt;S≤150㎡最高限额1.3万元，S&gt;150㎡最高限额1.5万元。</w:t>
      </w:r>
    </w:p>
    <w:p>
      <w:pPr>
        <w:widowControl/>
        <w:spacing w:line="580" w:lineRule="exact"/>
        <w:ind w:firstLine="0"/>
        <w:jc w:val="center"/>
        <w:rPr>
          <w:rFonts w:hint="eastAsia" w:ascii="仿宋_GB2312" w:eastAsia="仿宋_GB2312"/>
          <w:b/>
          <w:szCs w:val="32"/>
        </w:rPr>
      </w:pPr>
      <w:r>
        <w:rPr>
          <w:rFonts w:hint="eastAsia" w:ascii="仿宋_GB2312" w:eastAsia="仿宋_GB2312"/>
          <w:b/>
          <w:color w:val="000000"/>
          <w:szCs w:val="32"/>
          <w:lang w:bidi="ar"/>
        </w:rPr>
        <w:t>餐饮用户“瓶改电”补贴标准</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5"/>
        <w:gridCol w:w="4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noWrap w:val="0"/>
            <w:vAlign w:val="center"/>
          </w:tcPr>
          <w:p>
            <w:pPr>
              <w:widowControl/>
              <w:spacing w:line="580" w:lineRule="exact"/>
              <w:ind w:firstLine="0"/>
              <w:jc w:val="center"/>
              <w:rPr>
                <w:rFonts w:ascii="Times New Roman" w:eastAsia="黑体"/>
                <w:sz w:val="24"/>
                <w:szCs w:val="24"/>
              </w:rPr>
            </w:pPr>
            <w:r>
              <w:rPr>
                <w:rFonts w:ascii="Times New Roman" w:eastAsia="黑体"/>
                <w:color w:val="000000"/>
                <w:sz w:val="24"/>
                <w:szCs w:val="24"/>
                <w:lang w:bidi="ar"/>
              </w:rPr>
              <w:t>场所面积S（</w:t>
            </w:r>
            <w:r>
              <w:rPr>
                <w:rFonts w:ascii="Times New Roman" w:eastAsia="黑体"/>
                <w:sz w:val="24"/>
                <w:szCs w:val="24"/>
              </w:rPr>
              <w:t>㎡</w:t>
            </w:r>
            <w:r>
              <w:rPr>
                <w:rFonts w:ascii="Times New Roman" w:eastAsia="黑体"/>
                <w:color w:val="000000"/>
                <w:sz w:val="24"/>
                <w:szCs w:val="24"/>
                <w:lang w:bidi="ar"/>
              </w:rPr>
              <w:t>）</w:t>
            </w:r>
          </w:p>
        </w:tc>
        <w:tc>
          <w:tcPr>
            <w:tcW w:w="4425" w:type="dxa"/>
            <w:noWrap w:val="0"/>
            <w:vAlign w:val="center"/>
          </w:tcPr>
          <w:p>
            <w:pPr>
              <w:widowControl/>
              <w:spacing w:line="580" w:lineRule="exact"/>
              <w:ind w:firstLine="0"/>
              <w:jc w:val="center"/>
              <w:rPr>
                <w:rFonts w:ascii="Times New Roman" w:eastAsia="黑体"/>
                <w:sz w:val="24"/>
                <w:szCs w:val="24"/>
              </w:rPr>
            </w:pPr>
            <w:r>
              <w:rPr>
                <w:rFonts w:ascii="Times New Roman" w:eastAsia="黑体"/>
                <w:color w:val="000000"/>
                <w:sz w:val="24"/>
                <w:szCs w:val="24"/>
                <w:lang w:bidi="ar"/>
              </w:rPr>
              <w:t>最高限额（万元）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noWrap w:val="0"/>
            <w:vAlign w:val="center"/>
          </w:tcPr>
          <w:p>
            <w:pPr>
              <w:widowControl/>
              <w:spacing w:line="580" w:lineRule="exact"/>
              <w:ind w:firstLine="0"/>
              <w:jc w:val="center"/>
              <w:rPr>
                <w:rFonts w:ascii="Times New Roman" w:eastAsia="黑体"/>
                <w:color w:val="000000"/>
                <w:sz w:val="24"/>
                <w:szCs w:val="24"/>
                <w:lang w:bidi="ar"/>
              </w:rPr>
            </w:pPr>
            <w:r>
              <w:rPr>
                <w:rFonts w:ascii="Times New Roman" w:eastAsia="黑体"/>
                <w:color w:val="000000"/>
                <w:sz w:val="24"/>
                <w:szCs w:val="24"/>
                <w:lang w:bidi="ar"/>
              </w:rPr>
              <w:t>S≤60</w:t>
            </w:r>
          </w:p>
        </w:tc>
        <w:tc>
          <w:tcPr>
            <w:tcW w:w="4425" w:type="dxa"/>
            <w:noWrap w:val="0"/>
            <w:vAlign w:val="center"/>
          </w:tcPr>
          <w:p>
            <w:pPr>
              <w:widowControl/>
              <w:spacing w:line="580" w:lineRule="exact"/>
              <w:ind w:firstLine="0"/>
              <w:jc w:val="center"/>
              <w:rPr>
                <w:rFonts w:ascii="Times New Roman" w:eastAsia="黑体"/>
                <w:color w:val="000000"/>
                <w:sz w:val="24"/>
                <w:szCs w:val="24"/>
                <w:lang w:bidi="ar"/>
              </w:rPr>
            </w:pPr>
            <w:r>
              <w:rPr>
                <w:rFonts w:ascii="Times New Roman" w:eastAsia="黑体"/>
                <w:color w:val="000000"/>
                <w:sz w:val="24"/>
                <w:szCs w:val="24"/>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noWrap w:val="0"/>
            <w:vAlign w:val="center"/>
          </w:tcPr>
          <w:p>
            <w:pPr>
              <w:widowControl/>
              <w:spacing w:line="580" w:lineRule="exact"/>
              <w:ind w:firstLine="0"/>
              <w:jc w:val="center"/>
              <w:rPr>
                <w:rFonts w:ascii="Times New Roman" w:eastAsia="黑体"/>
                <w:color w:val="000000"/>
                <w:sz w:val="24"/>
                <w:szCs w:val="24"/>
                <w:lang w:bidi="ar"/>
              </w:rPr>
            </w:pPr>
            <w:r>
              <w:rPr>
                <w:rFonts w:ascii="Times New Roman" w:eastAsia="黑体"/>
                <w:color w:val="000000"/>
                <w:sz w:val="24"/>
                <w:szCs w:val="24"/>
                <w:lang w:bidi="ar"/>
              </w:rPr>
              <w:t>60&lt;S≤150</w:t>
            </w:r>
          </w:p>
        </w:tc>
        <w:tc>
          <w:tcPr>
            <w:tcW w:w="4425" w:type="dxa"/>
            <w:noWrap w:val="0"/>
            <w:vAlign w:val="center"/>
          </w:tcPr>
          <w:p>
            <w:pPr>
              <w:widowControl/>
              <w:spacing w:line="580" w:lineRule="exact"/>
              <w:ind w:firstLine="0"/>
              <w:jc w:val="center"/>
              <w:rPr>
                <w:rFonts w:ascii="Times New Roman" w:eastAsia="黑体"/>
                <w:color w:val="000000"/>
                <w:sz w:val="24"/>
                <w:szCs w:val="24"/>
                <w:lang w:bidi="ar"/>
              </w:rPr>
            </w:pPr>
            <w:r>
              <w:rPr>
                <w:rFonts w:ascii="Times New Roman" w:eastAsia="黑体"/>
                <w:color w:val="000000"/>
                <w:sz w:val="24"/>
                <w:szCs w:val="24"/>
                <w:lang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noWrap w:val="0"/>
            <w:vAlign w:val="center"/>
          </w:tcPr>
          <w:p>
            <w:pPr>
              <w:widowControl/>
              <w:spacing w:line="580" w:lineRule="exact"/>
              <w:ind w:firstLine="0"/>
              <w:jc w:val="center"/>
              <w:rPr>
                <w:rFonts w:ascii="Times New Roman" w:eastAsia="黑体"/>
                <w:color w:val="000000"/>
                <w:sz w:val="24"/>
                <w:szCs w:val="24"/>
                <w:lang w:bidi="ar"/>
              </w:rPr>
            </w:pPr>
            <w:r>
              <w:rPr>
                <w:rFonts w:ascii="Times New Roman" w:eastAsia="黑体"/>
                <w:color w:val="000000"/>
                <w:sz w:val="24"/>
                <w:szCs w:val="24"/>
                <w:lang w:bidi="ar"/>
              </w:rPr>
              <w:t>S&gt;150</w:t>
            </w:r>
          </w:p>
        </w:tc>
        <w:tc>
          <w:tcPr>
            <w:tcW w:w="4425" w:type="dxa"/>
            <w:noWrap w:val="0"/>
            <w:vAlign w:val="center"/>
          </w:tcPr>
          <w:p>
            <w:pPr>
              <w:widowControl/>
              <w:spacing w:line="580" w:lineRule="exact"/>
              <w:ind w:firstLine="0"/>
              <w:jc w:val="center"/>
              <w:rPr>
                <w:rFonts w:ascii="Times New Roman" w:eastAsia="黑体"/>
                <w:color w:val="000000"/>
                <w:sz w:val="24"/>
                <w:szCs w:val="24"/>
                <w:lang w:bidi="ar"/>
              </w:rPr>
            </w:pPr>
            <w:r>
              <w:rPr>
                <w:rFonts w:ascii="Times New Roman" w:eastAsia="黑体"/>
                <w:color w:val="000000"/>
                <w:sz w:val="24"/>
                <w:szCs w:val="24"/>
                <w:lang w:bidi="ar"/>
              </w:rPr>
              <w:t>1.5</w:t>
            </w:r>
          </w:p>
        </w:tc>
      </w:tr>
    </w:tbl>
    <w:p>
      <w:pPr>
        <w:autoSpaceDE/>
        <w:autoSpaceDN/>
        <w:snapToGrid/>
        <w:spacing w:line="580" w:lineRule="exact"/>
        <w:ind w:firstLine="643" w:firstLineChars="200"/>
        <w:rPr>
          <w:rFonts w:ascii="Times New Roman" w:eastAsia="仿宋_GB2312"/>
          <w:b/>
          <w:bCs/>
          <w:szCs w:val="32"/>
        </w:rPr>
      </w:pPr>
      <w:r>
        <w:rPr>
          <w:rFonts w:ascii="Times New Roman" w:eastAsia="仿宋_GB2312"/>
          <w:b/>
          <w:bCs/>
          <w:szCs w:val="32"/>
        </w:rPr>
        <w:t>2.</w:t>
      </w:r>
      <w:r>
        <w:rPr>
          <w:rFonts w:hint="eastAsia" w:ascii="Times New Roman" w:eastAsia="仿宋_GB2312"/>
          <w:b/>
          <w:bCs/>
          <w:szCs w:val="32"/>
        </w:rPr>
        <w:t xml:space="preserve"> </w:t>
      </w:r>
      <w:r>
        <w:rPr>
          <w:rFonts w:ascii="Times New Roman" w:eastAsia="仿宋_GB2312"/>
          <w:b/>
          <w:bCs/>
          <w:szCs w:val="32"/>
        </w:rPr>
        <w:t>工业企业（食堂）等其它重点场所用户</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场所用餐人数≤100人补贴最高限额1万元，100&lt;人数≤300补贴最高限额1.3万元，人数&gt;300补贴最高限额1.5万元。</w:t>
      </w:r>
    </w:p>
    <w:p>
      <w:pPr>
        <w:widowControl/>
        <w:spacing w:line="580" w:lineRule="exact"/>
        <w:ind w:firstLine="0"/>
        <w:jc w:val="center"/>
        <w:rPr>
          <w:rFonts w:hint="eastAsia" w:ascii="仿宋_GB2312" w:eastAsia="仿宋_GB2312"/>
          <w:b/>
          <w:szCs w:val="32"/>
        </w:rPr>
      </w:pPr>
      <w:r>
        <w:rPr>
          <w:rFonts w:hint="eastAsia" w:ascii="仿宋_GB2312" w:eastAsia="仿宋_GB2312"/>
          <w:b/>
          <w:color w:val="000000"/>
          <w:szCs w:val="32"/>
          <w:lang w:bidi="ar"/>
        </w:rPr>
        <w:t>重点场所用户“瓶改电”补贴标准</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8"/>
        <w:gridCol w:w="4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0" w:type="dxa"/>
            <w:noWrap w:val="0"/>
            <w:vAlign w:val="center"/>
          </w:tcPr>
          <w:p>
            <w:pPr>
              <w:widowControl/>
              <w:spacing w:line="580" w:lineRule="exact"/>
              <w:ind w:firstLine="0"/>
              <w:jc w:val="center"/>
              <w:rPr>
                <w:rFonts w:ascii="Times New Roman" w:eastAsia="黑体"/>
                <w:sz w:val="24"/>
                <w:szCs w:val="24"/>
              </w:rPr>
            </w:pPr>
            <w:r>
              <w:rPr>
                <w:rFonts w:ascii="Times New Roman" w:eastAsia="黑体"/>
                <w:color w:val="000000"/>
                <w:sz w:val="24"/>
                <w:szCs w:val="24"/>
                <w:lang w:bidi="ar"/>
              </w:rPr>
              <w:t>场所用餐人员数量</w:t>
            </w:r>
          </w:p>
        </w:tc>
        <w:tc>
          <w:tcPr>
            <w:tcW w:w="4665" w:type="dxa"/>
            <w:noWrap w:val="0"/>
            <w:vAlign w:val="center"/>
          </w:tcPr>
          <w:p>
            <w:pPr>
              <w:widowControl/>
              <w:spacing w:line="580" w:lineRule="exact"/>
              <w:ind w:firstLine="0"/>
              <w:jc w:val="center"/>
              <w:rPr>
                <w:rFonts w:ascii="Times New Roman" w:eastAsia="黑体"/>
                <w:sz w:val="24"/>
                <w:szCs w:val="24"/>
              </w:rPr>
            </w:pPr>
            <w:r>
              <w:rPr>
                <w:rFonts w:ascii="Times New Roman" w:eastAsia="黑体"/>
                <w:color w:val="000000"/>
                <w:sz w:val="24"/>
                <w:szCs w:val="24"/>
                <w:lang w:bidi="ar"/>
              </w:rPr>
              <w:t>最高限额（万元）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0" w:type="dxa"/>
            <w:noWrap w:val="0"/>
            <w:vAlign w:val="center"/>
          </w:tcPr>
          <w:p>
            <w:pPr>
              <w:widowControl/>
              <w:spacing w:line="580" w:lineRule="exact"/>
              <w:ind w:firstLine="0"/>
              <w:jc w:val="center"/>
              <w:rPr>
                <w:rFonts w:ascii="Times New Roman" w:eastAsia="黑体"/>
                <w:color w:val="000000"/>
                <w:sz w:val="24"/>
                <w:szCs w:val="24"/>
                <w:lang w:bidi="ar"/>
              </w:rPr>
            </w:pPr>
            <w:r>
              <w:rPr>
                <w:rFonts w:ascii="Times New Roman" w:eastAsia="黑体"/>
                <w:color w:val="000000"/>
                <w:sz w:val="24"/>
                <w:szCs w:val="24"/>
                <w:lang w:bidi="ar"/>
              </w:rPr>
              <w:t>100人以下（含100人）</w:t>
            </w:r>
          </w:p>
        </w:tc>
        <w:tc>
          <w:tcPr>
            <w:tcW w:w="4665" w:type="dxa"/>
            <w:noWrap w:val="0"/>
            <w:vAlign w:val="center"/>
          </w:tcPr>
          <w:p>
            <w:pPr>
              <w:widowControl/>
              <w:spacing w:line="580" w:lineRule="exact"/>
              <w:ind w:firstLine="0"/>
              <w:jc w:val="center"/>
              <w:rPr>
                <w:rFonts w:ascii="Times New Roman" w:eastAsia="黑体"/>
                <w:color w:val="000000"/>
                <w:sz w:val="24"/>
                <w:szCs w:val="24"/>
                <w:lang w:bidi="ar"/>
              </w:rPr>
            </w:pPr>
            <w:r>
              <w:rPr>
                <w:rFonts w:ascii="Times New Roman" w:eastAsia="黑体"/>
                <w:color w:val="000000"/>
                <w:sz w:val="24"/>
                <w:szCs w:val="24"/>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0" w:type="dxa"/>
            <w:noWrap w:val="0"/>
            <w:vAlign w:val="center"/>
          </w:tcPr>
          <w:p>
            <w:pPr>
              <w:widowControl/>
              <w:spacing w:line="580" w:lineRule="exact"/>
              <w:ind w:firstLine="0"/>
              <w:jc w:val="center"/>
              <w:rPr>
                <w:rFonts w:ascii="Times New Roman" w:eastAsia="黑体"/>
                <w:color w:val="000000"/>
                <w:sz w:val="24"/>
                <w:szCs w:val="24"/>
                <w:lang w:bidi="ar"/>
              </w:rPr>
            </w:pPr>
            <w:r>
              <w:rPr>
                <w:rFonts w:ascii="Times New Roman" w:eastAsia="黑体"/>
                <w:color w:val="000000"/>
                <w:sz w:val="24"/>
                <w:szCs w:val="24"/>
                <w:lang w:bidi="ar"/>
              </w:rPr>
              <w:t>100人以上，300人以下（含300人）</w:t>
            </w:r>
          </w:p>
        </w:tc>
        <w:tc>
          <w:tcPr>
            <w:tcW w:w="4665" w:type="dxa"/>
            <w:noWrap w:val="0"/>
            <w:vAlign w:val="center"/>
          </w:tcPr>
          <w:p>
            <w:pPr>
              <w:widowControl/>
              <w:spacing w:line="580" w:lineRule="exact"/>
              <w:ind w:firstLine="0"/>
              <w:jc w:val="center"/>
              <w:rPr>
                <w:rFonts w:ascii="Times New Roman" w:eastAsia="黑体"/>
                <w:color w:val="000000"/>
                <w:sz w:val="24"/>
                <w:szCs w:val="24"/>
                <w:lang w:bidi="ar"/>
              </w:rPr>
            </w:pPr>
            <w:r>
              <w:rPr>
                <w:rFonts w:ascii="Times New Roman" w:eastAsia="黑体"/>
                <w:color w:val="000000"/>
                <w:sz w:val="24"/>
                <w:szCs w:val="24"/>
                <w:lang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0" w:type="dxa"/>
            <w:noWrap w:val="0"/>
            <w:vAlign w:val="center"/>
          </w:tcPr>
          <w:p>
            <w:pPr>
              <w:widowControl/>
              <w:spacing w:line="580" w:lineRule="exact"/>
              <w:ind w:firstLine="0"/>
              <w:jc w:val="center"/>
              <w:rPr>
                <w:rFonts w:ascii="Times New Roman" w:eastAsia="黑体"/>
                <w:color w:val="000000"/>
                <w:sz w:val="24"/>
                <w:szCs w:val="24"/>
                <w:lang w:bidi="ar"/>
              </w:rPr>
            </w:pPr>
            <w:r>
              <w:rPr>
                <w:rFonts w:ascii="Times New Roman" w:eastAsia="黑体"/>
                <w:color w:val="000000"/>
                <w:sz w:val="24"/>
                <w:szCs w:val="24"/>
                <w:lang w:bidi="ar"/>
              </w:rPr>
              <w:t>300人以上</w:t>
            </w:r>
          </w:p>
        </w:tc>
        <w:tc>
          <w:tcPr>
            <w:tcW w:w="4665" w:type="dxa"/>
            <w:noWrap w:val="0"/>
            <w:vAlign w:val="center"/>
          </w:tcPr>
          <w:p>
            <w:pPr>
              <w:widowControl/>
              <w:spacing w:line="580" w:lineRule="exact"/>
              <w:ind w:firstLine="0"/>
              <w:jc w:val="center"/>
              <w:rPr>
                <w:rFonts w:ascii="Times New Roman" w:eastAsia="黑体"/>
                <w:color w:val="000000"/>
                <w:sz w:val="24"/>
                <w:szCs w:val="24"/>
                <w:lang w:bidi="ar"/>
              </w:rPr>
            </w:pPr>
            <w:r>
              <w:rPr>
                <w:rFonts w:ascii="Times New Roman" w:eastAsia="黑体"/>
                <w:color w:val="000000"/>
                <w:sz w:val="24"/>
                <w:szCs w:val="24"/>
                <w:lang w:bidi="ar"/>
              </w:rPr>
              <w:t>1.5</w:t>
            </w:r>
          </w:p>
        </w:tc>
      </w:tr>
    </w:tbl>
    <w:p>
      <w:pPr>
        <w:autoSpaceDE/>
        <w:autoSpaceDN/>
        <w:snapToGrid/>
        <w:spacing w:line="580" w:lineRule="exact"/>
        <w:ind w:firstLine="640" w:firstLineChars="200"/>
        <w:rPr>
          <w:rFonts w:ascii="Times New Roman" w:eastAsia="仿宋_GB2312"/>
          <w:szCs w:val="32"/>
        </w:rPr>
      </w:pPr>
      <w:r>
        <w:rPr>
          <w:rFonts w:ascii="Times New Roman" w:eastAsia="楷体_GB2312"/>
          <w:szCs w:val="32"/>
        </w:rPr>
        <w:t>（三）实施流程</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（1）重点场所“瓶改电”用户将增容数量报区镇登记备案。区镇将“瓶改电”用户改造要求分区域汇总造册报供电公司，由供电公司对外部配套（表前）线路实行集中改造扩容。</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（2）重点场所“瓶改电”用户需自行采购、安装电热炊具并对表后电路进行改造。用户在完成“瓶改电”后，提供房产面积证明、电热炊具购置发票、场所用餐人数等证明材料，向区镇提出补贴申请。</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3）各区镇对重点场所“瓶改电”用户实际安装使用电热炊具的数量、规格及发票等情况进行现场核实。属地审核后统一向市住建局递交补贴申请。市住建局审核后，向市财政局申请补贴资金并拨付至区镇，由各区镇统一拨付给“瓶改电”用户。</w:t>
      </w:r>
    </w:p>
    <w:p>
      <w:pPr>
        <w:autoSpaceDE/>
        <w:autoSpaceDN/>
        <w:snapToGrid/>
        <w:spacing w:line="580" w:lineRule="exact"/>
        <w:ind w:firstLine="640" w:firstLineChars="200"/>
        <w:rPr>
          <w:rFonts w:ascii="Times New Roman" w:eastAsia="黑体"/>
          <w:szCs w:val="32"/>
        </w:rPr>
      </w:pPr>
      <w:r>
        <w:rPr>
          <w:rFonts w:ascii="Times New Roman" w:eastAsia="黑体"/>
          <w:szCs w:val="32"/>
        </w:rPr>
        <w:t>三、其他事项</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（一）2023年8月7日</w:t>
      </w:r>
      <w:r>
        <w:rPr>
          <w:rFonts w:ascii="Times New Roman" w:eastAsia="仿宋_GB2312"/>
          <w:szCs w:val="32"/>
          <w:lang w:bidi="ar"/>
        </w:rPr>
        <w:t>（《关于全市开展重点场所瓶装液化气用户减量专项整治百日攻坚行动的通知》发文日期）</w:t>
      </w:r>
      <w:r>
        <w:rPr>
          <w:rFonts w:ascii="Times New Roman" w:eastAsia="仿宋_GB2312"/>
          <w:szCs w:val="32"/>
        </w:rPr>
        <w:t>至2024年12月31日期间，按照本方案完成“瓶改管”“瓶改电”的重点场所用户享受补贴。其中餐饮用户“瓶改管”补贴按照《太仓市着力提升城镇燃气本质安全水平三年行动方案》（太政办〔2023〕54号）执行。</w:t>
      </w:r>
    </w:p>
    <w:p>
      <w:pPr>
        <w:autoSpaceDE/>
        <w:autoSpaceDN/>
        <w:snapToGrid/>
        <w:spacing w:line="580" w:lineRule="exact"/>
        <w:ind w:firstLine="640" w:firstLineChars="200"/>
        <w:rPr>
          <w:rFonts w:ascii="Times New Roman" w:eastAsia="仿宋_GB2312"/>
          <w:szCs w:val="32"/>
          <w:lang w:bidi="ar"/>
        </w:rPr>
      </w:pPr>
      <w:r>
        <w:rPr>
          <w:rFonts w:ascii="Times New Roman" w:eastAsia="仿宋_GB2312"/>
          <w:szCs w:val="32"/>
        </w:rPr>
        <w:t>（二）各区镇、各行业主管部门要严格按照</w:t>
      </w:r>
      <w:r>
        <w:rPr>
          <w:rFonts w:ascii="Times New Roman" w:eastAsia="仿宋_GB2312"/>
          <w:szCs w:val="32"/>
          <w:lang w:bidi="ar"/>
        </w:rPr>
        <w:t>《关于全市开展重点场所瓶装液化气用户减量专项整治百日攻坚行动的通知》要求，严格管控增量、压减存量。本补贴方案正式下发后新增的重点场所用户（以相关经营许可证照载明时间为准）不予“瓶改电”补贴。既有重点场所用户补领相关经营许可证照的，由区镇出具证明后予以补贴。</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（三）同一重点场所用户仅可选择“瓶改管”或“瓶改电”其中一项申请补贴。</w:t>
      </w:r>
    </w:p>
    <w:p>
      <w:pPr>
        <w:autoSpaceDE/>
        <w:autoSpaceDN/>
        <w:snapToGrid/>
        <w:spacing w:line="580" w:lineRule="exact"/>
        <w:ind w:firstLine="640" w:firstLineChars="200"/>
        <w:rPr>
          <w:rFonts w:ascii="Times New Roman" w:eastAsia="仿宋_GB2312"/>
          <w:szCs w:val="32"/>
        </w:rPr>
      </w:pPr>
      <w:r>
        <w:rPr>
          <w:rFonts w:ascii="Times New Roman" w:eastAsia="仿宋_GB2312"/>
          <w:szCs w:val="32"/>
        </w:rPr>
        <w:t>（四）财政补贴资金拨付采取先实施后补贴的原则，原则上每季度最末月为申请期。</w:t>
      </w:r>
    </w:p>
    <w:p>
      <w:r>
        <w:rPr>
          <w:rFonts w:ascii="Times New Roman" w:eastAsia="仿宋_GB2312"/>
          <w:szCs w:val="32"/>
        </w:rPr>
        <w:t>（五）各区镇可在本补贴方案基础上，根据实际情况制定实施细则。</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6AFF421E"/>
    <w:rsid w:val="6AFF4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2023-11-24T03:40:00Z</dcterms:created>
  <dc:creator>fight for myself</dc:creator>
  <cp:lastModifiedBy>fight for myself</cp:lastModifiedBy>
  <dcterms:modified xsi:type="dcterms:W3CDTF">2023-11-24T03:40:28Z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61BA62F23C5B410099E24A6D13B23E4F_11</vt:lpwstr>
  </property>
</Properties>
</file>